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1622721"/>
        <w:docPartObj>
          <w:docPartGallery w:val="Cover Pages"/>
          <w:docPartUnique/>
        </w:docPartObj>
      </w:sdtPr>
      <w:sdtEndPr/>
      <w:sdtContent>
        <w:p w14:paraId="4117B8B1" w14:textId="7904423E" w:rsidR="0058286C" w:rsidRPr="0058286C" w:rsidRDefault="0058286C" w:rsidP="0058286C">
          <w:pPr>
            <w:spacing w:after="6000"/>
          </w:pPr>
          <w:r>
            <w:rPr>
              <w:noProof/>
              <w:lang w:eastAsia="en-AU"/>
            </w:rPr>
            <w:drawing>
              <wp:inline distT="0" distB="0" distL="0" distR="0" wp14:anchorId="0478561F" wp14:editId="7B112BD1">
                <wp:extent cx="2921000" cy="1022641"/>
                <wp:effectExtent l="0" t="0" r="0" b="6350"/>
                <wp:docPr id="7" name="Picture 7" descr="National Disability Services logo"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_New_CMY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5994" cy="1024389"/>
                        </a:xfrm>
                        <a:prstGeom prst="rect">
                          <a:avLst/>
                        </a:prstGeom>
                      </pic:spPr>
                    </pic:pic>
                  </a:graphicData>
                </a:graphic>
              </wp:inline>
            </w:drawing>
          </w:r>
        </w:p>
        <w:p w14:paraId="5DCC61C2" w14:textId="77777777" w:rsidR="0058286C" w:rsidRPr="0058286C" w:rsidRDefault="0058286C" w:rsidP="0058286C">
          <w:pPr>
            <w:pStyle w:val="NoSpacing"/>
            <w:spacing w:before="40" w:line="216" w:lineRule="auto"/>
            <w:rPr>
              <w:sz w:val="72"/>
              <w:szCs w:val="72"/>
            </w:rPr>
          </w:pPr>
          <w:r w:rsidRPr="0058286C">
            <w:rPr>
              <w:sz w:val="72"/>
              <w:szCs w:val="72"/>
            </w:rPr>
            <w:t>Australian Disability Workforce Report</w:t>
          </w:r>
        </w:p>
        <w:p w14:paraId="04CF263F" w14:textId="77777777" w:rsidR="0058286C" w:rsidRPr="0058286C" w:rsidRDefault="0058286C" w:rsidP="0058286C">
          <w:pPr>
            <w:pStyle w:val="NoSpacing"/>
            <w:spacing w:before="40" w:line="216" w:lineRule="auto"/>
            <w:rPr>
              <w:sz w:val="48"/>
              <w:szCs w:val="48"/>
            </w:rPr>
          </w:pPr>
          <w:r w:rsidRPr="0058286C">
            <w:rPr>
              <w:sz w:val="48"/>
              <w:szCs w:val="48"/>
            </w:rPr>
            <w:t>3</w:t>
          </w:r>
          <w:r w:rsidRPr="0058286C">
            <w:rPr>
              <w:sz w:val="48"/>
              <w:szCs w:val="48"/>
              <w:vertAlign w:val="superscript"/>
            </w:rPr>
            <w:t>rd</w:t>
          </w:r>
          <w:r w:rsidRPr="0058286C">
            <w:rPr>
              <w:sz w:val="48"/>
              <w:szCs w:val="48"/>
            </w:rPr>
            <w:t xml:space="preserve"> edition</w:t>
          </w:r>
        </w:p>
        <w:p w14:paraId="19FAFF67" w14:textId="77777777" w:rsidR="0058286C" w:rsidRPr="0058286C" w:rsidRDefault="0058286C" w:rsidP="0058286C">
          <w:pPr>
            <w:pStyle w:val="NoSpacing"/>
            <w:spacing w:before="40" w:after="560" w:line="216" w:lineRule="auto"/>
            <w:rPr>
              <w:sz w:val="72"/>
              <w:szCs w:val="72"/>
            </w:rPr>
          </w:pPr>
        </w:p>
        <w:p w14:paraId="4D24D4F4" w14:textId="77777777" w:rsidR="0058286C" w:rsidRPr="0058286C" w:rsidRDefault="0058286C" w:rsidP="0058286C">
          <w:pPr>
            <w:pStyle w:val="NoSpacing"/>
            <w:spacing w:before="40" w:after="560" w:line="216" w:lineRule="auto"/>
            <w:rPr>
              <w:sz w:val="72"/>
              <w:szCs w:val="72"/>
            </w:rPr>
          </w:pPr>
          <w:r w:rsidRPr="0058286C">
            <w:rPr>
              <w:sz w:val="72"/>
              <w:szCs w:val="72"/>
            </w:rPr>
            <w:t>July 2018</w:t>
          </w:r>
        </w:p>
        <w:p w14:paraId="4D66A567" w14:textId="42621AD3" w:rsidR="0045382C" w:rsidRPr="0058286C" w:rsidRDefault="002F5784" w:rsidP="009058CC">
          <w:r w:rsidRPr="0058286C">
            <w:br w:type="page"/>
          </w:r>
        </w:p>
        <w:p w14:paraId="7944FB57" w14:textId="77777777" w:rsidR="0045382C" w:rsidRPr="0058286C" w:rsidRDefault="0045382C" w:rsidP="0045382C">
          <w:pPr>
            <w:autoSpaceDE w:val="0"/>
            <w:autoSpaceDN w:val="0"/>
            <w:adjustRightInd w:val="0"/>
            <w:spacing w:line="240" w:lineRule="auto"/>
            <w:rPr>
              <w:b/>
              <w:bCs/>
              <w:sz w:val="23"/>
              <w:szCs w:val="23"/>
            </w:rPr>
          </w:pPr>
          <w:r w:rsidRPr="0058286C">
            <w:rPr>
              <w:b/>
              <w:bCs/>
              <w:sz w:val="23"/>
              <w:szCs w:val="23"/>
            </w:rPr>
            <w:lastRenderedPageBreak/>
            <w:t>Contact details</w:t>
          </w:r>
        </w:p>
        <w:p w14:paraId="666B26C0" w14:textId="77777777" w:rsidR="0045382C" w:rsidRPr="0058286C" w:rsidRDefault="0045382C" w:rsidP="0045382C">
          <w:pPr>
            <w:autoSpaceDE w:val="0"/>
            <w:autoSpaceDN w:val="0"/>
            <w:adjustRightInd w:val="0"/>
            <w:spacing w:line="240" w:lineRule="auto"/>
            <w:rPr>
              <w:b/>
              <w:bCs/>
              <w:sz w:val="23"/>
              <w:szCs w:val="23"/>
            </w:rPr>
          </w:pPr>
          <w:r w:rsidRPr="0058286C">
            <w:rPr>
              <w:b/>
              <w:bCs/>
              <w:sz w:val="23"/>
              <w:szCs w:val="23"/>
            </w:rPr>
            <w:t>Caroline Alcorso</w:t>
          </w:r>
        </w:p>
        <w:p w14:paraId="37BA6E30" w14:textId="09845A15" w:rsidR="0045382C" w:rsidRPr="0058286C" w:rsidRDefault="0045382C" w:rsidP="0045382C">
          <w:pPr>
            <w:autoSpaceDE w:val="0"/>
            <w:autoSpaceDN w:val="0"/>
            <w:adjustRightInd w:val="0"/>
            <w:spacing w:line="240" w:lineRule="auto"/>
            <w:rPr>
              <w:sz w:val="23"/>
              <w:szCs w:val="23"/>
            </w:rPr>
          </w:pPr>
          <w:r w:rsidRPr="0058286C">
            <w:rPr>
              <w:sz w:val="23"/>
              <w:szCs w:val="23"/>
            </w:rPr>
            <w:t>National Manager,</w:t>
          </w:r>
          <w:r w:rsidR="00C864D7" w:rsidRPr="0058286C">
            <w:rPr>
              <w:sz w:val="23"/>
              <w:szCs w:val="23"/>
            </w:rPr>
            <w:t xml:space="preserve"> </w:t>
          </w:r>
          <w:r w:rsidRPr="0058286C">
            <w:rPr>
              <w:sz w:val="23"/>
              <w:szCs w:val="23"/>
            </w:rPr>
            <w:t>Workforce Development</w:t>
          </w:r>
        </w:p>
        <w:p w14:paraId="06220A7F" w14:textId="77777777" w:rsidR="0045382C" w:rsidRPr="0058286C" w:rsidRDefault="0045382C" w:rsidP="0045382C">
          <w:pPr>
            <w:autoSpaceDE w:val="0"/>
            <w:autoSpaceDN w:val="0"/>
            <w:adjustRightInd w:val="0"/>
            <w:spacing w:line="240" w:lineRule="auto"/>
            <w:rPr>
              <w:sz w:val="23"/>
              <w:szCs w:val="23"/>
            </w:rPr>
          </w:pPr>
          <w:r w:rsidRPr="0058286C">
            <w:rPr>
              <w:sz w:val="23"/>
              <w:szCs w:val="23"/>
            </w:rPr>
            <w:t>National Disability Services</w:t>
          </w:r>
        </w:p>
        <w:p w14:paraId="62F9628E" w14:textId="77777777" w:rsidR="0045382C" w:rsidRPr="0058286C" w:rsidRDefault="0045382C" w:rsidP="0045382C">
          <w:pPr>
            <w:autoSpaceDE w:val="0"/>
            <w:autoSpaceDN w:val="0"/>
            <w:adjustRightInd w:val="0"/>
            <w:spacing w:line="240" w:lineRule="auto"/>
            <w:rPr>
              <w:sz w:val="23"/>
              <w:szCs w:val="23"/>
            </w:rPr>
          </w:pPr>
          <w:r w:rsidRPr="0058286C">
            <w:rPr>
              <w:sz w:val="23"/>
              <w:szCs w:val="23"/>
            </w:rPr>
            <w:t>Level 19, 66 Goulburn Street Sydney NSW 2000</w:t>
          </w:r>
        </w:p>
        <w:p w14:paraId="1446D92D" w14:textId="77777777" w:rsidR="0045382C" w:rsidRPr="0058286C" w:rsidRDefault="0045382C" w:rsidP="0045382C">
          <w:pPr>
            <w:autoSpaceDE w:val="0"/>
            <w:autoSpaceDN w:val="0"/>
            <w:adjustRightInd w:val="0"/>
            <w:spacing w:line="240" w:lineRule="auto"/>
            <w:rPr>
              <w:sz w:val="23"/>
              <w:szCs w:val="23"/>
            </w:rPr>
          </w:pPr>
          <w:r w:rsidRPr="0058286C">
            <w:rPr>
              <w:sz w:val="23"/>
              <w:szCs w:val="23"/>
            </w:rPr>
            <w:t>Phone: 02 9256 3180</w:t>
          </w:r>
        </w:p>
        <w:p w14:paraId="7D0642EC" w14:textId="00F367F0" w:rsidR="0045382C" w:rsidRPr="0058286C" w:rsidRDefault="0059343A" w:rsidP="0045382C">
          <w:pPr>
            <w:autoSpaceDE w:val="0"/>
            <w:autoSpaceDN w:val="0"/>
            <w:adjustRightInd w:val="0"/>
            <w:spacing w:line="240" w:lineRule="auto"/>
            <w:rPr>
              <w:sz w:val="23"/>
              <w:szCs w:val="23"/>
            </w:rPr>
          </w:pPr>
          <w:hyperlink r:id="rId9" w:history="1">
            <w:r w:rsidR="0045382C" w:rsidRPr="0058286C">
              <w:rPr>
                <w:rStyle w:val="Hyperlink"/>
                <w:color w:val="auto"/>
                <w:sz w:val="23"/>
                <w:szCs w:val="23"/>
              </w:rPr>
              <w:t>caroline.alcorso@nds.org.au</w:t>
            </w:r>
          </w:hyperlink>
        </w:p>
        <w:p w14:paraId="375A6CCA" w14:textId="77777777" w:rsidR="0045382C" w:rsidRPr="0058286C" w:rsidRDefault="0045382C" w:rsidP="0058286C">
          <w:pPr>
            <w:autoSpaceDE w:val="0"/>
            <w:autoSpaceDN w:val="0"/>
            <w:adjustRightInd w:val="0"/>
            <w:spacing w:after="360" w:line="240" w:lineRule="auto"/>
            <w:rPr>
              <w:b/>
              <w:bCs/>
              <w:sz w:val="23"/>
              <w:szCs w:val="23"/>
            </w:rPr>
          </w:pPr>
        </w:p>
        <w:p w14:paraId="7AF159C2" w14:textId="77777777" w:rsidR="0045382C" w:rsidRPr="0058286C" w:rsidRDefault="0045382C" w:rsidP="0045382C">
          <w:pPr>
            <w:autoSpaceDE w:val="0"/>
            <w:autoSpaceDN w:val="0"/>
            <w:adjustRightInd w:val="0"/>
            <w:spacing w:line="240" w:lineRule="auto"/>
            <w:rPr>
              <w:b/>
              <w:bCs/>
              <w:sz w:val="23"/>
              <w:szCs w:val="23"/>
            </w:rPr>
          </w:pPr>
          <w:r w:rsidRPr="0058286C">
            <w:rPr>
              <w:b/>
              <w:bCs/>
              <w:sz w:val="23"/>
              <w:szCs w:val="23"/>
            </w:rPr>
            <w:t>Acknowledgements</w:t>
          </w:r>
        </w:p>
        <w:p w14:paraId="611EA2DA" w14:textId="7D85AD86" w:rsidR="0045382C" w:rsidRPr="0058286C" w:rsidRDefault="0045382C" w:rsidP="0045382C">
          <w:pPr>
            <w:autoSpaceDE w:val="0"/>
            <w:autoSpaceDN w:val="0"/>
            <w:adjustRightInd w:val="0"/>
            <w:spacing w:line="240" w:lineRule="auto"/>
            <w:rPr>
              <w:sz w:val="23"/>
              <w:szCs w:val="23"/>
            </w:rPr>
          </w:pPr>
          <w:r w:rsidRPr="0058286C">
            <w:rPr>
              <w:sz w:val="23"/>
              <w:szCs w:val="23"/>
            </w:rPr>
            <w:t>NDS gratefully acknowledges the expert advice and guidance of Dr Ian Watson</w:t>
          </w:r>
          <w:r w:rsidR="00515FB6">
            <w:rPr>
              <w:sz w:val="23"/>
              <w:szCs w:val="23"/>
            </w:rPr>
            <w:t xml:space="preserve"> </w:t>
          </w:r>
          <w:r w:rsidRPr="0058286C">
            <w:rPr>
              <w:sz w:val="23"/>
              <w:szCs w:val="23"/>
            </w:rPr>
            <w:t>in the development of Workforce Wizard, and the innovative work of software</w:t>
          </w:r>
          <w:r w:rsidR="00515FB6">
            <w:rPr>
              <w:sz w:val="23"/>
              <w:szCs w:val="23"/>
            </w:rPr>
            <w:t xml:space="preserve"> </w:t>
          </w:r>
          <w:r w:rsidRPr="0058286C">
            <w:rPr>
              <w:sz w:val="23"/>
              <w:szCs w:val="23"/>
            </w:rPr>
            <w:t>company Mozzler.</w:t>
          </w:r>
        </w:p>
        <w:p w14:paraId="14E71704" w14:textId="77777777" w:rsidR="0045382C" w:rsidRPr="0058286C" w:rsidRDefault="0045382C" w:rsidP="0045382C">
          <w:pPr>
            <w:autoSpaceDE w:val="0"/>
            <w:autoSpaceDN w:val="0"/>
            <w:adjustRightInd w:val="0"/>
            <w:spacing w:line="240" w:lineRule="auto"/>
            <w:rPr>
              <w:sz w:val="23"/>
              <w:szCs w:val="23"/>
            </w:rPr>
          </w:pPr>
        </w:p>
        <w:p w14:paraId="7868B1ED" w14:textId="0B7296FD" w:rsidR="0045382C" w:rsidRPr="0058286C" w:rsidRDefault="0045382C" w:rsidP="0045382C">
          <w:pPr>
            <w:autoSpaceDE w:val="0"/>
            <w:autoSpaceDN w:val="0"/>
            <w:adjustRightInd w:val="0"/>
            <w:spacing w:line="240" w:lineRule="auto"/>
            <w:rPr>
              <w:sz w:val="23"/>
              <w:szCs w:val="23"/>
            </w:rPr>
          </w:pPr>
          <w:r w:rsidRPr="0058286C">
            <w:rPr>
              <w:sz w:val="23"/>
              <w:szCs w:val="23"/>
            </w:rPr>
            <w:t>This data for this report was collected in part through the NDS Disability</w:t>
          </w:r>
          <w:r w:rsidR="00515FB6">
            <w:rPr>
              <w:sz w:val="23"/>
              <w:szCs w:val="23"/>
            </w:rPr>
            <w:t xml:space="preserve"> </w:t>
          </w:r>
          <w:r w:rsidRPr="0058286C">
            <w:rPr>
              <w:sz w:val="23"/>
              <w:szCs w:val="23"/>
            </w:rPr>
            <w:t>Workforce Innovation Network project 2014-16 which took place with the</w:t>
          </w:r>
          <w:r w:rsidR="00515FB6">
            <w:rPr>
              <w:sz w:val="23"/>
              <w:szCs w:val="23"/>
            </w:rPr>
            <w:t xml:space="preserve"> </w:t>
          </w:r>
          <w:r w:rsidRPr="0058286C">
            <w:rPr>
              <w:sz w:val="23"/>
              <w:szCs w:val="23"/>
            </w:rPr>
            <w:t>assistance of funding provided by the Australian Government. NDS also</w:t>
          </w:r>
          <w:r w:rsidR="00515FB6">
            <w:rPr>
              <w:sz w:val="23"/>
              <w:szCs w:val="23"/>
            </w:rPr>
            <w:t xml:space="preserve"> </w:t>
          </w:r>
          <w:r w:rsidRPr="0058286C">
            <w:rPr>
              <w:sz w:val="23"/>
              <w:szCs w:val="23"/>
            </w:rPr>
            <w:t>recognises the significant contribution of the industry in embracing Workforce</w:t>
          </w:r>
          <w:r w:rsidR="00515FB6">
            <w:rPr>
              <w:sz w:val="23"/>
              <w:szCs w:val="23"/>
            </w:rPr>
            <w:t xml:space="preserve"> </w:t>
          </w:r>
          <w:r w:rsidRPr="0058286C">
            <w:rPr>
              <w:sz w:val="23"/>
              <w:szCs w:val="23"/>
            </w:rPr>
            <w:t>Wizard, helping shape it and making it the successful tool it is today.</w:t>
          </w:r>
        </w:p>
        <w:p w14:paraId="230C4C77" w14:textId="77777777" w:rsidR="0045382C" w:rsidRPr="0058286C" w:rsidRDefault="0045382C" w:rsidP="0058286C">
          <w:pPr>
            <w:autoSpaceDE w:val="0"/>
            <w:autoSpaceDN w:val="0"/>
            <w:adjustRightInd w:val="0"/>
            <w:spacing w:after="360" w:line="240" w:lineRule="auto"/>
            <w:rPr>
              <w:b/>
              <w:bCs/>
              <w:sz w:val="23"/>
              <w:szCs w:val="23"/>
            </w:rPr>
          </w:pPr>
        </w:p>
        <w:p w14:paraId="637ECCF4" w14:textId="77777777" w:rsidR="0045382C" w:rsidRPr="0058286C" w:rsidRDefault="0045382C" w:rsidP="0045382C">
          <w:pPr>
            <w:autoSpaceDE w:val="0"/>
            <w:autoSpaceDN w:val="0"/>
            <w:adjustRightInd w:val="0"/>
            <w:spacing w:line="240" w:lineRule="auto"/>
            <w:rPr>
              <w:b/>
              <w:bCs/>
              <w:sz w:val="23"/>
              <w:szCs w:val="23"/>
            </w:rPr>
          </w:pPr>
          <w:r w:rsidRPr="0058286C">
            <w:rPr>
              <w:b/>
              <w:bCs/>
              <w:sz w:val="23"/>
              <w:szCs w:val="23"/>
            </w:rPr>
            <w:t>About this report</w:t>
          </w:r>
        </w:p>
        <w:p w14:paraId="7FEF90F7" w14:textId="6AA970B9" w:rsidR="0045382C" w:rsidRPr="0058286C" w:rsidRDefault="0045382C" w:rsidP="0045382C">
          <w:pPr>
            <w:autoSpaceDE w:val="0"/>
            <w:autoSpaceDN w:val="0"/>
            <w:adjustRightInd w:val="0"/>
            <w:spacing w:line="240" w:lineRule="auto"/>
            <w:rPr>
              <w:sz w:val="23"/>
              <w:szCs w:val="23"/>
            </w:rPr>
          </w:pPr>
          <w:r w:rsidRPr="0058286C">
            <w:rPr>
              <w:sz w:val="23"/>
              <w:szCs w:val="23"/>
            </w:rPr>
            <w:t>This is the third edition of a t</w:t>
          </w:r>
          <w:r w:rsidR="005D0B17" w:rsidRPr="0058286C">
            <w:rPr>
              <w:sz w:val="23"/>
              <w:szCs w:val="23"/>
            </w:rPr>
            <w:t xml:space="preserve">wice yearly publication. It was </w:t>
          </w:r>
          <w:r w:rsidRPr="0058286C">
            <w:rPr>
              <w:sz w:val="23"/>
              <w:szCs w:val="23"/>
            </w:rPr>
            <w:t>prepared by Adrian Lui and Caroline Alcorso, NDS. The next edition will be published in February 2019.</w:t>
          </w:r>
        </w:p>
        <w:p w14:paraId="24996146" w14:textId="77777777" w:rsidR="0045382C" w:rsidRPr="0058286C" w:rsidRDefault="0045382C" w:rsidP="0058286C">
          <w:pPr>
            <w:autoSpaceDE w:val="0"/>
            <w:autoSpaceDN w:val="0"/>
            <w:adjustRightInd w:val="0"/>
            <w:spacing w:after="360" w:line="240" w:lineRule="auto"/>
            <w:rPr>
              <w:b/>
              <w:bCs/>
              <w:sz w:val="23"/>
              <w:szCs w:val="23"/>
            </w:rPr>
          </w:pPr>
        </w:p>
        <w:p w14:paraId="6C0EAE5C" w14:textId="77777777" w:rsidR="0045382C" w:rsidRPr="0058286C" w:rsidRDefault="0045382C" w:rsidP="0045382C">
          <w:pPr>
            <w:autoSpaceDE w:val="0"/>
            <w:autoSpaceDN w:val="0"/>
            <w:adjustRightInd w:val="0"/>
            <w:spacing w:line="240" w:lineRule="auto"/>
            <w:rPr>
              <w:sz w:val="23"/>
              <w:szCs w:val="23"/>
            </w:rPr>
          </w:pPr>
          <w:r w:rsidRPr="0058286C">
            <w:rPr>
              <w:sz w:val="23"/>
              <w:szCs w:val="23"/>
            </w:rPr>
            <w:t>© This publication is copyright</w:t>
          </w:r>
        </w:p>
        <w:p w14:paraId="0A43F417" w14:textId="77777777" w:rsidR="0045382C" w:rsidRPr="0058286C" w:rsidRDefault="0045382C" w:rsidP="0045382C">
          <w:pPr>
            <w:autoSpaceDE w:val="0"/>
            <w:autoSpaceDN w:val="0"/>
            <w:adjustRightInd w:val="0"/>
            <w:spacing w:line="240" w:lineRule="auto"/>
            <w:rPr>
              <w:sz w:val="23"/>
              <w:szCs w:val="23"/>
            </w:rPr>
          </w:pPr>
          <w:r w:rsidRPr="0058286C">
            <w:rPr>
              <w:sz w:val="23"/>
              <w:szCs w:val="23"/>
            </w:rPr>
            <w:t>All rights reserved. Except as provided in the Copyright Act 1968</w:t>
          </w:r>
        </w:p>
        <w:p w14:paraId="6BF7C2C9" w14:textId="77777777" w:rsidR="0045382C" w:rsidRPr="0058286C" w:rsidRDefault="0045382C" w:rsidP="0045382C">
          <w:pPr>
            <w:autoSpaceDE w:val="0"/>
            <w:autoSpaceDN w:val="0"/>
            <w:adjustRightInd w:val="0"/>
            <w:spacing w:line="240" w:lineRule="auto"/>
            <w:rPr>
              <w:sz w:val="23"/>
              <w:szCs w:val="23"/>
            </w:rPr>
          </w:pPr>
          <w:r w:rsidRPr="0058286C">
            <w:rPr>
              <w:sz w:val="23"/>
              <w:szCs w:val="23"/>
            </w:rPr>
            <w:t>(Commonwealth), no use of this work, which is within the exclusive right of</w:t>
          </w:r>
        </w:p>
        <w:p w14:paraId="1AF88E36" w14:textId="77777777" w:rsidR="0045382C" w:rsidRPr="0058286C" w:rsidRDefault="0045382C" w:rsidP="0045382C">
          <w:pPr>
            <w:autoSpaceDE w:val="0"/>
            <w:autoSpaceDN w:val="0"/>
            <w:adjustRightInd w:val="0"/>
            <w:spacing w:line="240" w:lineRule="auto"/>
            <w:rPr>
              <w:sz w:val="23"/>
              <w:szCs w:val="23"/>
            </w:rPr>
          </w:pPr>
          <w:proofErr w:type="gramStart"/>
          <w:r w:rsidRPr="0058286C">
            <w:rPr>
              <w:sz w:val="23"/>
              <w:szCs w:val="23"/>
            </w:rPr>
            <w:t>the</w:t>
          </w:r>
          <w:proofErr w:type="gramEnd"/>
          <w:r w:rsidRPr="0058286C">
            <w:rPr>
              <w:sz w:val="23"/>
              <w:szCs w:val="23"/>
            </w:rPr>
            <w:t xml:space="preserve"> copyright owner, may be made.</w:t>
          </w:r>
        </w:p>
        <w:p w14:paraId="29DE24DC" w14:textId="77777777" w:rsidR="0045382C" w:rsidRPr="0058286C" w:rsidRDefault="0045382C" w:rsidP="0058286C">
          <w:pPr>
            <w:autoSpaceDE w:val="0"/>
            <w:autoSpaceDN w:val="0"/>
            <w:adjustRightInd w:val="0"/>
            <w:spacing w:after="360" w:line="240" w:lineRule="auto"/>
            <w:rPr>
              <w:b/>
              <w:bCs/>
              <w:sz w:val="23"/>
              <w:szCs w:val="23"/>
            </w:rPr>
          </w:pPr>
        </w:p>
        <w:p w14:paraId="4C746464" w14:textId="77777777" w:rsidR="0045382C" w:rsidRPr="0058286C" w:rsidRDefault="0045382C" w:rsidP="0045382C">
          <w:pPr>
            <w:autoSpaceDE w:val="0"/>
            <w:autoSpaceDN w:val="0"/>
            <w:adjustRightInd w:val="0"/>
            <w:spacing w:line="240" w:lineRule="auto"/>
            <w:rPr>
              <w:b/>
              <w:bCs/>
              <w:sz w:val="23"/>
              <w:szCs w:val="23"/>
            </w:rPr>
          </w:pPr>
          <w:r w:rsidRPr="0058286C">
            <w:rPr>
              <w:b/>
              <w:bCs/>
              <w:sz w:val="23"/>
              <w:szCs w:val="23"/>
            </w:rPr>
            <w:t>About National Disability Services</w:t>
          </w:r>
        </w:p>
        <w:p w14:paraId="16F12465" w14:textId="7FD349B9" w:rsidR="002F5784" w:rsidRPr="0058286C" w:rsidRDefault="0045382C" w:rsidP="007339A4">
          <w:pPr>
            <w:autoSpaceDE w:val="0"/>
            <w:autoSpaceDN w:val="0"/>
            <w:adjustRightInd w:val="0"/>
            <w:spacing w:line="240" w:lineRule="auto"/>
            <w:rPr>
              <w:sz w:val="23"/>
              <w:szCs w:val="23"/>
            </w:rPr>
          </w:pPr>
          <w:r w:rsidRPr="0058286C">
            <w:rPr>
              <w:sz w:val="23"/>
              <w:szCs w:val="23"/>
            </w:rPr>
            <w:t>National Disability Services (‘NDS’) 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Pr="0058286C">
            <w:br w:type="page"/>
          </w:r>
        </w:p>
      </w:sdtContent>
    </w:sdt>
    <w:sdt>
      <w:sdtPr>
        <w:rPr>
          <w:rFonts w:ascii="Arial" w:eastAsiaTheme="minorHAnsi" w:hAnsi="Arial" w:cs="Arial"/>
          <w:color w:val="auto"/>
          <w:sz w:val="22"/>
          <w:szCs w:val="22"/>
          <w:lang w:val="en-AU"/>
        </w:rPr>
        <w:id w:val="1698044308"/>
        <w:docPartObj>
          <w:docPartGallery w:val="Table of Contents"/>
          <w:docPartUnique/>
        </w:docPartObj>
      </w:sdtPr>
      <w:sdtEndPr>
        <w:rPr>
          <w:noProof/>
          <w:sz w:val="24"/>
          <w:szCs w:val="24"/>
        </w:rPr>
      </w:sdtEndPr>
      <w:sdtContent>
        <w:p w14:paraId="0704D48E" w14:textId="7A6FEB1B" w:rsidR="002F5784" w:rsidRPr="00693794" w:rsidRDefault="002F5784" w:rsidP="009058CC">
          <w:pPr>
            <w:pStyle w:val="TOCHeading"/>
            <w:rPr>
              <w:rFonts w:ascii="Arial" w:hAnsi="Arial" w:cs="Arial"/>
              <w:color w:val="auto"/>
            </w:rPr>
          </w:pPr>
          <w:r w:rsidRPr="00693794">
            <w:rPr>
              <w:rFonts w:ascii="Arial" w:hAnsi="Arial" w:cs="Arial"/>
              <w:color w:val="auto"/>
            </w:rPr>
            <w:t>Contents</w:t>
          </w:r>
        </w:p>
        <w:p w14:paraId="5F602C2F" w14:textId="77777777" w:rsidR="00515FB6" w:rsidRDefault="002F5784">
          <w:pPr>
            <w:pStyle w:val="TOC1"/>
            <w:tabs>
              <w:tab w:val="right" w:leader="dot" w:pos="8540"/>
            </w:tabs>
            <w:rPr>
              <w:rFonts w:asciiTheme="minorHAnsi" w:eastAsiaTheme="minorEastAsia" w:hAnsiTheme="minorHAnsi" w:cstheme="minorBidi"/>
              <w:noProof/>
              <w:sz w:val="22"/>
              <w:szCs w:val="22"/>
              <w:lang w:val="en-US"/>
            </w:rPr>
          </w:pPr>
          <w:r w:rsidRPr="004808D5">
            <w:fldChar w:fldCharType="begin"/>
          </w:r>
          <w:r w:rsidRPr="004808D5">
            <w:instrText xml:space="preserve"> TOC \o "1-3" \h \z \u </w:instrText>
          </w:r>
          <w:r w:rsidRPr="004808D5">
            <w:fldChar w:fldCharType="separate"/>
          </w:r>
          <w:hyperlink w:anchor="_Toc519585284" w:history="1">
            <w:r w:rsidR="00515FB6" w:rsidRPr="006C54A0">
              <w:rPr>
                <w:rStyle w:val="Hyperlink"/>
                <w:noProof/>
              </w:rPr>
              <w:t>Introduction</w:t>
            </w:r>
            <w:r w:rsidR="00515FB6">
              <w:rPr>
                <w:noProof/>
                <w:webHidden/>
              </w:rPr>
              <w:tab/>
            </w:r>
            <w:r w:rsidR="00515FB6">
              <w:rPr>
                <w:noProof/>
                <w:webHidden/>
              </w:rPr>
              <w:fldChar w:fldCharType="begin"/>
            </w:r>
            <w:r w:rsidR="00515FB6">
              <w:rPr>
                <w:noProof/>
                <w:webHidden/>
              </w:rPr>
              <w:instrText xml:space="preserve"> PAGEREF _Toc519585284 \h </w:instrText>
            </w:r>
            <w:r w:rsidR="00515FB6">
              <w:rPr>
                <w:noProof/>
                <w:webHidden/>
              </w:rPr>
            </w:r>
            <w:r w:rsidR="00515FB6">
              <w:rPr>
                <w:noProof/>
                <w:webHidden/>
              </w:rPr>
              <w:fldChar w:fldCharType="separate"/>
            </w:r>
            <w:r w:rsidR="00002566">
              <w:rPr>
                <w:noProof/>
                <w:webHidden/>
              </w:rPr>
              <w:t>3</w:t>
            </w:r>
            <w:r w:rsidR="00515FB6">
              <w:rPr>
                <w:noProof/>
                <w:webHidden/>
              </w:rPr>
              <w:fldChar w:fldCharType="end"/>
            </w:r>
          </w:hyperlink>
        </w:p>
        <w:p w14:paraId="078BFCF1" w14:textId="77777777" w:rsidR="00515FB6" w:rsidRDefault="0059343A">
          <w:pPr>
            <w:pStyle w:val="TOC1"/>
            <w:tabs>
              <w:tab w:val="right" w:leader="dot" w:pos="8540"/>
            </w:tabs>
            <w:rPr>
              <w:rFonts w:asciiTheme="minorHAnsi" w:eastAsiaTheme="minorEastAsia" w:hAnsiTheme="minorHAnsi" w:cstheme="minorBidi"/>
              <w:noProof/>
              <w:sz w:val="22"/>
              <w:szCs w:val="22"/>
              <w:lang w:val="en-US"/>
            </w:rPr>
          </w:pPr>
          <w:hyperlink w:anchor="_Toc519585285" w:history="1">
            <w:r w:rsidR="00515FB6" w:rsidRPr="006C54A0">
              <w:rPr>
                <w:rStyle w:val="Hyperlink"/>
                <w:noProof/>
              </w:rPr>
              <w:t>Chapter 1: The latest trends in the disability support workforce</w:t>
            </w:r>
            <w:r w:rsidR="00515FB6">
              <w:rPr>
                <w:noProof/>
                <w:webHidden/>
              </w:rPr>
              <w:tab/>
            </w:r>
            <w:r w:rsidR="00515FB6">
              <w:rPr>
                <w:noProof/>
                <w:webHidden/>
              </w:rPr>
              <w:fldChar w:fldCharType="begin"/>
            </w:r>
            <w:r w:rsidR="00515FB6">
              <w:rPr>
                <w:noProof/>
                <w:webHidden/>
              </w:rPr>
              <w:instrText xml:space="preserve"> PAGEREF _Toc519585285 \h </w:instrText>
            </w:r>
            <w:r w:rsidR="00515FB6">
              <w:rPr>
                <w:noProof/>
                <w:webHidden/>
              </w:rPr>
            </w:r>
            <w:r w:rsidR="00515FB6">
              <w:rPr>
                <w:noProof/>
                <w:webHidden/>
              </w:rPr>
              <w:fldChar w:fldCharType="separate"/>
            </w:r>
            <w:r w:rsidR="00002566">
              <w:rPr>
                <w:noProof/>
                <w:webHidden/>
              </w:rPr>
              <w:t>4</w:t>
            </w:r>
            <w:r w:rsidR="00515FB6">
              <w:rPr>
                <w:noProof/>
                <w:webHidden/>
              </w:rPr>
              <w:fldChar w:fldCharType="end"/>
            </w:r>
          </w:hyperlink>
        </w:p>
        <w:p w14:paraId="20735250"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286" w:history="1">
            <w:r w:rsidR="00515FB6" w:rsidRPr="006C54A0">
              <w:rPr>
                <w:rStyle w:val="Hyperlink"/>
                <w:noProof/>
              </w:rPr>
              <w:t>Employment type</w:t>
            </w:r>
            <w:r w:rsidR="00515FB6">
              <w:rPr>
                <w:noProof/>
                <w:webHidden/>
              </w:rPr>
              <w:tab/>
            </w:r>
            <w:r w:rsidR="00515FB6">
              <w:rPr>
                <w:noProof/>
                <w:webHidden/>
              </w:rPr>
              <w:fldChar w:fldCharType="begin"/>
            </w:r>
            <w:r w:rsidR="00515FB6">
              <w:rPr>
                <w:noProof/>
                <w:webHidden/>
              </w:rPr>
              <w:instrText xml:space="preserve"> PAGEREF _Toc519585286 \h </w:instrText>
            </w:r>
            <w:r w:rsidR="00515FB6">
              <w:rPr>
                <w:noProof/>
                <w:webHidden/>
              </w:rPr>
            </w:r>
            <w:r w:rsidR="00515FB6">
              <w:rPr>
                <w:noProof/>
                <w:webHidden/>
              </w:rPr>
              <w:fldChar w:fldCharType="separate"/>
            </w:r>
            <w:r w:rsidR="00002566">
              <w:rPr>
                <w:noProof/>
                <w:webHidden/>
              </w:rPr>
              <w:t>4</w:t>
            </w:r>
            <w:r w:rsidR="00515FB6">
              <w:rPr>
                <w:noProof/>
                <w:webHidden/>
              </w:rPr>
              <w:fldChar w:fldCharType="end"/>
            </w:r>
          </w:hyperlink>
        </w:p>
        <w:p w14:paraId="032999B6"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287" w:history="1">
            <w:r w:rsidR="00515FB6" w:rsidRPr="006C54A0">
              <w:rPr>
                <w:rStyle w:val="Hyperlink"/>
                <w:noProof/>
              </w:rPr>
              <w:t>Small and medium organisations — where casualisation takes place</w:t>
            </w:r>
            <w:r w:rsidR="00515FB6">
              <w:rPr>
                <w:noProof/>
                <w:webHidden/>
              </w:rPr>
              <w:tab/>
            </w:r>
            <w:r w:rsidR="00515FB6">
              <w:rPr>
                <w:noProof/>
                <w:webHidden/>
              </w:rPr>
              <w:fldChar w:fldCharType="begin"/>
            </w:r>
            <w:r w:rsidR="00515FB6">
              <w:rPr>
                <w:noProof/>
                <w:webHidden/>
              </w:rPr>
              <w:instrText xml:space="preserve"> PAGEREF _Toc519585287 \h </w:instrText>
            </w:r>
            <w:r w:rsidR="00515FB6">
              <w:rPr>
                <w:noProof/>
                <w:webHidden/>
              </w:rPr>
            </w:r>
            <w:r w:rsidR="00515FB6">
              <w:rPr>
                <w:noProof/>
                <w:webHidden/>
              </w:rPr>
              <w:fldChar w:fldCharType="separate"/>
            </w:r>
            <w:r w:rsidR="00002566">
              <w:rPr>
                <w:noProof/>
                <w:webHidden/>
              </w:rPr>
              <w:t>5</w:t>
            </w:r>
            <w:r w:rsidR="00515FB6">
              <w:rPr>
                <w:noProof/>
                <w:webHidden/>
              </w:rPr>
              <w:fldChar w:fldCharType="end"/>
            </w:r>
          </w:hyperlink>
        </w:p>
        <w:p w14:paraId="6DFA9C01"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288" w:history="1">
            <w:r w:rsidR="00515FB6" w:rsidRPr="006C54A0">
              <w:rPr>
                <w:rStyle w:val="Hyperlink"/>
                <w:noProof/>
              </w:rPr>
              <w:t>Employment growth</w:t>
            </w:r>
            <w:r w:rsidR="00515FB6">
              <w:rPr>
                <w:noProof/>
                <w:webHidden/>
              </w:rPr>
              <w:tab/>
            </w:r>
            <w:r w:rsidR="00515FB6">
              <w:rPr>
                <w:noProof/>
                <w:webHidden/>
              </w:rPr>
              <w:fldChar w:fldCharType="begin"/>
            </w:r>
            <w:r w:rsidR="00515FB6">
              <w:rPr>
                <w:noProof/>
                <w:webHidden/>
              </w:rPr>
              <w:instrText xml:space="preserve"> PAGEREF _Toc519585288 \h </w:instrText>
            </w:r>
            <w:r w:rsidR="00515FB6">
              <w:rPr>
                <w:noProof/>
                <w:webHidden/>
              </w:rPr>
            </w:r>
            <w:r w:rsidR="00515FB6">
              <w:rPr>
                <w:noProof/>
                <w:webHidden/>
              </w:rPr>
              <w:fldChar w:fldCharType="separate"/>
            </w:r>
            <w:r w:rsidR="00002566">
              <w:rPr>
                <w:noProof/>
                <w:webHidden/>
              </w:rPr>
              <w:t>5</w:t>
            </w:r>
            <w:r w:rsidR="00515FB6">
              <w:rPr>
                <w:noProof/>
                <w:webHidden/>
              </w:rPr>
              <w:fldChar w:fldCharType="end"/>
            </w:r>
          </w:hyperlink>
        </w:p>
        <w:p w14:paraId="423FB7BE"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289" w:history="1">
            <w:r w:rsidR="00515FB6" w:rsidRPr="006C54A0">
              <w:rPr>
                <w:rStyle w:val="Hyperlink"/>
                <w:noProof/>
              </w:rPr>
              <w:t>Employment gains and losses by organisational size</w:t>
            </w:r>
            <w:r w:rsidR="00515FB6">
              <w:rPr>
                <w:noProof/>
                <w:webHidden/>
              </w:rPr>
              <w:tab/>
            </w:r>
            <w:r w:rsidR="00515FB6">
              <w:rPr>
                <w:noProof/>
                <w:webHidden/>
              </w:rPr>
              <w:fldChar w:fldCharType="begin"/>
            </w:r>
            <w:r w:rsidR="00515FB6">
              <w:rPr>
                <w:noProof/>
                <w:webHidden/>
              </w:rPr>
              <w:instrText xml:space="preserve"> PAGEREF _Toc519585289 \h </w:instrText>
            </w:r>
            <w:r w:rsidR="00515FB6">
              <w:rPr>
                <w:noProof/>
                <w:webHidden/>
              </w:rPr>
            </w:r>
            <w:r w:rsidR="00515FB6">
              <w:rPr>
                <w:noProof/>
                <w:webHidden/>
              </w:rPr>
              <w:fldChar w:fldCharType="separate"/>
            </w:r>
            <w:r w:rsidR="00002566">
              <w:rPr>
                <w:noProof/>
                <w:webHidden/>
              </w:rPr>
              <w:t>6</w:t>
            </w:r>
            <w:r w:rsidR="00515FB6">
              <w:rPr>
                <w:noProof/>
                <w:webHidden/>
              </w:rPr>
              <w:fldChar w:fldCharType="end"/>
            </w:r>
          </w:hyperlink>
        </w:p>
        <w:p w14:paraId="2178DBA7"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290" w:history="1">
            <w:r w:rsidR="00515FB6" w:rsidRPr="006C54A0">
              <w:rPr>
                <w:rStyle w:val="Hyperlink"/>
                <w:noProof/>
                <w:lang w:eastAsia="en-AU"/>
              </w:rPr>
              <w:t>Workforce turnover</w:t>
            </w:r>
            <w:r w:rsidR="00515FB6">
              <w:rPr>
                <w:noProof/>
                <w:webHidden/>
              </w:rPr>
              <w:tab/>
            </w:r>
            <w:r w:rsidR="00515FB6">
              <w:rPr>
                <w:noProof/>
                <w:webHidden/>
              </w:rPr>
              <w:fldChar w:fldCharType="begin"/>
            </w:r>
            <w:r w:rsidR="00515FB6">
              <w:rPr>
                <w:noProof/>
                <w:webHidden/>
              </w:rPr>
              <w:instrText xml:space="preserve"> PAGEREF _Toc519585290 \h </w:instrText>
            </w:r>
            <w:r w:rsidR="00515FB6">
              <w:rPr>
                <w:noProof/>
                <w:webHidden/>
              </w:rPr>
            </w:r>
            <w:r w:rsidR="00515FB6">
              <w:rPr>
                <w:noProof/>
                <w:webHidden/>
              </w:rPr>
              <w:fldChar w:fldCharType="separate"/>
            </w:r>
            <w:r w:rsidR="00002566">
              <w:rPr>
                <w:noProof/>
                <w:webHidden/>
              </w:rPr>
              <w:t>8</w:t>
            </w:r>
            <w:r w:rsidR="00515FB6">
              <w:rPr>
                <w:noProof/>
                <w:webHidden/>
              </w:rPr>
              <w:fldChar w:fldCharType="end"/>
            </w:r>
          </w:hyperlink>
        </w:p>
        <w:p w14:paraId="348F5129"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291" w:history="1">
            <w:r w:rsidR="00515FB6" w:rsidRPr="006C54A0">
              <w:rPr>
                <w:rStyle w:val="Hyperlink"/>
                <w:noProof/>
                <w:lang w:eastAsia="en-AU"/>
              </w:rPr>
              <w:t>Working hours</w:t>
            </w:r>
            <w:r w:rsidR="00515FB6">
              <w:rPr>
                <w:noProof/>
                <w:webHidden/>
              </w:rPr>
              <w:tab/>
            </w:r>
            <w:r w:rsidR="00515FB6">
              <w:rPr>
                <w:noProof/>
                <w:webHidden/>
              </w:rPr>
              <w:fldChar w:fldCharType="begin"/>
            </w:r>
            <w:r w:rsidR="00515FB6">
              <w:rPr>
                <w:noProof/>
                <w:webHidden/>
              </w:rPr>
              <w:instrText xml:space="preserve"> PAGEREF _Toc519585291 \h </w:instrText>
            </w:r>
            <w:r w:rsidR="00515FB6">
              <w:rPr>
                <w:noProof/>
                <w:webHidden/>
              </w:rPr>
            </w:r>
            <w:r w:rsidR="00515FB6">
              <w:rPr>
                <w:noProof/>
                <w:webHidden/>
              </w:rPr>
              <w:fldChar w:fldCharType="separate"/>
            </w:r>
            <w:r w:rsidR="00002566">
              <w:rPr>
                <w:noProof/>
                <w:webHidden/>
              </w:rPr>
              <w:t>8</w:t>
            </w:r>
            <w:r w:rsidR="00515FB6">
              <w:rPr>
                <w:noProof/>
                <w:webHidden/>
              </w:rPr>
              <w:fldChar w:fldCharType="end"/>
            </w:r>
          </w:hyperlink>
        </w:p>
        <w:p w14:paraId="79297446"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292" w:history="1">
            <w:r w:rsidR="00515FB6" w:rsidRPr="006C54A0">
              <w:rPr>
                <w:rStyle w:val="Hyperlink"/>
                <w:noProof/>
              </w:rPr>
              <w:t>Summary</w:t>
            </w:r>
            <w:r w:rsidR="00515FB6">
              <w:rPr>
                <w:noProof/>
                <w:webHidden/>
              </w:rPr>
              <w:tab/>
            </w:r>
            <w:r w:rsidR="00515FB6">
              <w:rPr>
                <w:noProof/>
                <w:webHidden/>
              </w:rPr>
              <w:fldChar w:fldCharType="begin"/>
            </w:r>
            <w:r w:rsidR="00515FB6">
              <w:rPr>
                <w:noProof/>
                <w:webHidden/>
              </w:rPr>
              <w:instrText xml:space="preserve"> PAGEREF _Toc519585292 \h </w:instrText>
            </w:r>
            <w:r w:rsidR="00515FB6">
              <w:rPr>
                <w:noProof/>
                <w:webHidden/>
              </w:rPr>
            </w:r>
            <w:r w:rsidR="00515FB6">
              <w:rPr>
                <w:noProof/>
                <w:webHidden/>
              </w:rPr>
              <w:fldChar w:fldCharType="separate"/>
            </w:r>
            <w:r w:rsidR="00002566">
              <w:rPr>
                <w:noProof/>
                <w:webHidden/>
              </w:rPr>
              <w:t>10</w:t>
            </w:r>
            <w:r w:rsidR="00515FB6">
              <w:rPr>
                <w:noProof/>
                <w:webHidden/>
              </w:rPr>
              <w:fldChar w:fldCharType="end"/>
            </w:r>
          </w:hyperlink>
        </w:p>
        <w:p w14:paraId="465E8E3A" w14:textId="77777777" w:rsidR="00515FB6" w:rsidRDefault="0059343A">
          <w:pPr>
            <w:pStyle w:val="TOC1"/>
            <w:tabs>
              <w:tab w:val="right" w:leader="dot" w:pos="8540"/>
            </w:tabs>
            <w:rPr>
              <w:rFonts w:asciiTheme="minorHAnsi" w:eastAsiaTheme="minorEastAsia" w:hAnsiTheme="minorHAnsi" w:cstheme="minorBidi"/>
              <w:noProof/>
              <w:sz w:val="22"/>
              <w:szCs w:val="22"/>
              <w:lang w:val="en-US"/>
            </w:rPr>
          </w:pPr>
          <w:hyperlink w:anchor="_Toc519585293" w:history="1">
            <w:r w:rsidR="00515FB6" w:rsidRPr="006C54A0">
              <w:rPr>
                <w:rStyle w:val="Hyperlink"/>
                <w:noProof/>
              </w:rPr>
              <w:t>Chapter 2: The disability workforce in the states and territories</w:t>
            </w:r>
            <w:r w:rsidR="00515FB6">
              <w:rPr>
                <w:noProof/>
                <w:webHidden/>
              </w:rPr>
              <w:tab/>
            </w:r>
            <w:r w:rsidR="00515FB6">
              <w:rPr>
                <w:noProof/>
                <w:webHidden/>
              </w:rPr>
              <w:fldChar w:fldCharType="begin"/>
            </w:r>
            <w:r w:rsidR="00515FB6">
              <w:rPr>
                <w:noProof/>
                <w:webHidden/>
              </w:rPr>
              <w:instrText xml:space="preserve"> PAGEREF _Toc519585293 \h </w:instrText>
            </w:r>
            <w:r w:rsidR="00515FB6">
              <w:rPr>
                <w:noProof/>
                <w:webHidden/>
              </w:rPr>
            </w:r>
            <w:r w:rsidR="00515FB6">
              <w:rPr>
                <w:noProof/>
                <w:webHidden/>
              </w:rPr>
              <w:fldChar w:fldCharType="separate"/>
            </w:r>
            <w:r w:rsidR="00002566">
              <w:rPr>
                <w:noProof/>
                <w:webHidden/>
              </w:rPr>
              <w:t>11</w:t>
            </w:r>
            <w:r w:rsidR="00515FB6">
              <w:rPr>
                <w:noProof/>
                <w:webHidden/>
              </w:rPr>
              <w:fldChar w:fldCharType="end"/>
            </w:r>
          </w:hyperlink>
        </w:p>
        <w:p w14:paraId="34831705"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294" w:history="1">
            <w:r w:rsidR="00515FB6" w:rsidRPr="006C54A0">
              <w:rPr>
                <w:rStyle w:val="Hyperlink"/>
                <w:noProof/>
              </w:rPr>
              <w:t>Workforce casualisation — a converging trend</w:t>
            </w:r>
            <w:r w:rsidR="00515FB6">
              <w:rPr>
                <w:noProof/>
                <w:webHidden/>
              </w:rPr>
              <w:tab/>
            </w:r>
            <w:r w:rsidR="00515FB6">
              <w:rPr>
                <w:noProof/>
                <w:webHidden/>
              </w:rPr>
              <w:fldChar w:fldCharType="begin"/>
            </w:r>
            <w:r w:rsidR="00515FB6">
              <w:rPr>
                <w:noProof/>
                <w:webHidden/>
              </w:rPr>
              <w:instrText xml:space="preserve"> PAGEREF _Toc519585294 \h </w:instrText>
            </w:r>
            <w:r w:rsidR="00515FB6">
              <w:rPr>
                <w:noProof/>
                <w:webHidden/>
              </w:rPr>
            </w:r>
            <w:r w:rsidR="00515FB6">
              <w:rPr>
                <w:noProof/>
                <w:webHidden/>
              </w:rPr>
              <w:fldChar w:fldCharType="separate"/>
            </w:r>
            <w:r w:rsidR="00002566">
              <w:rPr>
                <w:noProof/>
                <w:webHidden/>
              </w:rPr>
              <w:t>11</w:t>
            </w:r>
            <w:r w:rsidR="00515FB6">
              <w:rPr>
                <w:noProof/>
                <w:webHidden/>
              </w:rPr>
              <w:fldChar w:fldCharType="end"/>
            </w:r>
          </w:hyperlink>
        </w:p>
        <w:p w14:paraId="2416ED64"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295" w:history="1">
            <w:r w:rsidR="00515FB6" w:rsidRPr="006C54A0">
              <w:rPr>
                <w:rStyle w:val="Hyperlink"/>
                <w:noProof/>
              </w:rPr>
              <w:t>Western Australia charts a different course on forms of employment</w:t>
            </w:r>
            <w:r w:rsidR="00515FB6">
              <w:rPr>
                <w:noProof/>
                <w:webHidden/>
              </w:rPr>
              <w:tab/>
            </w:r>
            <w:r w:rsidR="00515FB6">
              <w:rPr>
                <w:noProof/>
                <w:webHidden/>
              </w:rPr>
              <w:fldChar w:fldCharType="begin"/>
            </w:r>
            <w:r w:rsidR="00515FB6">
              <w:rPr>
                <w:noProof/>
                <w:webHidden/>
              </w:rPr>
              <w:instrText xml:space="preserve"> PAGEREF _Toc519585295 \h </w:instrText>
            </w:r>
            <w:r w:rsidR="00515FB6">
              <w:rPr>
                <w:noProof/>
                <w:webHidden/>
              </w:rPr>
            </w:r>
            <w:r w:rsidR="00515FB6">
              <w:rPr>
                <w:noProof/>
                <w:webHidden/>
              </w:rPr>
              <w:fldChar w:fldCharType="separate"/>
            </w:r>
            <w:r w:rsidR="00002566">
              <w:rPr>
                <w:noProof/>
                <w:webHidden/>
              </w:rPr>
              <w:t>11</w:t>
            </w:r>
            <w:r w:rsidR="00515FB6">
              <w:rPr>
                <w:noProof/>
                <w:webHidden/>
              </w:rPr>
              <w:fldChar w:fldCharType="end"/>
            </w:r>
          </w:hyperlink>
        </w:p>
        <w:p w14:paraId="1E9DCF40"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296" w:history="1">
            <w:r w:rsidR="00515FB6" w:rsidRPr="006C54A0">
              <w:rPr>
                <w:rStyle w:val="Hyperlink"/>
                <w:noProof/>
              </w:rPr>
              <w:t>Workforce turnover</w:t>
            </w:r>
            <w:r w:rsidR="00515FB6">
              <w:rPr>
                <w:noProof/>
                <w:webHidden/>
              </w:rPr>
              <w:tab/>
            </w:r>
            <w:r w:rsidR="00515FB6">
              <w:rPr>
                <w:noProof/>
                <w:webHidden/>
              </w:rPr>
              <w:fldChar w:fldCharType="begin"/>
            </w:r>
            <w:r w:rsidR="00515FB6">
              <w:rPr>
                <w:noProof/>
                <w:webHidden/>
              </w:rPr>
              <w:instrText xml:space="preserve"> PAGEREF _Toc519585296 \h </w:instrText>
            </w:r>
            <w:r w:rsidR="00515FB6">
              <w:rPr>
                <w:noProof/>
                <w:webHidden/>
              </w:rPr>
            </w:r>
            <w:r w:rsidR="00515FB6">
              <w:rPr>
                <w:noProof/>
                <w:webHidden/>
              </w:rPr>
              <w:fldChar w:fldCharType="separate"/>
            </w:r>
            <w:r w:rsidR="00002566">
              <w:rPr>
                <w:noProof/>
                <w:webHidden/>
              </w:rPr>
              <w:t>13</w:t>
            </w:r>
            <w:r w:rsidR="00515FB6">
              <w:rPr>
                <w:noProof/>
                <w:webHidden/>
              </w:rPr>
              <w:fldChar w:fldCharType="end"/>
            </w:r>
          </w:hyperlink>
        </w:p>
        <w:p w14:paraId="27248D63"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297" w:history="1">
            <w:r w:rsidR="00515FB6" w:rsidRPr="006C54A0">
              <w:rPr>
                <w:rStyle w:val="Hyperlink"/>
                <w:noProof/>
              </w:rPr>
              <w:t>Working hours variability</w:t>
            </w:r>
            <w:r w:rsidR="00515FB6">
              <w:rPr>
                <w:noProof/>
                <w:webHidden/>
              </w:rPr>
              <w:tab/>
            </w:r>
            <w:r w:rsidR="00515FB6">
              <w:rPr>
                <w:noProof/>
                <w:webHidden/>
              </w:rPr>
              <w:fldChar w:fldCharType="begin"/>
            </w:r>
            <w:r w:rsidR="00515FB6">
              <w:rPr>
                <w:noProof/>
                <w:webHidden/>
              </w:rPr>
              <w:instrText xml:space="preserve"> PAGEREF _Toc519585297 \h </w:instrText>
            </w:r>
            <w:r w:rsidR="00515FB6">
              <w:rPr>
                <w:noProof/>
                <w:webHidden/>
              </w:rPr>
            </w:r>
            <w:r w:rsidR="00515FB6">
              <w:rPr>
                <w:noProof/>
                <w:webHidden/>
              </w:rPr>
              <w:fldChar w:fldCharType="separate"/>
            </w:r>
            <w:r w:rsidR="00002566">
              <w:rPr>
                <w:noProof/>
                <w:webHidden/>
              </w:rPr>
              <w:t>14</w:t>
            </w:r>
            <w:r w:rsidR="00515FB6">
              <w:rPr>
                <w:noProof/>
                <w:webHidden/>
              </w:rPr>
              <w:fldChar w:fldCharType="end"/>
            </w:r>
          </w:hyperlink>
        </w:p>
        <w:p w14:paraId="4050DF37"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298" w:history="1">
            <w:r w:rsidR="00515FB6" w:rsidRPr="006C54A0">
              <w:rPr>
                <w:rStyle w:val="Hyperlink"/>
                <w:noProof/>
              </w:rPr>
              <w:t>Consistent gender and age disparities</w:t>
            </w:r>
            <w:r w:rsidR="00515FB6">
              <w:rPr>
                <w:noProof/>
                <w:webHidden/>
              </w:rPr>
              <w:tab/>
            </w:r>
            <w:r w:rsidR="00515FB6">
              <w:rPr>
                <w:noProof/>
                <w:webHidden/>
              </w:rPr>
              <w:fldChar w:fldCharType="begin"/>
            </w:r>
            <w:r w:rsidR="00515FB6">
              <w:rPr>
                <w:noProof/>
                <w:webHidden/>
              </w:rPr>
              <w:instrText xml:space="preserve"> PAGEREF _Toc519585298 \h </w:instrText>
            </w:r>
            <w:r w:rsidR="00515FB6">
              <w:rPr>
                <w:noProof/>
                <w:webHidden/>
              </w:rPr>
            </w:r>
            <w:r w:rsidR="00515FB6">
              <w:rPr>
                <w:noProof/>
                <w:webHidden/>
              </w:rPr>
              <w:fldChar w:fldCharType="separate"/>
            </w:r>
            <w:r w:rsidR="00002566">
              <w:rPr>
                <w:noProof/>
                <w:webHidden/>
              </w:rPr>
              <w:t>14</w:t>
            </w:r>
            <w:r w:rsidR="00515FB6">
              <w:rPr>
                <w:noProof/>
                <w:webHidden/>
              </w:rPr>
              <w:fldChar w:fldCharType="end"/>
            </w:r>
          </w:hyperlink>
        </w:p>
        <w:p w14:paraId="7990090F" w14:textId="77777777" w:rsidR="00515FB6" w:rsidRDefault="0059343A">
          <w:pPr>
            <w:pStyle w:val="TOC1"/>
            <w:tabs>
              <w:tab w:val="right" w:leader="dot" w:pos="8540"/>
            </w:tabs>
            <w:rPr>
              <w:rFonts w:asciiTheme="minorHAnsi" w:eastAsiaTheme="minorEastAsia" w:hAnsiTheme="minorHAnsi" w:cstheme="minorBidi"/>
              <w:noProof/>
              <w:sz w:val="22"/>
              <w:szCs w:val="22"/>
              <w:lang w:val="en-US"/>
            </w:rPr>
          </w:pPr>
          <w:hyperlink w:anchor="_Toc519585299" w:history="1">
            <w:r w:rsidR="00515FB6" w:rsidRPr="006C54A0">
              <w:rPr>
                <w:rStyle w:val="Hyperlink"/>
                <w:noProof/>
              </w:rPr>
              <w:t>Chapter 3: The profile of the allied health professionals</w:t>
            </w:r>
            <w:r w:rsidR="00515FB6">
              <w:rPr>
                <w:noProof/>
                <w:webHidden/>
              </w:rPr>
              <w:tab/>
            </w:r>
            <w:r w:rsidR="00515FB6">
              <w:rPr>
                <w:noProof/>
                <w:webHidden/>
              </w:rPr>
              <w:fldChar w:fldCharType="begin"/>
            </w:r>
            <w:r w:rsidR="00515FB6">
              <w:rPr>
                <w:noProof/>
                <w:webHidden/>
              </w:rPr>
              <w:instrText xml:space="preserve"> PAGEREF _Toc519585299 \h </w:instrText>
            </w:r>
            <w:r w:rsidR="00515FB6">
              <w:rPr>
                <w:noProof/>
                <w:webHidden/>
              </w:rPr>
            </w:r>
            <w:r w:rsidR="00515FB6">
              <w:rPr>
                <w:noProof/>
                <w:webHidden/>
              </w:rPr>
              <w:fldChar w:fldCharType="separate"/>
            </w:r>
            <w:r w:rsidR="00002566">
              <w:rPr>
                <w:noProof/>
                <w:webHidden/>
              </w:rPr>
              <w:t>16</w:t>
            </w:r>
            <w:r w:rsidR="00515FB6">
              <w:rPr>
                <w:noProof/>
                <w:webHidden/>
              </w:rPr>
              <w:fldChar w:fldCharType="end"/>
            </w:r>
          </w:hyperlink>
        </w:p>
        <w:p w14:paraId="25B87A9D"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300" w:history="1">
            <w:r w:rsidR="00515FB6" w:rsidRPr="006C54A0">
              <w:rPr>
                <w:rStyle w:val="Hyperlink"/>
                <w:noProof/>
              </w:rPr>
              <w:t>Forms of employment</w:t>
            </w:r>
            <w:r w:rsidR="00515FB6">
              <w:rPr>
                <w:noProof/>
                <w:webHidden/>
              </w:rPr>
              <w:tab/>
            </w:r>
            <w:r w:rsidR="00515FB6">
              <w:rPr>
                <w:noProof/>
                <w:webHidden/>
              </w:rPr>
              <w:fldChar w:fldCharType="begin"/>
            </w:r>
            <w:r w:rsidR="00515FB6">
              <w:rPr>
                <w:noProof/>
                <w:webHidden/>
              </w:rPr>
              <w:instrText xml:space="preserve"> PAGEREF _Toc519585300 \h </w:instrText>
            </w:r>
            <w:r w:rsidR="00515FB6">
              <w:rPr>
                <w:noProof/>
                <w:webHidden/>
              </w:rPr>
            </w:r>
            <w:r w:rsidR="00515FB6">
              <w:rPr>
                <w:noProof/>
                <w:webHidden/>
              </w:rPr>
              <w:fldChar w:fldCharType="separate"/>
            </w:r>
            <w:r w:rsidR="00002566">
              <w:rPr>
                <w:noProof/>
                <w:webHidden/>
              </w:rPr>
              <w:t>16</w:t>
            </w:r>
            <w:r w:rsidR="00515FB6">
              <w:rPr>
                <w:noProof/>
                <w:webHidden/>
              </w:rPr>
              <w:fldChar w:fldCharType="end"/>
            </w:r>
          </w:hyperlink>
        </w:p>
        <w:p w14:paraId="31449DBF"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301" w:history="1">
            <w:r w:rsidR="00515FB6" w:rsidRPr="006C54A0">
              <w:rPr>
                <w:rStyle w:val="Hyperlink"/>
                <w:noProof/>
              </w:rPr>
              <w:t>The age and gender profile of allied health professionals</w:t>
            </w:r>
            <w:r w:rsidR="00515FB6">
              <w:rPr>
                <w:noProof/>
                <w:webHidden/>
              </w:rPr>
              <w:tab/>
            </w:r>
            <w:r w:rsidR="00515FB6">
              <w:rPr>
                <w:noProof/>
                <w:webHidden/>
              </w:rPr>
              <w:fldChar w:fldCharType="begin"/>
            </w:r>
            <w:r w:rsidR="00515FB6">
              <w:rPr>
                <w:noProof/>
                <w:webHidden/>
              </w:rPr>
              <w:instrText xml:space="preserve"> PAGEREF _Toc519585301 \h </w:instrText>
            </w:r>
            <w:r w:rsidR="00515FB6">
              <w:rPr>
                <w:noProof/>
                <w:webHidden/>
              </w:rPr>
            </w:r>
            <w:r w:rsidR="00515FB6">
              <w:rPr>
                <w:noProof/>
                <w:webHidden/>
              </w:rPr>
              <w:fldChar w:fldCharType="separate"/>
            </w:r>
            <w:r w:rsidR="00002566">
              <w:rPr>
                <w:noProof/>
                <w:webHidden/>
              </w:rPr>
              <w:t>17</w:t>
            </w:r>
            <w:r w:rsidR="00515FB6">
              <w:rPr>
                <w:noProof/>
                <w:webHidden/>
              </w:rPr>
              <w:fldChar w:fldCharType="end"/>
            </w:r>
          </w:hyperlink>
        </w:p>
        <w:p w14:paraId="30647185" w14:textId="77777777" w:rsidR="00515FB6" w:rsidRDefault="0059343A">
          <w:pPr>
            <w:pStyle w:val="TOC1"/>
            <w:tabs>
              <w:tab w:val="right" w:leader="dot" w:pos="8540"/>
            </w:tabs>
            <w:rPr>
              <w:rFonts w:asciiTheme="minorHAnsi" w:eastAsiaTheme="minorEastAsia" w:hAnsiTheme="minorHAnsi" w:cstheme="minorBidi"/>
              <w:noProof/>
              <w:sz w:val="22"/>
              <w:szCs w:val="22"/>
              <w:lang w:val="en-US"/>
            </w:rPr>
          </w:pPr>
          <w:hyperlink w:anchor="_Toc519585302" w:history="1">
            <w:r w:rsidR="00515FB6" w:rsidRPr="006C54A0">
              <w:rPr>
                <w:rStyle w:val="Hyperlink"/>
                <w:noProof/>
              </w:rPr>
              <w:t>Chapter 4: Spotlight topics</w:t>
            </w:r>
            <w:r w:rsidR="00515FB6">
              <w:rPr>
                <w:noProof/>
                <w:webHidden/>
              </w:rPr>
              <w:tab/>
            </w:r>
            <w:r w:rsidR="00515FB6">
              <w:rPr>
                <w:noProof/>
                <w:webHidden/>
              </w:rPr>
              <w:fldChar w:fldCharType="begin"/>
            </w:r>
            <w:r w:rsidR="00515FB6">
              <w:rPr>
                <w:noProof/>
                <w:webHidden/>
              </w:rPr>
              <w:instrText xml:space="preserve"> PAGEREF _Toc519585302 \h </w:instrText>
            </w:r>
            <w:r w:rsidR="00515FB6">
              <w:rPr>
                <w:noProof/>
                <w:webHidden/>
              </w:rPr>
            </w:r>
            <w:r w:rsidR="00515FB6">
              <w:rPr>
                <w:noProof/>
                <w:webHidden/>
              </w:rPr>
              <w:fldChar w:fldCharType="separate"/>
            </w:r>
            <w:r w:rsidR="00002566">
              <w:rPr>
                <w:noProof/>
                <w:webHidden/>
              </w:rPr>
              <w:t>19</w:t>
            </w:r>
            <w:r w:rsidR="00515FB6">
              <w:rPr>
                <w:noProof/>
                <w:webHidden/>
              </w:rPr>
              <w:fldChar w:fldCharType="end"/>
            </w:r>
          </w:hyperlink>
        </w:p>
        <w:p w14:paraId="1863B996"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303" w:history="1">
            <w:r w:rsidR="00515FB6" w:rsidRPr="006C54A0">
              <w:rPr>
                <w:rStyle w:val="Hyperlink"/>
                <w:noProof/>
              </w:rPr>
              <w:t>Introduction</w:t>
            </w:r>
            <w:r w:rsidR="00515FB6">
              <w:rPr>
                <w:noProof/>
                <w:webHidden/>
              </w:rPr>
              <w:tab/>
            </w:r>
            <w:r w:rsidR="00515FB6">
              <w:rPr>
                <w:noProof/>
                <w:webHidden/>
              </w:rPr>
              <w:fldChar w:fldCharType="begin"/>
            </w:r>
            <w:r w:rsidR="00515FB6">
              <w:rPr>
                <w:noProof/>
                <w:webHidden/>
              </w:rPr>
              <w:instrText xml:space="preserve"> PAGEREF _Toc519585303 \h </w:instrText>
            </w:r>
            <w:r w:rsidR="00515FB6">
              <w:rPr>
                <w:noProof/>
                <w:webHidden/>
              </w:rPr>
            </w:r>
            <w:r w:rsidR="00515FB6">
              <w:rPr>
                <w:noProof/>
                <w:webHidden/>
              </w:rPr>
              <w:fldChar w:fldCharType="separate"/>
            </w:r>
            <w:r w:rsidR="00002566">
              <w:rPr>
                <w:noProof/>
                <w:webHidden/>
              </w:rPr>
              <w:t>19</w:t>
            </w:r>
            <w:r w:rsidR="00515FB6">
              <w:rPr>
                <w:noProof/>
                <w:webHidden/>
              </w:rPr>
              <w:fldChar w:fldCharType="end"/>
            </w:r>
          </w:hyperlink>
        </w:p>
        <w:p w14:paraId="44D360CC"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304" w:history="1">
            <w:r w:rsidR="00515FB6" w:rsidRPr="006C54A0">
              <w:rPr>
                <w:rStyle w:val="Hyperlink"/>
                <w:noProof/>
              </w:rPr>
              <w:t>Spotlight Topic 1: The qualifications of newly recruited disability workers</w:t>
            </w:r>
            <w:r w:rsidR="00515FB6">
              <w:rPr>
                <w:noProof/>
                <w:webHidden/>
              </w:rPr>
              <w:tab/>
            </w:r>
            <w:r w:rsidR="00515FB6">
              <w:rPr>
                <w:noProof/>
                <w:webHidden/>
              </w:rPr>
              <w:fldChar w:fldCharType="begin"/>
            </w:r>
            <w:r w:rsidR="00515FB6">
              <w:rPr>
                <w:noProof/>
                <w:webHidden/>
              </w:rPr>
              <w:instrText xml:space="preserve"> PAGEREF _Toc519585304 \h </w:instrText>
            </w:r>
            <w:r w:rsidR="00515FB6">
              <w:rPr>
                <w:noProof/>
                <w:webHidden/>
              </w:rPr>
            </w:r>
            <w:r w:rsidR="00515FB6">
              <w:rPr>
                <w:noProof/>
                <w:webHidden/>
              </w:rPr>
              <w:fldChar w:fldCharType="separate"/>
            </w:r>
            <w:r w:rsidR="00002566">
              <w:rPr>
                <w:noProof/>
                <w:webHidden/>
              </w:rPr>
              <w:t>19</w:t>
            </w:r>
            <w:r w:rsidR="00515FB6">
              <w:rPr>
                <w:noProof/>
                <w:webHidden/>
              </w:rPr>
              <w:fldChar w:fldCharType="end"/>
            </w:r>
          </w:hyperlink>
        </w:p>
        <w:p w14:paraId="7C353983"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305" w:history="1">
            <w:r w:rsidR="00515FB6" w:rsidRPr="006C54A0">
              <w:rPr>
                <w:rStyle w:val="Hyperlink"/>
                <w:noProof/>
              </w:rPr>
              <w:t>How many new recruits are formally qualified?</w:t>
            </w:r>
            <w:r w:rsidR="00515FB6">
              <w:rPr>
                <w:noProof/>
                <w:webHidden/>
              </w:rPr>
              <w:tab/>
            </w:r>
            <w:r w:rsidR="00515FB6">
              <w:rPr>
                <w:noProof/>
                <w:webHidden/>
              </w:rPr>
              <w:fldChar w:fldCharType="begin"/>
            </w:r>
            <w:r w:rsidR="00515FB6">
              <w:rPr>
                <w:noProof/>
                <w:webHidden/>
              </w:rPr>
              <w:instrText xml:space="preserve"> PAGEREF _Toc519585305 \h </w:instrText>
            </w:r>
            <w:r w:rsidR="00515FB6">
              <w:rPr>
                <w:noProof/>
                <w:webHidden/>
              </w:rPr>
            </w:r>
            <w:r w:rsidR="00515FB6">
              <w:rPr>
                <w:noProof/>
                <w:webHidden/>
              </w:rPr>
              <w:fldChar w:fldCharType="separate"/>
            </w:r>
            <w:r w:rsidR="00002566">
              <w:rPr>
                <w:noProof/>
                <w:webHidden/>
              </w:rPr>
              <w:t>19</w:t>
            </w:r>
            <w:r w:rsidR="00515FB6">
              <w:rPr>
                <w:noProof/>
                <w:webHidden/>
              </w:rPr>
              <w:fldChar w:fldCharType="end"/>
            </w:r>
          </w:hyperlink>
        </w:p>
        <w:p w14:paraId="20EC5AC4"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306" w:history="1">
            <w:r w:rsidR="00515FB6" w:rsidRPr="006C54A0">
              <w:rPr>
                <w:rStyle w:val="Hyperlink"/>
                <w:noProof/>
              </w:rPr>
              <w:t>How states vary in the level of qualified new recruits</w:t>
            </w:r>
            <w:r w:rsidR="00515FB6">
              <w:rPr>
                <w:noProof/>
                <w:webHidden/>
              </w:rPr>
              <w:tab/>
            </w:r>
            <w:r w:rsidR="00515FB6">
              <w:rPr>
                <w:noProof/>
                <w:webHidden/>
              </w:rPr>
              <w:fldChar w:fldCharType="begin"/>
            </w:r>
            <w:r w:rsidR="00515FB6">
              <w:rPr>
                <w:noProof/>
                <w:webHidden/>
              </w:rPr>
              <w:instrText xml:space="preserve"> PAGEREF _Toc519585306 \h </w:instrText>
            </w:r>
            <w:r w:rsidR="00515FB6">
              <w:rPr>
                <w:noProof/>
                <w:webHidden/>
              </w:rPr>
            </w:r>
            <w:r w:rsidR="00515FB6">
              <w:rPr>
                <w:noProof/>
                <w:webHidden/>
              </w:rPr>
              <w:fldChar w:fldCharType="separate"/>
            </w:r>
            <w:r w:rsidR="00002566">
              <w:rPr>
                <w:noProof/>
                <w:webHidden/>
              </w:rPr>
              <w:t>20</w:t>
            </w:r>
            <w:r w:rsidR="00515FB6">
              <w:rPr>
                <w:noProof/>
                <w:webHidden/>
              </w:rPr>
              <w:fldChar w:fldCharType="end"/>
            </w:r>
          </w:hyperlink>
        </w:p>
        <w:p w14:paraId="2662D491"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307" w:history="1">
            <w:r w:rsidR="00515FB6" w:rsidRPr="006C54A0">
              <w:rPr>
                <w:rStyle w:val="Hyperlink"/>
                <w:noProof/>
              </w:rPr>
              <w:t>Spotlight Topic 2: Recruitment difficulty</w:t>
            </w:r>
            <w:r w:rsidR="00515FB6">
              <w:rPr>
                <w:noProof/>
                <w:webHidden/>
              </w:rPr>
              <w:tab/>
            </w:r>
            <w:r w:rsidR="00515FB6">
              <w:rPr>
                <w:noProof/>
                <w:webHidden/>
              </w:rPr>
              <w:fldChar w:fldCharType="begin"/>
            </w:r>
            <w:r w:rsidR="00515FB6">
              <w:rPr>
                <w:noProof/>
                <w:webHidden/>
              </w:rPr>
              <w:instrText xml:space="preserve"> PAGEREF _Toc519585307 \h </w:instrText>
            </w:r>
            <w:r w:rsidR="00515FB6">
              <w:rPr>
                <w:noProof/>
                <w:webHidden/>
              </w:rPr>
            </w:r>
            <w:r w:rsidR="00515FB6">
              <w:rPr>
                <w:noProof/>
                <w:webHidden/>
              </w:rPr>
              <w:fldChar w:fldCharType="separate"/>
            </w:r>
            <w:r w:rsidR="00002566">
              <w:rPr>
                <w:noProof/>
                <w:webHidden/>
              </w:rPr>
              <w:t>20</w:t>
            </w:r>
            <w:r w:rsidR="00515FB6">
              <w:rPr>
                <w:noProof/>
                <w:webHidden/>
              </w:rPr>
              <w:fldChar w:fldCharType="end"/>
            </w:r>
          </w:hyperlink>
        </w:p>
        <w:p w14:paraId="38817D77"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308" w:history="1">
            <w:r w:rsidR="00515FB6" w:rsidRPr="006C54A0">
              <w:rPr>
                <w:rStyle w:val="Hyperlink"/>
                <w:noProof/>
              </w:rPr>
              <w:t>Level of recruitment activity</w:t>
            </w:r>
            <w:r w:rsidR="00515FB6">
              <w:rPr>
                <w:noProof/>
                <w:webHidden/>
              </w:rPr>
              <w:tab/>
            </w:r>
            <w:r w:rsidR="00515FB6">
              <w:rPr>
                <w:noProof/>
                <w:webHidden/>
              </w:rPr>
              <w:fldChar w:fldCharType="begin"/>
            </w:r>
            <w:r w:rsidR="00515FB6">
              <w:rPr>
                <w:noProof/>
                <w:webHidden/>
              </w:rPr>
              <w:instrText xml:space="preserve"> PAGEREF _Toc519585308 \h </w:instrText>
            </w:r>
            <w:r w:rsidR="00515FB6">
              <w:rPr>
                <w:noProof/>
                <w:webHidden/>
              </w:rPr>
            </w:r>
            <w:r w:rsidR="00515FB6">
              <w:rPr>
                <w:noProof/>
                <w:webHidden/>
              </w:rPr>
              <w:fldChar w:fldCharType="separate"/>
            </w:r>
            <w:r w:rsidR="00002566">
              <w:rPr>
                <w:noProof/>
                <w:webHidden/>
              </w:rPr>
              <w:t>20</w:t>
            </w:r>
            <w:r w:rsidR="00515FB6">
              <w:rPr>
                <w:noProof/>
                <w:webHidden/>
              </w:rPr>
              <w:fldChar w:fldCharType="end"/>
            </w:r>
          </w:hyperlink>
        </w:p>
        <w:p w14:paraId="5AB7204F"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309" w:history="1">
            <w:r w:rsidR="00515FB6" w:rsidRPr="006C54A0">
              <w:rPr>
                <w:rStyle w:val="Hyperlink"/>
                <w:noProof/>
              </w:rPr>
              <w:t>Were employers successful in filling their vacancies?</w:t>
            </w:r>
            <w:r w:rsidR="00515FB6">
              <w:rPr>
                <w:noProof/>
                <w:webHidden/>
              </w:rPr>
              <w:tab/>
            </w:r>
            <w:r w:rsidR="00515FB6">
              <w:rPr>
                <w:noProof/>
                <w:webHidden/>
              </w:rPr>
              <w:fldChar w:fldCharType="begin"/>
            </w:r>
            <w:r w:rsidR="00515FB6">
              <w:rPr>
                <w:noProof/>
                <w:webHidden/>
              </w:rPr>
              <w:instrText xml:space="preserve"> PAGEREF _Toc519585309 \h </w:instrText>
            </w:r>
            <w:r w:rsidR="00515FB6">
              <w:rPr>
                <w:noProof/>
                <w:webHidden/>
              </w:rPr>
            </w:r>
            <w:r w:rsidR="00515FB6">
              <w:rPr>
                <w:noProof/>
                <w:webHidden/>
              </w:rPr>
              <w:fldChar w:fldCharType="separate"/>
            </w:r>
            <w:r w:rsidR="00002566">
              <w:rPr>
                <w:noProof/>
                <w:webHidden/>
              </w:rPr>
              <w:t>21</w:t>
            </w:r>
            <w:r w:rsidR="00515FB6">
              <w:rPr>
                <w:noProof/>
                <w:webHidden/>
              </w:rPr>
              <w:fldChar w:fldCharType="end"/>
            </w:r>
          </w:hyperlink>
        </w:p>
        <w:p w14:paraId="3E5F6DFC"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310" w:history="1">
            <w:r w:rsidR="00515FB6" w:rsidRPr="006C54A0">
              <w:rPr>
                <w:rStyle w:val="Hyperlink"/>
                <w:rFonts w:eastAsia="Arial"/>
                <w:noProof/>
              </w:rPr>
              <w:t>Reasons for unfilled vacancies</w:t>
            </w:r>
            <w:r w:rsidR="00515FB6">
              <w:rPr>
                <w:noProof/>
                <w:webHidden/>
              </w:rPr>
              <w:tab/>
            </w:r>
            <w:r w:rsidR="00515FB6">
              <w:rPr>
                <w:noProof/>
                <w:webHidden/>
              </w:rPr>
              <w:fldChar w:fldCharType="begin"/>
            </w:r>
            <w:r w:rsidR="00515FB6">
              <w:rPr>
                <w:noProof/>
                <w:webHidden/>
              </w:rPr>
              <w:instrText xml:space="preserve"> PAGEREF _Toc519585310 \h </w:instrText>
            </w:r>
            <w:r w:rsidR="00515FB6">
              <w:rPr>
                <w:noProof/>
                <w:webHidden/>
              </w:rPr>
            </w:r>
            <w:r w:rsidR="00515FB6">
              <w:rPr>
                <w:noProof/>
                <w:webHidden/>
              </w:rPr>
              <w:fldChar w:fldCharType="separate"/>
            </w:r>
            <w:r w:rsidR="00002566">
              <w:rPr>
                <w:noProof/>
                <w:webHidden/>
              </w:rPr>
              <w:t>22</w:t>
            </w:r>
            <w:r w:rsidR="00515FB6">
              <w:rPr>
                <w:noProof/>
                <w:webHidden/>
              </w:rPr>
              <w:fldChar w:fldCharType="end"/>
            </w:r>
          </w:hyperlink>
        </w:p>
        <w:p w14:paraId="6E0B3CFA"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311" w:history="1">
            <w:r w:rsidR="00515FB6" w:rsidRPr="006C54A0">
              <w:rPr>
                <w:rStyle w:val="Hyperlink"/>
                <w:rFonts w:eastAsia="Arial"/>
                <w:noProof/>
              </w:rPr>
              <w:t>Recruiting allied health professionals</w:t>
            </w:r>
            <w:r w:rsidR="00515FB6">
              <w:rPr>
                <w:noProof/>
                <w:webHidden/>
              </w:rPr>
              <w:tab/>
            </w:r>
            <w:r w:rsidR="00515FB6">
              <w:rPr>
                <w:noProof/>
                <w:webHidden/>
              </w:rPr>
              <w:fldChar w:fldCharType="begin"/>
            </w:r>
            <w:r w:rsidR="00515FB6">
              <w:rPr>
                <w:noProof/>
                <w:webHidden/>
              </w:rPr>
              <w:instrText xml:space="preserve"> PAGEREF _Toc519585311 \h </w:instrText>
            </w:r>
            <w:r w:rsidR="00515FB6">
              <w:rPr>
                <w:noProof/>
                <w:webHidden/>
              </w:rPr>
            </w:r>
            <w:r w:rsidR="00515FB6">
              <w:rPr>
                <w:noProof/>
                <w:webHidden/>
              </w:rPr>
              <w:fldChar w:fldCharType="separate"/>
            </w:r>
            <w:r w:rsidR="00002566">
              <w:rPr>
                <w:noProof/>
                <w:webHidden/>
              </w:rPr>
              <w:t>23</w:t>
            </w:r>
            <w:r w:rsidR="00515FB6">
              <w:rPr>
                <w:noProof/>
                <w:webHidden/>
              </w:rPr>
              <w:fldChar w:fldCharType="end"/>
            </w:r>
          </w:hyperlink>
        </w:p>
        <w:p w14:paraId="402F3A42" w14:textId="77777777" w:rsidR="00515FB6" w:rsidRDefault="0059343A">
          <w:pPr>
            <w:pStyle w:val="TOC2"/>
            <w:tabs>
              <w:tab w:val="right" w:leader="dot" w:pos="8540"/>
            </w:tabs>
            <w:rPr>
              <w:rFonts w:asciiTheme="minorHAnsi" w:eastAsiaTheme="minorEastAsia" w:hAnsiTheme="minorHAnsi" w:cstheme="minorBidi"/>
              <w:noProof/>
              <w:sz w:val="22"/>
              <w:szCs w:val="22"/>
              <w:lang w:val="en-US"/>
            </w:rPr>
          </w:pPr>
          <w:hyperlink w:anchor="_Toc519585312" w:history="1">
            <w:r w:rsidR="00515FB6" w:rsidRPr="006C54A0">
              <w:rPr>
                <w:rStyle w:val="Hyperlink"/>
                <w:noProof/>
              </w:rPr>
              <w:t>Summary</w:t>
            </w:r>
            <w:r w:rsidR="00515FB6">
              <w:rPr>
                <w:noProof/>
                <w:webHidden/>
              </w:rPr>
              <w:tab/>
            </w:r>
            <w:r w:rsidR="00515FB6">
              <w:rPr>
                <w:noProof/>
                <w:webHidden/>
              </w:rPr>
              <w:fldChar w:fldCharType="begin"/>
            </w:r>
            <w:r w:rsidR="00515FB6">
              <w:rPr>
                <w:noProof/>
                <w:webHidden/>
              </w:rPr>
              <w:instrText xml:space="preserve"> PAGEREF _Toc519585312 \h </w:instrText>
            </w:r>
            <w:r w:rsidR="00515FB6">
              <w:rPr>
                <w:noProof/>
                <w:webHidden/>
              </w:rPr>
            </w:r>
            <w:r w:rsidR="00515FB6">
              <w:rPr>
                <w:noProof/>
                <w:webHidden/>
              </w:rPr>
              <w:fldChar w:fldCharType="separate"/>
            </w:r>
            <w:r w:rsidR="00002566">
              <w:rPr>
                <w:noProof/>
                <w:webHidden/>
              </w:rPr>
              <w:t>24</w:t>
            </w:r>
            <w:r w:rsidR="00515FB6">
              <w:rPr>
                <w:noProof/>
                <w:webHidden/>
              </w:rPr>
              <w:fldChar w:fldCharType="end"/>
            </w:r>
          </w:hyperlink>
        </w:p>
        <w:p w14:paraId="6EDABE21" w14:textId="77777777" w:rsidR="00515FB6" w:rsidRDefault="0059343A">
          <w:pPr>
            <w:pStyle w:val="TOC1"/>
            <w:tabs>
              <w:tab w:val="right" w:leader="dot" w:pos="8540"/>
            </w:tabs>
            <w:rPr>
              <w:rFonts w:asciiTheme="minorHAnsi" w:eastAsiaTheme="minorEastAsia" w:hAnsiTheme="minorHAnsi" w:cstheme="minorBidi"/>
              <w:noProof/>
              <w:sz w:val="22"/>
              <w:szCs w:val="22"/>
              <w:lang w:val="en-US"/>
            </w:rPr>
          </w:pPr>
          <w:hyperlink w:anchor="_Toc519585313" w:history="1">
            <w:r w:rsidR="00515FB6" w:rsidRPr="006C54A0">
              <w:rPr>
                <w:rStyle w:val="Hyperlink"/>
                <w:noProof/>
              </w:rPr>
              <w:t>Appendix: Sample size, Workforce Wizard users each quarter</w:t>
            </w:r>
            <w:r w:rsidR="00515FB6">
              <w:rPr>
                <w:noProof/>
                <w:webHidden/>
              </w:rPr>
              <w:tab/>
            </w:r>
            <w:r w:rsidR="00515FB6">
              <w:rPr>
                <w:noProof/>
                <w:webHidden/>
              </w:rPr>
              <w:fldChar w:fldCharType="begin"/>
            </w:r>
            <w:r w:rsidR="00515FB6">
              <w:rPr>
                <w:noProof/>
                <w:webHidden/>
              </w:rPr>
              <w:instrText xml:space="preserve"> PAGEREF _Toc519585313 \h </w:instrText>
            </w:r>
            <w:r w:rsidR="00515FB6">
              <w:rPr>
                <w:noProof/>
                <w:webHidden/>
              </w:rPr>
            </w:r>
            <w:r w:rsidR="00515FB6">
              <w:rPr>
                <w:noProof/>
                <w:webHidden/>
              </w:rPr>
              <w:fldChar w:fldCharType="separate"/>
            </w:r>
            <w:r w:rsidR="00002566">
              <w:rPr>
                <w:noProof/>
                <w:webHidden/>
              </w:rPr>
              <w:t>25</w:t>
            </w:r>
            <w:r w:rsidR="00515FB6">
              <w:rPr>
                <w:noProof/>
                <w:webHidden/>
              </w:rPr>
              <w:fldChar w:fldCharType="end"/>
            </w:r>
          </w:hyperlink>
        </w:p>
        <w:p w14:paraId="5F5B0B93" w14:textId="77365536" w:rsidR="002F5784" w:rsidRPr="004808D5" w:rsidRDefault="002F5784" w:rsidP="009058CC">
          <w:r w:rsidRPr="004808D5">
            <w:rPr>
              <w:noProof/>
            </w:rPr>
            <w:fldChar w:fldCharType="end"/>
          </w:r>
        </w:p>
      </w:sdtContent>
    </w:sdt>
    <w:p w14:paraId="07676583" w14:textId="77777777" w:rsidR="002F5784" w:rsidRPr="004808D5" w:rsidRDefault="002F5784" w:rsidP="009058CC">
      <w:pPr>
        <w:rPr>
          <w:rFonts w:eastAsiaTheme="majorEastAsia"/>
          <w:color w:val="2E74B5" w:themeColor="accent1" w:themeShade="BF"/>
          <w:sz w:val="32"/>
          <w:szCs w:val="32"/>
        </w:rPr>
      </w:pPr>
      <w:r w:rsidRPr="004808D5">
        <w:br w:type="page"/>
      </w:r>
    </w:p>
    <w:p w14:paraId="1E1A0A9D" w14:textId="77777777" w:rsidR="002F5784" w:rsidRPr="00253EE9" w:rsidRDefault="002F5784" w:rsidP="009058CC">
      <w:pPr>
        <w:pStyle w:val="Heading1"/>
        <w:rPr>
          <w:rFonts w:ascii="Arial" w:hAnsi="Arial" w:cs="Arial"/>
          <w:color w:val="auto"/>
        </w:rPr>
      </w:pPr>
      <w:bookmarkStart w:id="0" w:name="_Toc516755875"/>
      <w:bookmarkStart w:id="1" w:name="_Toc519585284"/>
      <w:r w:rsidRPr="00253EE9">
        <w:rPr>
          <w:rFonts w:ascii="Arial" w:hAnsi="Arial" w:cs="Arial"/>
          <w:color w:val="auto"/>
        </w:rPr>
        <w:lastRenderedPageBreak/>
        <w:t>Introduction</w:t>
      </w:r>
      <w:bookmarkEnd w:id="0"/>
      <w:bookmarkEnd w:id="1"/>
    </w:p>
    <w:p w14:paraId="6815EBA5" w14:textId="77777777" w:rsidR="002F5784" w:rsidRPr="00253EE9" w:rsidRDefault="002F5784" w:rsidP="009058CC"/>
    <w:p w14:paraId="641BE9C4" w14:textId="13A55AB7" w:rsidR="007F4A92" w:rsidRPr="00253EE9" w:rsidRDefault="007F4A92" w:rsidP="009058CC">
      <w:r w:rsidRPr="00253EE9">
        <w:t xml:space="preserve">This midyear </w:t>
      </w:r>
      <w:r w:rsidR="00B3789F" w:rsidRPr="00253EE9">
        <w:t>update</w:t>
      </w:r>
      <w:r w:rsidRPr="00253EE9">
        <w:t xml:space="preserve"> is part of NDS’s </w:t>
      </w:r>
      <w:r w:rsidR="000811D0" w:rsidRPr="00253EE9">
        <w:t xml:space="preserve">on-going </w:t>
      </w:r>
      <w:r w:rsidR="00C864D7" w:rsidRPr="00253EE9">
        <w:t>tracking</w:t>
      </w:r>
      <w:r w:rsidRPr="00253EE9">
        <w:t xml:space="preserve"> of disability workforce trends using data from Workforce Wizard, the sector’s quarterly workforce data collection.</w:t>
      </w:r>
      <w:r w:rsidR="006B40F7" w:rsidRPr="00253EE9">
        <w:t xml:space="preserve"> </w:t>
      </w:r>
      <w:r w:rsidR="00B94485" w:rsidRPr="00253EE9">
        <w:t>Eleven</w:t>
      </w:r>
      <w:r w:rsidRPr="00253EE9">
        <w:t xml:space="preserve"> quarters of </w:t>
      </w:r>
      <w:r w:rsidR="00C82FEC" w:rsidRPr="00253EE9">
        <w:t>‘</w:t>
      </w:r>
      <w:r w:rsidRPr="00253EE9">
        <w:t xml:space="preserve">Workforce Wizard data, now covering some </w:t>
      </w:r>
      <w:r w:rsidR="00925669" w:rsidRPr="00253EE9">
        <w:t>45,000</w:t>
      </w:r>
      <w:r w:rsidRPr="00253EE9">
        <w:t xml:space="preserve"> worke</w:t>
      </w:r>
      <w:r w:rsidR="00B94485" w:rsidRPr="00253EE9">
        <w:t xml:space="preserve">rs nationally, </w:t>
      </w:r>
      <w:r w:rsidR="007C7E55" w:rsidRPr="00253EE9">
        <w:t>are presented.</w:t>
      </w:r>
    </w:p>
    <w:p w14:paraId="6615C4F2" w14:textId="77777777" w:rsidR="00B3789F" w:rsidRPr="00253EE9" w:rsidRDefault="00B3789F" w:rsidP="009058CC"/>
    <w:p w14:paraId="7278EDC0" w14:textId="6BE09CB4" w:rsidR="00B3789F" w:rsidRPr="00253EE9" w:rsidRDefault="007F4A92" w:rsidP="009058CC">
      <w:r w:rsidRPr="00253EE9">
        <w:t xml:space="preserve">The </w:t>
      </w:r>
      <w:r w:rsidR="00B3789F" w:rsidRPr="00253EE9">
        <w:t>update</w:t>
      </w:r>
      <w:r w:rsidRPr="00253EE9">
        <w:t xml:space="preserve"> examines whether </w:t>
      </w:r>
      <w:r w:rsidR="00B3789F" w:rsidRPr="00253EE9">
        <w:t xml:space="preserve">the </w:t>
      </w:r>
      <w:r w:rsidRPr="00253EE9">
        <w:t>patterns comprehensively analysed in our February</w:t>
      </w:r>
      <w:r w:rsidR="00094CDC" w:rsidRPr="00253EE9">
        <w:t xml:space="preserve"> 2018</w:t>
      </w:r>
      <w:r w:rsidRPr="00253EE9">
        <w:t xml:space="preserve"> </w:t>
      </w:r>
      <w:r w:rsidR="006B40F7" w:rsidRPr="00253EE9">
        <w:rPr>
          <w:b/>
        </w:rPr>
        <w:t>Australian Disability Workforce Report</w:t>
      </w:r>
      <w:r w:rsidRPr="00253EE9">
        <w:t xml:space="preserve"> (available through the NDS website) are continuing</w:t>
      </w:r>
      <w:r w:rsidR="00B3789F" w:rsidRPr="00253EE9">
        <w:t>, stalling or reversing.</w:t>
      </w:r>
    </w:p>
    <w:p w14:paraId="147C737B" w14:textId="2445D67D" w:rsidR="007F4A92" w:rsidRPr="00253EE9" w:rsidRDefault="00B3789F" w:rsidP="009058CC">
      <w:r w:rsidRPr="00253EE9">
        <w:t xml:space="preserve"> </w:t>
      </w:r>
    </w:p>
    <w:p w14:paraId="42D26FDB" w14:textId="58786A36" w:rsidR="002F5784" w:rsidRPr="00253EE9" w:rsidRDefault="007F4A92" w:rsidP="0088669A">
      <w:pPr>
        <w:rPr>
          <w:rFonts w:eastAsiaTheme="majorEastAsia"/>
          <w:sz w:val="32"/>
          <w:szCs w:val="32"/>
        </w:rPr>
      </w:pPr>
      <w:r w:rsidRPr="00253EE9">
        <w:t xml:space="preserve">In addition, it discusses state-level features which </w:t>
      </w:r>
      <w:r w:rsidR="006B40F7" w:rsidRPr="00253EE9">
        <w:t>highlight</w:t>
      </w:r>
      <w:r w:rsidRPr="00253EE9">
        <w:t xml:space="preserve"> the challenges faced by the sector </w:t>
      </w:r>
      <w:r w:rsidR="00C864D7" w:rsidRPr="00253EE9">
        <w:t>in different parts of the</w:t>
      </w:r>
      <w:r w:rsidRPr="00253EE9">
        <w:t xml:space="preserve"> country. Finally, the results of the two latest ‘spotlight topics’ are included, providing new information abou</w:t>
      </w:r>
      <w:r w:rsidR="006B40F7" w:rsidRPr="00253EE9">
        <w:t>t topics providers report on a on</w:t>
      </w:r>
      <w:r w:rsidRPr="00253EE9">
        <w:t>e-off basis.</w:t>
      </w:r>
    </w:p>
    <w:p w14:paraId="318C3673" w14:textId="77777777" w:rsidR="003B0A8B" w:rsidRPr="00253EE9" w:rsidRDefault="003B0A8B">
      <w:pPr>
        <w:spacing w:after="160"/>
      </w:pPr>
    </w:p>
    <w:p w14:paraId="49BD306A" w14:textId="54B0C1BA" w:rsidR="003B0A8B" w:rsidRPr="00253EE9" w:rsidRDefault="003B0A8B">
      <w:pPr>
        <w:spacing w:after="160"/>
      </w:pPr>
      <w:r w:rsidRPr="00253EE9">
        <w:t xml:space="preserve">This </w:t>
      </w:r>
      <w:r w:rsidR="0045622D" w:rsidRPr="00253EE9">
        <w:t>report</w:t>
      </w:r>
      <w:r w:rsidRPr="00253EE9">
        <w:t xml:space="preserve"> does not give a detailed account of our methodology, nor does it present all the data behind trends. </w:t>
      </w:r>
      <w:r w:rsidR="0045622D" w:rsidRPr="00253EE9">
        <w:t xml:space="preserve">For </w:t>
      </w:r>
      <w:r w:rsidR="00C864D7" w:rsidRPr="00253EE9">
        <w:t>methodology</w:t>
      </w:r>
      <w:r w:rsidRPr="00253EE9">
        <w:t xml:space="preserve">, please read the February 2018 </w:t>
      </w:r>
      <w:r w:rsidRPr="00253EE9">
        <w:rPr>
          <w:b/>
        </w:rPr>
        <w:t>Australian Disability Workforce Report</w:t>
      </w:r>
      <w:r w:rsidR="0018491A" w:rsidRPr="00253EE9">
        <w:rPr>
          <w:b/>
        </w:rPr>
        <w:t xml:space="preserve"> </w:t>
      </w:r>
      <w:r w:rsidR="0018491A" w:rsidRPr="00253EE9">
        <w:t>available at the NDS Workforce Hub, on the Knowing Your Workforce page</w:t>
      </w:r>
      <w:r w:rsidRPr="00253EE9">
        <w:t xml:space="preserve">. </w:t>
      </w:r>
      <w:bookmarkStart w:id="2" w:name="_GoBack"/>
      <w:bookmarkEnd w:id="2"/>
    </w:p>
    <w:p w14:paraId="47F058AF" w14:textId="0B3878AF" w:rsidR="007339A4" w:rsidRPr="00253EE9" w:rsidRDefault="007339A4">
      <w:pPr>
        <w:spacing w:after="160"/>
      </w:pPr>
      <w:r w:rsidRPr="00253EE9">
        <w:t xml:space="preserve">As always, we are keen to hear your suggestions about </w:t>
      </w:r>
      <w:r w:rsidR="000811D0" w:rsidRPr="00253EE9">
        <w:t>reports</w:t>
      </w:r>
      <w:r w:rsidRPr="00253EE9">
        <w:t>, and what you would like Workforce Wizard to tackle next. Workforce</w:t>
      </w:r>
      <w:r w:rsidR="000811D0" w:rsidRPr="00253EE9">
        <w:t xml:space="preserve"> Wizard is your workforce data </w:t>
      </w:r>
      <w:r w:rsidRPr="00253EE9">
        <w:t xml:space="preserve">tool, built for convenience, rigour and maximum </w:t>
      </w:r>
      <w:r w:rsidR="000811D0" w:rsidRPr="00253EE9">
        <w:t>usefulness for</w:t>
      </w:r>
      <w:r w:rsidRPr="00253EE9">
        <w:t xml:space="preserve"> the sector. </w:t>
      </w:r>
    </w:p>
    <w:p w14:paraId="2343ABAB" w14:textId="79F73A6E" w:rsidR="0088669A" w:rsidRPr="00253EE9" w:rsidRDefault="0088669A">
      <w:pPr>
        <w:spacing w:after="160"/>
        <w:rPr>
          <w:rFonts w:eastAsiaTheme="majorEastAsia"/>
          <w:sz w:val="32"/>
          <w:szCs w:val="32"/>
        </w:rPr>
      </w:pPr>
      <w:r w:rsidRPr="00253EE9">
        <w:br w:type="page"/>
      </w:r>
    </w:p>
    <w:p w14:paraId="357678E7" w14:textId="4F32740B" w:rsidR="00BE2E7F" w:rsidRPr="00253EE9" w:rsidRDefault="00DE6096" w:rsidP="009058CC">
      <w:pPr>
        <w:pStyle w:val="Heading1"/>
        <w:rPr>
          <w:rFonts w:ascii="Arial" w:hAnsi="Arial" w:cs="Arial"/>
          <w:color w:val="auto"/>
        </w:rPr>
      </w:pPr>
      <w:bookmarkStart w:id="3" w:name="_Toc519585285"/>
      <w:r w:rsidRPr="00253EE9">
        <w:rPr>
          <w:rFonts w:ascii="Arial" w:hAnsi="Arial" w:cs="Arial"/>
          <w:color w:val="auto"/>
        </w:rPr>
        <w:lastRenderedPageBreak/>
        <w:t xml:space="preserve">Chapter 1: </w:t>
      </w:r>
      <w:r w:rsidR="00BE2E7F" w:rsidRPr="00253EE9">
        <w:rPr>
          <w:rFonts w:ascii="Arial" w:hAnsi="Arial" w:cs="Arial"/>
          <w:color w:val="auto"/>
        </w:rPr>
        <w:t xml:space="preserve">The latest trends in the disability </w:t>
      </w:r>
      <w:r w:rsidR="0018491A" w:rsidRPr="00253EE9">
        <w:rPr>
          <w:rFonts w:ascii="Arial" w:hAnsi="Arial" w:cs="Arial"/>
          <w:color w:val="auto"/>
        </w:rPr>
        <w:t xml:space="preserve">support </w:t>
      </w:r>
      <w:r w:rsidR="00BE2E7F" w:rsidRPr="00253EE9">
        <w:rPr>
          <w:rFonts w:ascii="Arial" w:hAnsi="Arial" w:cs="Arial"/>
          <w:color w:val="auto"/>
        </w:rPr>
        <w:t>workforce</w:t>
      </w:r>
      <w:bookmarkEnd w:id="3"/>
    </w:p>
    <w:p w14:paraId="25DA516C" w14:textId="77777777" w:rsidR="007F4A92" w:rsidRPr="00253EE9" w:rsidRDefault="007F4A92" w:rsidP="009058CC"/>
    <w:p w14:paraId="30FCFADB" w14:textId="6117BC09" w:rsidR="00FF7298" w:rsidRPr="00253EE9" w:rsidRDefault="006B40F7" w:rsidP="009058CC">
      <w:r w:rsidRPr="00253EE9">
        <w:t>Workforce Wizard data over the last two years has shown that</w:t>
      </w:r>
      <w:r w:rsidR="00FF7298" w:rsidRPr="00253EE9">
        <w:t xml:space="preserve"> the majority of disability support workers in Australia are employed </w:t>
      </w:r>
      <w:r w:rsidR="007A2EF9" w:rsidRPr="00253EE9">
        <w:t xml:space="preserve">either </w:t>
      </w:r>
      <w:r w:rsidR="00FF7298" w:rsidRPr="00253EE9">
        <w:t xml:space="preserve">as </w:t>
      </w:r>
      <w:r w:rsidR="007A2EF9" w:rsidRPr="00253EE9">
        <w:t xml:space="preserve">permanent or casual </w:t>
      </w:r>
      <w:r w:rsidRPr="00253EE9">
        <w:t>employees</w:t>
      </w:r>
      <w:r w:rsidR="0088669A" w:rsidRPr="00253EE9">
        <w:t>, with very few people on short-</w:t>
      </w:r>
      <w:r w:rsidRPr="00253EE9">
        <w:t>term contracts</w:t>
      </w:r>
      <w:r w:rsidR="007A2EF9" w:rsidRPr="00253EE9">
        <w:t xml:space="preserve">. Permanent employment has been more common, but </w:t>
      </w:r>
      <w:r w:rsidR="00FF7298" w:rsidRPr="00253EE9">
        <w:t xml:space="preserve">a </w:t>
      </w:r>
      <w:r w:rsidR="007F4A92" w:rsidRPr="00253EE9">
        <w:t xml:space="preserve">gradual </w:t>
      </w:r>
      <w:r w:rsidR="00FF7298" w:rsidRPr="00253EE9">
        <w:t xml:space="preserve">trend </w:t>
      </w:r>
      <w:r w:rsidR="007F4A92" w:rsidRPr="00253EE9">
        <w:t>towards increased</w:t>
      </w:r>
      <w:r w:rsidR="00FF7298" w:rsidRPr="00253EE9">
        <w:t xml:space="preserve"> </w:t>
      </w:r>
      <w:r w:rsidRPr="00253EE9">
        <w:t>casual employment</w:t>
      </w:r>
      <w:r w:rsidR="007A2EF9" w:rsidRPr="00253EE9">
        <w:t xml:space="preserve"> </w:t>
      </w:r>
      <w:r w:rsidR="007F4A92" w:rsidRPr="00253EE9">
        <w:t>has been</w:t>
      </w:r>
      <w:r w:rsidR="007A2EF9" w:rsidRPr="00253EE9">
        <w:t xml:space="preserve"> emerging</w:t>
      </w:r>
      <w:r w:rsidR="00FF7298" w:rsidRPr="00253EE9">
        <w:t xml:space="preserve">. Has this trend continued </w:t>
      </w:r>
      <w:r w:rsidR="007F4A92" w:rsidRPr="00253EE9">
        <w:t>during 2018</w:t>
      </w:r>
      <w:r w:rsidR="00FF7298" w:rsidRPr="00253EE9">
        <w:t>?</w:t>
      </w:r>
    </w:p>
    <w:p w14:paraId="5F0449C7" w14:textId="77777777" w:rsidR="009058CC" w:rsidRPr="00253EE9" w:rsidRDefault="009058CC" w:rsidP="009058CC"/>
    <w:p w14:paraId="7430718E" w14:textId="77777777" w:rsidR="00FF7298" w:rsidRPr="00253EE9" w:rsidRDefault="00FF7298" w:rsidP="009058CC">
      <w:pPr>
        <w:pStyle w:val="Heading2"/>
        <w:rPr>
          <w:color w:val="auto"/>
        </w:rPr>
      </w:pPr>
      <w:bookmarkStart w:id="4" w:name="_Toc519585286"/>
      <w:r w:rsidRPr="00253EE9">
        <w:rPr>
          <w:color w:val="auto"/>
        </w:rPr>
        <w:t>Employment type</w:t>
      </w:r>
      <w:bookmarkEnd w:id="4"/>
    </w:p>
    <w:p w14:paraId="428F3986" w14:textId="77777777" w:rsidR="009058CC" w:rsidRPr="00253EE9" w:rsidRDefault="009058CC" w:rsidP="009058CC"/>
    <w:p w14:paraId="22EB23FE" w14:textId="53FBC4C3" w:rsidR="0027525D" w:rsidRPr="00253EE9" w:rsidRDefault="006B40F7" w:rsidP="009058CC">
      <w:r w:rsidRPr="00253EE9">
        <w:t>The</w:t>
      </w:r>
      <w:r w:rsidR="00A840BC" w:rsidRPr="00253EE9">
        <w:t xml:space="preserve"> latest data shows that m</w:t>
      </w:r>
      <w:r w:rsidR="0027525D" w:rsidRPr="00253EE9">
        <w:t xml:space="preserve">ost </w:t>
      </w:r>
      <w:r w:rsidR="0018491A" w:rsidRPr="00253EE9">
        <w:t xml:space="preserve">(48%) </w:t>
      </w:r>
      <w:r w:rsidR="0027525D" w:rsidRPr="00253EE9">
        <w:t xml:space="preserve">disability support workers are </w:t>
      </w:r>
      <w:r w:rsidR="00A840BC" w:rsidRPr="00253EE9">
        <w:t xml:space="preserve">still </w:t>
      </w:r>
      <w:r w:rsidR="0027525D" w:rsidRPr="00253EE9">
        <w:t xml:space="preserve">employed </w:t>
      </w:r>
      <w:r w:rsidRPr="00253EE9">
        <w:t>on a permanent basis, whether part-time or full-</w:t>
      </w:r>
      <w:r w:rsidR="007C7E55" w:rsidRPr="00253EE9">
        <w:t>time</w:t>
      </w:r>
      <w:r w:rsidR="0027525D" w:rsidRPr="00253EE9">
        <w:t xml:space="preserve">. However, the proportion </w:t>
      </w:r>
      <w:r w:rsidRPr="00253EE9">
        <w:t>continues to fall</w:t>
      </w:r>
      <w:r w:rsidR="00BA4256" w:rsidRPr="00253EE9">
        <w:t xml:space="preserve">. </w:t>
      </w:r>
      <w:r w:rsidRPr="00253EE9">
        <w:t>Casual employment</w:t>
      </w:r>
      <w:r w:rsidR="0027525D" w:rsidRPr="00253EE9">
        <w:t xml:space="preserve">, </w:t>
      </w:r>
      <w:r w:rsidRPr="00253EE9">
        <w:t>alternatively</w:t>
      </w:r>
      <w:r w:rsidR="0027525D" w:rsidRPr="00253EE9">
        <w:t>, is rising</w:t>
      </w:r>
      <w:r w:rsidRPr="00253EE9">
        <w:t xml:space="preserve"> and in March 2018 accounted for nearly half of the total workforce (see Figure 1).</w:t>
      </w:r>
    </w:p>
    <w:p w14:paraId="60B48E52" w14:textId="77777777" w:rsidR="009058CC" w:rsidRPr="00253EE9" w:rsidRDefault="009058CC" w:rsidP="009058CC">
      <w:pPr>
        <w:rPr>
          <w:rStyle w:val="Emphasis"/>
          <w:b/>
          <w:i w:val="0"/>
        </w:rPr>
      </w:pPr>
    </w:p>
    <w:p w14:paraId="018FB715" w14:textId="77777777" w:rsidR="007C7E55" w:rsidRPr="00253EE9" w:rsidRDefault="007C7E55" w:rsidP="009058CC">
      <w:pPr>
        <w:rPr>
          <w:rStyle w:val="Emphasis"/>
          <w:b/>
          <w:i w:val="0"/>
        </w:rPr>
      </w:pPr>
      <w:r w:rsidRPr="00253EE9">
        <w:rPr>
          <w:rStyle w:val="Emphasis"/>
          <w:b/>
          <w:i w:val="0"/>
        </w:rPr>
        <w:t>Key points</w:t>
      </w:r>
    </w:p>
    <w:p w14:paraId="6836AD9A" w14:textId="7CB85CC8" w:rsidR="007C7E55" w:rsidRPr="00253EE9" w:rsidRDefault="0027525D" w:rsidP="009058CC">
      <w:pPr>
        <w:pStyle w:val="ListParagraph"/>
        <w:numPr>
          <w:ilvl w:val="0"/>
          <w:numId w:val="3"/>
        </w:numPr>
      </w:pPr>
      <w:r w:rsidRPr="00253EE9">
        <w:t xml:space="preserve">In September 2015, </w:t>
      </w:r>
      <w:r w:rsidR="00BA4256" w:rsidRPr="00253EE9">
        <w:t xml:space="preserve">permanent workers </w:t>
      </w:r>
      <w:r w:rsidR="003B0A8B" w:rsidRPr="00253EE9">
        <w:t>made up 56</w:t>
      </w:r>
      <w:r w:rsidR="007C7E55" w:rsidRPr="00253EE9">
        <w:t>% of the disability support workforce</w:t>
      </w:r>
    </w:p>
    <w:p w14:paraId="4F1DA8AB" w14:textId="77777777" w:rsidR="007C7E55" w:rsidRPr="00253EE9" w:rsidRDefault="007C7E55" w:rsidP="009058CC">
      <w:pPr>
        <w:pStyle w:val="ListParagraph"/>
        <w:numPr>
          <w:ilvl w:val="0"/>
          <w:numId w:val="3"/>
        </w:numPr>
      </w:pPr>
      <w:r w:rsidRPr="00253EE9">
        <w:t>In March 2018, permanent workers made up 48% of the disability support workforce</w:t>
      </w:r>
    </w:p>
    <w:p w14:paraId="1220D531" w14:textId="40F99AB0" w:rsidR="007C7E55" w:rsidRPr="00253EE9" w:rsidRDefault="007C7E55" w:rsidP="009058CC">
      <w:pPr>
        <w:pStyle w:val="ListParagraph"/>
        <w:numPr>
          <w:ilvl w:val="0"/>
          <w:numId w:val="3"/>
        </w:numPr>
      </w:pPr>
      <w:r w:rsidRPr="00253EE9">
        <w:t>Casual employment</w:t>
      </w:r>
      <w:r w:rsidR="003B0A8B" w:rsidRPr="00253EE9">
        <w:t xml:space="preserve"> as a proportion of the total increased </w:t>
      </w:r>
      <w:r w:rsidRPr="00253EE9">
        <w:t>from 40% in September 2015 to 46% in March 2018</w:t>
      </w:r>
    </w:p>
    <w:p w14:paraId="0B9EA88B" w14:textId="77777777" w:rsidR="009058CC" w:rsidRPr="00253EE9" w:rsidRDefault="009058CC" w:rsidP="009058CC"/>
    <w:p w14:paraId="0181582A" w14:textId="514495C4" w:rsidR="00FF7298" w:rsidRPr="00253EE9" w:rsidRDefault="0018491A" w:rsidP="009058CC">
      <w:r w:rsidRPr="00253EE9">
        <w:t xml:space="preserve">Increased use of casual workers </w:t>
      </w:r>
      <w:r w:rsidR="007C7E55" w:rsidRPr="00253EE9">
        <w:t>has been</w:t>
      </w:r>
      <w:r w:rsidR="009058CC" w:rsidRPr="00253EE9">
        <w:t xml:space="preserve"> particularly notable</w:t>
      </w:r>
      <w:r w:rsidR="0027525D" w:rsidRPr="00253EE9">
        <w:t xml:space="preserve"> in the last </w:t>
      </w:r>
      <w:r w:rsidR="007C7E55" w:rsidRPr="00253EE9">
        <w:t>four</w:t>
      </w:r>
      <w:r w:rsidR="0027525D" w:rsidRPr="00253EE9">
        <w:t xml:space="preserve"> quarters.</w:t>
      </w:r>
    </w:p>
    <w:p w14:paraId="09C4D7FA" w14:textId="77777777" w:rsidR="009058CC" w:rsidRPr="00253EE9" w:rsidRDefault="009058CC" w:rsidP="009058CC">
      <w:pPr>
        <w:pStyle w:val="Caption"/>
      </w:pPr>
      <w:bookmarkStart w:id="5" w:name="_Ref517273160"/>
      <w:bookmarkStart w:id="6" w:name="_Ref517791769"/>
    </w:p>
    <w:p w14:paraId="5A1FF53C" w14:textId="77777777" w:rsidR="00FF7298" w:rsidRPr="00253EE9" w:rsidRDefault="00C94DFA" w:rsidP="009058CC">
      <w:pPr>
        <w:pStyle w:val="Caption"/>
      </w:pPr>
      <w:r w:rsidRPr="00253EE9">
        <w:t xml:space="preserve">Figure </w:t>
      </w:r>
      <w:r w:rsidR="0059343A">
        <w:fldChar w:fldCharType="begin"/>
      </w:r>
      <w:r w:rsidR="0059343A">
        <w:instrText xml:space="preserve"> SEQ Figure \* ARABIC </w:instrText>
      </w:r>
      <w:r w:rsidR="0059343A">
        <w:fldChar w:fldCharType="separate"/>
      </w:r>
      <w:r w:rsidR="00002566">
        <w:rPr>
          <w:noProof/>
        </w:rPr>
        <w:t>1</w:t>
      </w:r>
      <w:r w:rsidR="0059343A">
        <w:rPr>
          <w:noProof/>
        </w:rPr>
        <w:fldChar w:fldCharType="end"/>
      </w:r>
      <w:bookmarkEnd w:id="5"/>
      <w:r w:rsidRPr="00253EE9">
        <w:t>: Forms of employment</w:t>
      </w:r>
      <w:bookmarkEnd w:id="6"/>
    </w:p>
    <w:p w14:paraId="170FDE8F" w14:textId="7BAE7FB6" w:rsidR="00FF7298" w:rsidRPr="00253EE9" w:rsidRDefault="0027525D" w:rsidP="009058CC">
      <w:r w:rsidRPr="00253EE9">
        <w:rPr>
          <w:noProof/>
          <w:lang w:eastAsia="en-AU"/>
        </w:rPr>
        <w:drawing>
          <wp:inline distT="0" distB="0" distL="0" distR="0" wp14:anchorId="4C764426" wp14:editId="32490BBF">
            <wp:extent cx="4395470" cy="2755900"/>
            <wp:effectExtent l="0" t="0" r="5080" b="6350"/>
            <wp:docPr id="6" name="Picture 6" descr="Percentage of workers from September 2015 to March 2018" title="Figure 1 forms of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5470" cy="2755900"/>
                    </a:xfrm>
                    <a:prstGeom prst="rect">
                      <a:avLst/>
                    </a:prstGeom>
                    <a:noFill/>
                  </pic:spPr>
                </pic:pic>
              </a:graphicData>
            </a:graphic>
          </wp:inline>
        </w:drawing>
      </w:r>
    </w:p>
    <w:p w14:paraId="56D9D822" w14:textId="77777777" w:rsidR="00FF7298" w:rsidRPr="00253EE9" w:rsidRDefault="00FF7298" w:rsidP="009058CC"/>
    <w:p w14:paraId="7E45756D" w14:textId="03438487" w:rsidR="00461724" w:rsidRPr="00253EE9" w:rsidRDefault="00B46CDC" w:rsidP="009058CC">
      <w:pPr>
        <w:pStyle w:val="Heading2"/>
        <w:rPr>
          <w:color w:val="auto"/>
        </w:rPr>
      </w:pPr>
      <w:bookmarkStart w:id="7" w:name="_Toc519585287"/>
      <w:r w:rsidRPr="00253EE9">
        <w:rPr>
          <w:color w:val="auto"/>
        </w:rPr>
        <w:lastRenderedPageBreak/>
        <w:t>Small and medium organisations</w:t>
      </w:r>
      <w:r w:rsidR="00BE2E7F" w:rsidRPr="00253EE9">
        <w:rPr>
          <w:rStyle w:val="FootnoteReference"/>
          <w:color w:val="auto"/>
        </w:rPr>
        <w:footnoteReference w:id="1"/>
      </w:r>
      <w:r w:rsidRPr="00253EE9">
        <w:rPr>
          <w:color w:val="auto"/>
        </w:rPr>
        <w:t xml:space="preserve"> — where casualisation takes place</w:t>
      </w:r>
      <w:bookmarkEnd w:id="7"/>
    </w:p>
    <w:p w14:paraId="15FA7FCB" w14:textId="77777777" w:rsidR="00EA06B3" w:rsidRPr="00253EE9" w:rsidRDefault="00EA06B3" w:rsidP="009058CC"/>
    <w:p w14:paraId="39FB6B27" w14:textId="343ADEAE" w:rsidR="001E6323" w:rsidRPr="00253EE9" w:rsidRDefault="00461724" w:rsidP="009058CC">
      <w:pPr>
        <w:rPr>
          <w:b/>
        </w:rPr>
      </w:pPr>
      <w:r w:rsidRPr="00253EE9">
        <w:t>The casualisation</w:t>
      </w:r>
      <w:r w:rsidR="00EA06B3" w:rsidRPr="00253EE9">
        <w:t xml:space="preserve"> trend</w:t>
      </w:r>
      <w:r w:rsidRPr="00253EE9">
        <w:t xml:space="preserve">, however, is not universal. In the </w:t>
      </w:r>
      <w:r w:rsidR="00EA06B3" w:rsidRPr="00253EE9">
        <w:t xml:space="preserve">February 2018 </w:t>
      </w:r>
      <w:r w:rsidR="00EA06B3" w:rsidRPr="00253EE9">
        <w:rPr>
          <w:b/>
        </w:rPr>
        <w:t>Australian Disability Workforce Report</w:t>
      </w:r>
      <w:r w:rsidR="0018491A" w:rsidRPr="00253EE9">
        <w:rPr>
          <w:b/>
        </w:rPr>
        <w:t xml:space="preserve"> </w:t>
      </w:r>
      <w:r w:rsidR="0018491A" w:rsidRPr="00253EE9">
        <w:t>(available at</w:t>
      </w:r>
      <w:r w:rsidR="00E700D7">
        <w:t xml:space="preserve"> the NDS workforce hub</w:t>
      </w:r>
      <w:r w:rsidR="0018491A" w:rsidRPr="00253EE9">
        <w:t xml:space="preserve"> </w:t>
      </w:r>
      <w:hyperlink r:id="rId11" w:history="1">
        <w:r w:rsidR="0018491A" w:rsidRPr="00253EE9">
          <w:rPr>
            <w:rStyle w:val="Hyperlink"/>
            <w:color w:val="auto"/>
          </w:rPr>
          <w:t>www.nds.workforce-hub/knowing-your-workforce</w:t>
        </w:r>
      </w:hyperlink>
      <w:r w:rsidR="0018491A" w:rsidRPr="00253EE9">
        <w:rPr>
          <w:b/>
        </w:rPr>
        <w:t>)</w:t>
      </w:r>
      <w:r w:rsidRPr="00253EE9">
        <w:t xml:space="preserve">, we observed that </w:t>
      </w:r>
      <w:r w:rsidR="00AD3B23" w:rsidRPr="00253EE9">
        <w:t xml:space="preserve">casualisation is </w:t>
      </w:r>
      <w:r w:rsidR="008E07A5" w:rsidRPr="00253EE9">
        <w:t xml:space="preserve">more </w:t>
      </w:r>
      <w:r w:rsidR="00AD3B23" w:rsidRPr="00253EE9">
        <w:t xml:space="preserve">prevalent in small and medium organisations, </w:t>
      </w:r>
      <w:r w:rsidR="008E07A5" w:rsidRPr="00253EE9">
        <w:t>with the trend</w:t>
      </w:r>
      <w:r w:rsidR="00AD3B23" w:rsidRPr="00253EE9">
        <w:t xml:space="preserve"> </w:t>
      </w:r>
      <w:r w:rsidR="001E6323" w:rsidRPr="00253EE9">
        <w:t>absent</w:t>
      </w:r>
      <w:r w:rsidR="008E07A5" w:rsidRPr="00253EE9">
        <w:t xml:space="preserve"> in</w:t>
      </w:r>
      <w:r w:rsidR="00AD3B23" w:rsidRPr="00253EE9">
        <w:t xml:space="preserve"> </w:t>
      </w:r>
      <w:r w:rsidRPr="00253EE9">
        <w:t xml:space="preserve">large organisations. This </w:t>
      </w:r>
      <w:r w:rsidR="008E07A5" w:rsidRPr="00253EE9">
        <w:t>pattern</w:t>
      </w:r>
      <w:r w:rsidRPr="00253EE9">
        <w:t xml:space="preserve"> </w:t>
      </w:r>
      <w:r w:rsidR="001E6323" w:rsidRPr="00253EE9">
        <w:t>has held</w:t>
      </w:r>
      <w:r w:rsidRPr="00253EE9">
        <w:t xml:space="preserve">. </w:t>
      </w:r>
    </w:p>
    <w:p w14:paraId="2E4B46B0" w14:textId="77777777" w:rsidR="001E6323" w:rsidRPr="00253EE9" w:rsidRDefault="001E6323" w:rsidP="009058CC"/>
    <w:p w14:paraId="33FAAA91" w14:textId="46272D68" w:rsidR="008E07A5" w:rsidRPr="00253EE9" w:rsidRDefault="00AD3B23" w:rsidP="009058CC">
      <w:r w:rsidRPr="00253EE9">
        <w:t xml:space="preserve">In small organisations, the </w:t>
      </w:r>
      <w:r w:rsidR="00A840BC" w:rsidRPr="00253EE9">
        <w:t>gap between</w:t>
      </w:r>
      <w:r w:rsidR="00A25A77" w:rsidRPr="00253EE9">
        <w:t xml:space="preserve"> </w:t>
      </w:r>
      <w:r w:rsidRPr="00253EE9">
        <w:t>pe</w:t>
      </w:r>
      <w:r w:rsidR="008E07A5" w:rsidRPr="00253EE9">
        <w:t>rmanent</w:t>
      </w:r>
      <w:r w:rsidRPr="00253EE9">
        <w:t xml:space="preserve"> and casual</w:t>
      </w:r>
      <w:r w:rsidR="008E07A5" w:rsidRPr="00253EE9">
        <w:t xml:space="preserve"> employment shares</w:t>
      </w:r>
      <w:r w:rsidR="00A25A77" w:rsidRPr="00253EE9">
        <w:t xml:space="preserve"> has been </w:t>
      </w:r>
      <w:r w:rsidR="00A840BC" w:rsidRPr="00253EE9">
        <w:t>closing</w:t>
      </w:r>
      <w:r w:rsidR="00A25A77" w:rsidRPr="00253EE9">
        <w:t xml:space="preserve"> since September 2017</w:t>
      </w:r>
      <w:r w:rsidRPr="00253EE9">
        <w:t xml:space="preserve">. In medium organisations, casual employment has already </w:t>
      </w:r>
      <w:r w:rsidR="001B47E9" w:rsidRPr="00253EE9">
        <w:t>become</w:t>
      </w:r>
      <w:r w:rsidRPr="00253EE9">
        <w:t xml:space="preserve"> the</w:t>
      </w:r>
      <w:r w:rsidR="008E07A5" w:rsidRPr="00253EE9">
        <w:t xml:space="preserve"> most common form of employment</w:t>
      </w:r>
      <w:r w:rsidRPr="00253EE9">
        <w:t xml:space="preserve">. Only </w:t>
      </w:r>
      <w:r w:rsidR="001B47E9" w:rsidRPr="00253EE9">
        <w:t xml:space="preserve">in </w:t>
      </w:r>
      <w:r w:rsidRPr="00253EE9">
        <w:t>large or</w:t>
      </w:r>
      <w:r w:rsidR="00A840BC" w:rsidRPr="00253EE9">
        <w:t xml:space="preserve">ganisations </w:t>
      </w:r>
      <w:r w:rsidR="001B47E9" w:rsidRPr="00253EE9">
        <w:t>does</w:t>
      </w:r>
      <w:r w:rsidR="00A840BC" w:rsidRPr="00253EE9">
        <w:t xml:space="preserve"> </w:t>
      </w:r>
      <w:r w:rsidR="0018491A" w:rsidRPr="00253EE9">
        <w:t xml:space="preserve">a notable preference for permanent workers remain </w:t>
      </w:r>
      <w:r w:rsidR="004267AE" w:rsidRPr="00253EE9">
        <w:t>(see Figure 2)</w:t>
      </w:r>
      <w:r w:rsidR="001B47E9" w:rsidRPr="00253EE9">
        <w:t xml:space="preserve">. </w:t>
      </w:r>
    </w:p>
    <w:p w14:paraId="48C97C65" w14:textId="77777777" w:rsidR="001B47E9" w:rsidRPr="00253EE9" w:rsidRDefault="001B47E9" w:rsidP="009058CC"/>
    <w:p w14:paraId="74B61CC2" w14:textId="22E88BAB" w:rsidR="001B47E9" w:rsidRDefault="00B46CDC" w:rsidP="00094CDC">
      <w:pPr>
        <w:pStyle w:val="Caption"/>
      </w:pPr>
      <w:r w:rsidRPr="00253EE9">
        <w:t xml:space="preserve">Figure </w:t>
      </w:r>
      <w:r w:rsidR="0059343A">
        <w:fldChar w:fldCharType="begin"/>
      </w:r>
      <w:r w:rsidR="0059343A">
        <w:instrText xml:space="preserve"> SEQ Figure \* ARABIC </w:instrText>
      </w:r>
      <w:r w:rsidR="0059343A">
        <w:fldChar w:fldCharType="separate"/>
      </w:r>
      <w:r w:rsidR="00002566">
        <w:rPr>
          <w:noProof/>
        </w:rPr>
        <w:t>2</w:t>
      </w:r>
      <w:r w:rsidR="0059343A">
        <w:rPr>
          <w:noProof/>
        </w:rPr>
        <w:fldChar w:fldCharType="end"/>
      </w:r>
      <w:r w:rsidRPr="00253EE9">
        <w:t>: Forms of employment by organisation</w:t>
      </w:r>
      <w:r w:rsidR="001B47E9" w:rsidRPr="00253EE9">
        <w:t xml:space="preserve"> </w:t>
      </w:r>
      <w:r w:rsidRPr="00253EE9">
        <w:t>s</w:t>
      </w:r>
      <w:r w:rsidR="001B47E9" w:rsidRPr="00253EE9">
        <w:t>ize</w:t>
      </w:r>
    </w:p>
    <w:p w14:paraId="17DFC491" w14:textId="77777777" w:rsidR="00E700D7" w:rsidRPr="00E700D7" w:rsidRDefault="00E700D7" w:rsidP="00E700D7"/>
    <w:p w14:paraId="499894F9" w14:textId="197B6F64" w:rsidR="00461724" w:rsidRPr="00253EE9" w:rsidRDefault="00AD3B23" w:rsidP="009058CC">
      <w:r w:rsidRPr="00253EE9">
        <w:rPr>
          <w:noProof/>
          <w:lang w:eastAsia="en-AU"/>
        </w:rPr>
        <w:drawing>
          <wp:inline distT="0" distB="0" distL="0" distR="0" wp14:anchorId="5E00187C" wp14:editId="0E777568">
            <wp:extent cx="1637579" cy="2660073"/>
            <wp:effectExtent l="0" t="0" r="1270" b="6985"/>
            <wp:docPr id="12" name="Picture 12" descr="Small less than 50 workers" title="Figure 2: Forms of employment by organisation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8968" cy="2678573"/>
                    </a:xfrm>
                    <a:prstGeom prst="rect">
                      <a:avLst/>
                    </a:prstGeom>
                    <a:noFill/>
                  </pic:spPr>
                </pic:pic>
              </a:graphicData>
            </a:graphic>
          </wp:inline>
        </w:drawing>
      </w:r>
      <w:r w:rsidRPr="00253EE9">
        <w:rPr>
          <w:noProof/>
          <w:lang w:eastAsia="en-AU"/>
        </w:rPr>
        <w:drawing>
          <wp:inline distT="0" distB="0" distL="0" distR="0" wp14:anchorId="41896945" wp14:editId="5A400218">
            <wp:extent cx="1839246" cy="3209925"/>
            <wp:effectExtent l="0" t="0" r="8890" b="0"/>
            <wp:docPr id="17" name="Picture 17" descr="Medium 50 - 199 workers" title="Figure 2: Forms of employment by organisation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31" cy="3224908"/>
                    </a:xfrm>
                    <a:prstGeom prst="rect">
                      <a:avLst/>
                    </a:prstGeom>
                    <a:noFill/>
                  </pic:spPr>
                </pic:pic>
              </a:graphicData>
            </a:graphic>
          </wp:inline>
        </w:drawing>
      </w:r>
      <w:r w:rsidRPr="00253EE9">
        <w:rPr>
          <w:noProof/>
          <w:lang w:eastAsia="en-AU"/>
        </w:rPr>
        <w:drawing>
          <wp:inline distT="0" distB="0" distL="0" distR="0" wp14:anchorId="51545BB5" wp14:editId="19D60EB9">
            <wp:extent cx="1771866" cy="3200400"/>
            <wp:effectExtent l="0" t="0" r="0" b="0"/>
            <wp:docPr id="21" name="Picture 21" descr="Large 200 or more workers" title="Figure 2: Forms of employment by organisation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258" cy="3211945"/>
                    </a:xfrm>
                    <a:prstGeom prst="rect">
                      <a:avLst/>
                    </a:prstGeom>
                    <a:noFill/>
                  </pic:spPr>
                </pic:pic>
              </a:graphicData>
            </a:graphic>
          </wp:inline>
        </w:drawing>
      </w:r>
    </w:p>
    <w:p w14:paraId="28AD4FC2" w14:textId="77777777" w:rsidR="009058CC" w:rsidRPr="00253EE9" w:rsidRDefault="009058CC" w:rsidP="00C617F4"/>
    <w:p w14:paraId="503FCF1D" w14:textId="5A1108BB" w:rsidR="002A13E6" w:rsidRPr="00253EE9" w:rsidRDefault="00B46CDC" w:rsidP="009058CC">
      <w:pPr>
        <w:pStyle w:val="Heading2"/>
        <w:rPr>
          <w:color w:val="auto"/>
        </w:rPr>
      </w:pPr>
      <w:bookmarkStart w:id="8" w:name="_Toc519585288"/>
      <w:r w:rsidRPr="00253EE9">
        <w:rPr>
          <w:color w:val="auto"/>
        </w:rPr>
        <w:t>Employment growth</w:t>
      </w:r>
      <w:bookmarkEnd w:id="8"/>
    </w:p>
    <w:p w14:paraId="5A88E18C" w14:textId="77777777" w:rsidR="009058CC" w:rsidRPr="00253EE9" w:rsidRDefault="009058CC" w:rsidP="009058CC"/>
    <w:p w14:paraId="198B6FD4" w14:textId="75BF10EC" w:rsidR="009058CC" w:rsidRPr="00253EE9" w:rsidRDefault="00C17864" w:rsidP="009058CC">
      <w:r w:rsidRPr="00253EE9">
        <w:t xml:space="preserve">The disability workforce has been growing strongly. According to </w:t>
      </w:r>
      <w:r w:rsidR="001E6323" w:rsidRPr="00253EE9">
        <w:t>NDS’s</w:t>
      </w:r>
      <w:r w:rsidR="002A13E6" w:rsidRPr="00253EE9">
        <w:t xml:space="preserve"> February 2018 report</w:t>
      </w:r>
      <w:r w:rsidRPr="00253EE9">
        <w:t xml:space="preserve">, the </w:t>
      </w:r>
      <w:r w:rsidR="002A13E6" w:rsidRPr="00253EE9">
        <w:t>disability support workforce growth rate</w:t>
      </w:r>
      <w:r w:rsidRPr="00253EE9">
        <w:t xml:space="preserve"> </w:t>
      </w:r>
      <w:r w:rsidR="002A13E6" w:rsidRPr="00253EE9">
        <w:t>was</w:t>
      </w:r>
      <w:r w:rsidR="005718E6" w:rsidRPr="00253EE9">
        <w:t xml:space="preserve"> </w:t>
      </w:r>
      <w:r w:rsidRPr="00253EE9">
        <w:t xml:space="preserve">11.1% </w:t>
      </w:r>
      <w:r w:rsidR="002A13E6" w:rsidRPr="00253EE9">
        <w:t xml:space="preserve">per year (averaged over </w:t>
      </w:r>
      <w:r w:rsidR="0018491A" w:rsidRPr="00253EE9">
        <w:t>a</w:t>
      </w:r>
      <w:r w:rsidR="002A13E6" w:rsidRPr="00253EE9">
        <w:t xml:space="preserve"> two-</w:t>
      </w:r>
      <w:r w:rsidRPr="00253EE9">
        <w:t xml:space="preserve">year period </w:t>
      </w:r>
      <w:r w:rsidR="0018491A" w:rsidRPr="00253EE9">
        <w:t xml:space="preserve">between </w:t>
      </w:r>
      <w:r w:rsidR="002A13E6" w:rsidRPr="00253EE9">
        <w:t>September 2015 and 2017).</w:t>
      </w:r>
      <w:r w:rsidR="009058CC" w:rsidRPr="00253EE9">
        <w:t xml:space="preserve"> </w:t>
      </w:r>
      <w:r w:rsidR="002A13E6" w:rsidRPr="00253EE9">
        <w:t xml:space="preserve">This </w:t>
      </w:r>
      <w:r w:rsidRPr="00253EE9">
        <w:t>compare</w:t>
      </w:r>
      <w:r w:rsidR="002A13E6" w:rsidRPr="00253EE9">
        <w:t>s</w:t>
      </w:r>
      <w:r w:rsidRPr="00253EE9">
        <w:t xml:space="preserve"> with growth </w:t>
      </w:r>
      <w:r w:rsidR="0018491A" w:rsidRPr="00253EE9">
        <w:t xml:space="preserve">of just </w:t>
      </w:r>
      <w:r w:rsidRPr="00253EE9">
        <w:t xml:space="preserve">1.6% </w:t>
      </w:r>
      <w:r w:rsidR="002A13E6" w:rsidRPr="00253EE9">
        <w:t>for</w:t>
      </w:r>
      <w:r w:rsidRPr="00253EE9">
        <w:t xml:space="preserve"> the </w:t>
      </w:r>
      <w:r w:rsidR="002A13E6" w:rsidRPr="00253EE9">
        <w:t xml:space="preserve">Australian </w:t>
      </w:r>
      <w:r w:rsidRPr="00253EE9">
        <w:t xml:space="preserve">workforce </w:t>
      </w:r>
      <w:r w:rsidR="002A13E6" w:rsidRPr="00253EE9">
        <w:t xml:space="preserve">as a whole </w:t>
      </w:r>
      <w:r w:rsidR="009058CC" w:rsidRPr="00253EE9">
        <w:t>at the time</w:t>
      </w:r>
      <w:r w:rsidRPr="00253EE9">
        <w:t xml:space="preserve">. </w:t>
      </w:r>
    </w:p>
    <w:p w14:paraId="65170BD9" w14:textId="77777777" w:rsidR="009058CC" w:rsidRPr="00253EE9" w:rsidRDefault="009058CC" w:rsidP="009058CC"/>
    <w:p w14:paraId="3C7FCE33" w14:textId="154DCF51" w:rsidR="00BE6DA5" w:rsidRPr="00253EE9" w:rsidRDefault="00C17864" w:rsidP="009058CC">
      <w:r w:rsidRPr="00253EE9">
        <w:lastRenderedPageBreak/>
        <w:t>Th</w:t>
      </w:r>
      <w:r w:rsidR="009058CC" w:rsidRPr="00253EE9">
        <w:t>is</w:t>
      </w:r>
      <w:r w:rsidRPr="00253EE9">
        <w:t xml:space="preserve"> remarkable growth </w:t>
      </w:r>
      <w:r w:rsidR="002A13E6" w:rsidRPr="00253EE9">
        <w:t>rate came</w:t>
      </w:r>
      <w:r w:rsidRPr="00253EE9">
        <w:t xml:space="preserve"> overwhelmingly from the recruitment of casual workers. </w:t>
      </w:r>
      <w:r w:rsidR="00BE6DA5" w:rsidRPr="00253EE9">
        <w:t xml:space="preserve">The average permanent workforce growth rate was </w:t>
      </w:r>
      <w:r w:rsidR="002A13E6" w:rsidRPr="00253EE9">
        <w:t>just</w:t>
      </w:r>
      <w:r w:rsidR="00BE6DA5" w:rsidRPr="00253EE9">
        <w:t xml:space="preserve"> 1.3% per year, while the casual growth rate was 26% per year. </w:t>
      </w:r>
    </w:p>
    <w:p w14:paraId="69240F14" w14:textId="402E713A" w:rsidR="009058CC" w:rsidRPr="00253EE9" w:rsidRDefault="009058CC" w:rsidP="009058CC"/>
    <w:p w14:paraId="27634E94" w14:textId="47170B15" w:rsidR="009058CC" w:rsidRPr="00253EE9" w:rsidRDefault="00BE6DA5" w:rsidP="009058CC">
      <w:pPr>
        <w:pStyle w:val="Caption"/>
      </w:pPr>
      <w:r w:rsidRPr="00253EE9">
        <w:t xml:space="preserve">Figure </w:t>
      </w:r>
      <w:r w:rsidR="0059343A">
        <w:fldChar w:fldCharType="begin"/>
      </w:r>
      <w:r w:rsidR="0059343A">
        <w:instrText xml:space="preserve"> SEQ Figure \* ARABIC </w:instrText>
      </w:r>
      <w:r w:rsidR="0059343A">
        <w:fldChar w:fldCharType="separate"/>
      </w:r>
      <w:r w:rsidR="00002566">
        <w:rPr>
          <w:noProof/>
        </w:rPr>
        <w:t>3</w:t>
      </w:r>
      <w:r w:rsidR="0059343A">
        <w:rPr>
          <w:noProof/>
        </w:rPr>
        <w:fldChar w:fldCharType="end"/>
      </w:r>
      <w:r w:rsidRPr="00253EE9">
        <w:t xml:space="preserve">: </w:t>
      </w:r>
      <w:r w:rsidR="00074E9D" w:rsidRPr="00253EE9">
        <w:t>Quarterly workforce growth ra</w:t>
      </w:r>
      <w:r w:rsidR="009058CC" w:rsidRPr="00253EE9">
        <w:t>te by form</w:t>
      </w:r>
      <w:r w:rsidR="00074E9D" w:rsidRPr="00253EE9">
        <w:t xml:space="preserve"> of employment</w:t>
      </w:r>
    </w:p>
    <w:p w14:paraId="09C38AEB" w14:textId="057D7A48" w:rsidR="00F07463" w:rsidRPr="00253EE9" w:rsidRDefault="004F001A" w:rsidP="009058CC">
      <w:r w:rsidRPr="00253EE9">
        <w:rPr>
          <w:noProof/>
          <w:lang w:eastAsia="en-AU"/>
        </w:rPr>
        <w:drawing>
          <wp:inline distT="0" distB="0" distL="0" distR="0" wp14:anchorId="18196260" wp14:editId="3C9E613D">
            <wp:extent cx="4048125" cy="2433360"/>
            <wp:effectExtent l="0" t="0" r="0" b="5080"/>
            <wp:docPr id="1" name="Picture 1" title="Figure 3: Quarterly workforce growth rate by form of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9366" cy="2434106"/>
                    </a:xfrm>
                    <a:prstGeom prst="rect">
                      <a:avLst/>
                    </a:prstGeom>
                    <a:noFill/>
                  </pic:spPr>
                </pic:pic>
              </a:graphicData>
            </a:graphic>
          </wp:inline>
        </w:drawing>
      </w:r>
    </w:p>
    <w:p w14:paraId="40A9C129" w14:textId="77777777" w:rsidR="009058CC" w:rsidRPr="00253EE9" w:rsidRDefault="009058CC" w:rsidP="009058CC"/>
    <w:p w14:paraId="791E2676" w14:textId="77777777" w:rsidR="008C39D7" w:rsidRPr="00253EE9" w:rsidRDefault="009058CC" w:rsidP="009058CC">
      <w:r w:rsidRPr="00253EE9">
        <w:t>During the</w:t>
      </w:r>
      <w:r w:rsidR="00A840BC" w:rsidRPr="00253EE9">
        <w:t xml:space="preserve"> </w:t>
      </w:r>
      <w:r w:rsidR="00BE6DA5" w:rsidRPr="00253EE9">
        <w:t xml:space="preserve">December 2017 and March 2018 </w:t>
      </w:r>
      <w:r w:rsidR="00A840BC" w:rsidRPr="00253EE9">
        <w:t>quarter</w:t>
      </w:r>
      <w:r w:rsidRPr="00253EE9">
        <w:t xml:space="preserve">s, </w:t>
      </w:r>
      <w:r w:rsidR="0056472A" w:rsidRPr="00253EE9">
        <w:t xml:space="preserve">net </w:t>
      </w:r>
      <w:r w:rsidRPr="00253EE9">
        <w:t>w</w:t>
      </w:r>
      <w:r w:rsidR="00BE6DA5" w:rsidRPr="00253EE9">
        <w:t>orkforce growth continue</w:t>
      </w:r>
      <w:r w:rsidR="0056472A" w:rsidRPr="00253EE9">
        <w:t>d</w:t>
      </w:r>
      <w:r w:rsidR="00BE6DA5" w:rsidRPr="00253EE9">
        <w:t xml:space="preserve"> to be strong. </w:t>
      </w:r>
      <w:r w:rsidRPr="00253EE9">
        <w:t>Both</w:t>
      </w:r>
      <w:r w:rsidR="00BE6DA5" w:rsidRPr="00253EE9">
        <w:t xml:space="preserve"> </w:t>
      </w:r>
      <w:r w:rsidRPr="00253EE9">
        <w:t xml:space="preserve">the </w:t>
      </w:r>
      <w:r w:rsidR="00BE6DA5" w:rsidRPr="00253EE9">
        <w:t>permanen</w:t>
      </w:r>
      <w:r w:rsidR="00A840BC" w:rsidRPr="00253EE9">
        <w:t>t and casual workforce</w:t>
      </w:r>
      <w:r w:rsidRPr="00253EE9">
        <w:t>s</w:t>
      </w:r>
      <w:r w:rsidR="00A840BC" w:rsidRPr="00253EE9">
        <w:t xml:space="preserve"> </w:t>
      </w:r>
      <w:r w:rsidR="0056472A" w:rsidRPr="00253EE9">
        <w:t>grew</w:t>
      </w:r>
      <w:r w:rsidR="00A840BC" w:rsidRPr="00253EE9">
        <w:t xml:space="preserve"> at a</w:t>
      </w:r>
      <w:r w:rsidR="00BE6DA5" w:rsidRPr="00253EE9">
        <w:t xml:space="preserve"> strong</w:t>
      </w:r>
      <w:r w:rsidRPr="00253EE9">
        <w:t>er</w:t>
      </w:r>
      <w:r w:rsidR="00BE6DA5" w:rsidRPr="00253EE9">
        <w:t xml:space="preserve"> pace than </w:t>
      </w:r>
      <w:r w:rsidRPr="00253EE9">
        <w:t xml:space="preserve">in </w:t>
      </w:r>
      <w:r w:rsidR="00BE6DA5" w:rsidRPr="00253EE9">
        <w:t>the</w:t>
      </w:r>
      <w:r w:rsidR="00043151" w:rsidRPr="00253EE9">
        <w:t xml:space="preserve"> earlier period</w:t>
      </w:r>
      <w:r w:rsidRPr="00253EE9">
        <w:t>s</w:t>
      </w:r>
      <w:r w:rsidR="00043151" w:rsidRPr="00253EE9">
        <w:t xml:space="preserve">. </w:t>
      </w:r>
    </w:p>
    <w:p w14:paraId="34F7CF2C" w14:textId="77777777" w:rsidR="008C39D7" w:rsidRPr="00253EE9" w:rsidRDefault="008C39D7" w:rsidP="009058CC"/>
    <w:p w14:paraId="138C575A" w14:textId="3B40E935" w:rsidR="009058CC" w:rsidRPr="00253EE9" w:rsidRDefault="005C23E5" w:rsidP="009058CC">
      <w:r w:rsidRPr="00253EE9">
        <w:t xml:space="preserve">This is consistent with </w:t>
      </w:r>
      <w:r w:rsidR="00036589" w:rsidRPr="00253EE9">
        <w:t>faster</w:t>
      </w:r>
      <w:r w:rsidRPr="00253EE9">
        <w:t xml:space="preserve"> employment growth </w:t>
      </w:r>
      <w:r w:rsidR="008C39D7" w:rsidRPr="00253EE9">
        <w:t xml:space="preserve">across the Australian economy, albeit </w:t>
      </w:r>
      <w:r w:rsidR="00036589" w:rsidRPr="00253EE9">
        <w:t>not as fast as in</w:t>
      </w:r>
      <w:r w:rsidR="008C39D7" w:rsidRPr="00253EE9">
        <w:t xml:space="preserve"> disability. N</w:t>
      </w:r>
      <w:r w:rsidRPr="00253EE9">
        <w:t xml:space="preserve">ational employment growth </w:t>
      </w:r>
      <w:r w:rsidR="008C39D7" w:rsidRPr="00253EE9">
        <w:t xml:space="preserve">(trend) </w:t>
      </w:r>
      <w:r w:rsidRPr="00253EE9">
        <w:t xml:space="preserve">was 2.6% </w:t>
      </w:r>
      <w:proofErr w:type="gramStart"/>
      <w:r w:rsidR="008C39D7" w:rsidRPr="00253EE9">
        <w:t>between</w:t>
      </w:r>
      <w:r w:rsidRPr="00253EE9">
        <w:t xml:space="preserve"> </w:t>
      </w:r>
      <w:r w:rsidR="00E86E75" w:rsidRPr="00253EE9">
        <w:t>May</w:t>
      </w:r>
      <w:r w:rsidRPr="00253EE9">
        <w:t xml:space="preserve"> 2017 to May 2018</w:t>
      </w:r>
      <w:proofErr w:type="gramEnd"/>
      <w:r w:rsidR="00036589" w:rsidRPr="00253EE9">
        <w:t>.</w:t>
      </w:r>
      <w:r w:rsidR="00036589" w:rsidRPr="00253EE9">
        <w:rPr>
          <w:rStyle w:val="FootnoteReference"/>
        </w:rPr>
        <w:footnoteReference w:id="2"/>
      </w:r>
      <w:r w:rsidRPr="00253EE9">
        <w:t xml:space="preserve"> </w:t>
      </w:r>
    </w:p>
    <w:p w14:paraId="34954EFF" w14:textId="77777777" w:rsidR="009058CC" w:rsidRPr="00253EE9" w:rsidRDefault="009058CC" w:rsidP="009058CC"/>
    <w:p w14:paraId="35A8A878" w14:textId="669591EA" w:rsidR="009058CC" w:rsidRPr="00253EE9" w:rsidRDefault="0088669A" w:rsidP="009058CC">
      <w:pPr>
        <w:rPr>
          <w:b/>
          <w:iCs/>
        </w:rPr>
      </w:pPr>
      <w:r w:rsidRPr="00253EE9">
        <w:rPr>
          <w:rStyle w:val="Emphasis"/>
          <w:b/>
          <w:i w:val="0"/>
        </w:rPr>
        <w:t>Key points</w:t>
      </w:r>
    </w:p>
    <w:p w14:paraId="44AC0CFD" w14:textId="4F54CA8E" w:rsidR="0056472A" w:rsidRPr="00253EE9" w:rsidRDefault="0056472A" w:rsidP="0056472A">
      <w:pPr>
        <w:pStyle w:val="ListParagraph"/>
        <w:numPr>
          <w:ilvl w:val="0"/>
          <w:numId w:val="4"/>
        </w:numPr>
      </w:pPr>
      <w:r w:rsidRPr="00253EE9">
        <w:t>Overall, the disabi</w:t>
      </w:r>
      <w:r w:rsidR="00537251" w:rsidRPr="00253EE9">
        <w:t>lity</w:t>
      </w:r>
      <w:r w:rsidR="00036589" w:rsidRPr="00253EE9">
        <w:t xml:space="preserve"> support workforce grew by 13.8</w:t>
      </w:r>
      <w:r w:rsidRPr="00253EE9">
        <w:t>% in the 2017-18 financial year</w:t>
      </w:r>
    </w:p>
    <w:p w14:paraId="2DB515EA" w14:textId="6C17B7FF" w:rsidR="00BE6DA5" w:rsidRPr="00253EE9" w:rsidRDefault="0056472A" w:rsidP="009058CC">
      <w:pPr>
        <w:pStyle w:val="ListParagraph"/>
        <w:numPr>
          <w:ilvl w:val="0"/>
          <w:numId w:val="4"/>
        </w:numPr>
      </w:pPr>
      <w:r w:rsidRPr="00253EE9">
        <w:t xml:space="preserve">This reflected an average growth rate </w:t>
      </w:r>
      <w:r w:rsidR="00537251" w:rsidRPr="00253EE9">
        <w:t>of 3.8%</w:t>
      </w:r>
      <w:r w:rsidR="008C39D7" w:rsidRPr="00253EE9">
        <w:t xml:space="preserve"> </w:t>
      </w:r>
      <w:r w:rsidRPr="00253EE9">
        <w:t xml:space="preserve">for the </w:t>
      </w:r>
      <w:r w:rsidR="009058CC" w:rsidRPr="00253EE9">
        <w:t xml:space="preserve">permanent </w:t>
      </w:r>
      <w:r w:rsidRPr="00253EE9">
        <w:t>component</w:t>
      </w:r>
      <w:r w:rsidR="009058CC" w:rsidRPr="00253EE9">
        <w:t xml:space="preserve"> </w:t>
      </w:r>
      <w:r w:rsidR="00043151" w:rsidRPr="00253EE9">
        <w:t xml:space="preserve">and </w:t>
      </w:r>
      <w:r w:rsidR="00537251" w:rsidRPr="00253EE9">
        <w:t>26.8</w:t>
      </w:r>
      <w:r w:rsidR="00043151" w:rsidRPr="00253EE9">
        <w:t xml:space="preserve">% </w:t>
      </w:r>
      <w:r w:rsidRPr="00253EE9">
        <w:t xml:space="preserve">for the </w:t>
      </w:r>
      <w:r w:rsidR="009058CC" w:rsidRPr="00253EE9">
        <w:t>cas</w:t>
      </w:r>
      <w:r w:rsidR="00B6749F" w:rsidRPr="00253EE9">
        <w:t xml:space="preserve">ual </w:t>
      </w:r>
      <w:r w:rsidRPr="00253EE9">
        <w:t>component.</w:t>
      </w:r>
    </w:p>
    <w:p w14:paraId="7735D513" w14:textId="77777777" w:rsidR="00537251" w:rsidRPr="00253EE9" w:rsidRDefault="00537251" w:rsidP="00537251">
      <w:pPr>
        <w:pStyle w:val="ListParagraph"/>
        <w:ind w:left="360"/>
      </w:pPr>
    </w:p>
    <w:p w14:paraId="4D380819" w14:textId="77777777" w:rsidR="00823D53" w:rsidRPr="00253EE9" w:rsidRDefault="00823D53" w:rsidP="00823D53">
      <w:pPr>
        <w:pStyle w:val="Heading2"/>
        <w:rPr>
          <w:color w:val="auto"/>
        </w:rPr>
      </w:pPr>
      <w:bookmarkStart w:id="9" w:name="_Toc519585289"/>
      <w:r w:rsidRPr="00253EE9">
        <w:rPr>
          <w:color w:val="auto"/>
        </w:rPr>
        <w:t>Employment gains and losses by organisational size</w:t>
      </w:r>
      <w:bookmarkEnd w:id="9"/>
      <w:r w:rsidRPr="00253EE9">
        <w:rPr>
          <w:color w:val="auto"/>
        </w:rPr>
        <w:t xml:space="preserve"> </w:t>
      </w:r>
    </w:p>
    <w:p w14:paraId="66A560DE" w14:textId="77777777" w:rsidR="00823D53" w:rsidRPr="00253EE9" w:rsidRDefault="00823D53" w:rsidP="00823D53"/>
    <w:p w14:paraId="3368934C" w14:textId="799B88C9" w:rsidR="00036589" w:rsidRPr="00253EE9" w:rsidRDefault="00537251" w:rsidP="00036589">
      <w:r w:rsidRPr="00253EE9">
        <w:t>Of note</w:t>
      </w:r>
      <w:r w:rsidR="00A627B1" w:rsidRPr="00253EE9">
        <w:t xml:space="preserve"> is that in</w:t>
      </w:r>
      <w:r w:rsidR="007C27E3" w:rsidRPr="00253EE9">
        <w:t xml:space="preserve"> March 2018, </w:t>
      </w:r>
      <w:r w:rsidR="005C23E5" w:rsidRPr="00253EE9">
        <w:t xml:space="preserve">Workforce Wizard data indicated </w:t>
      </w:r>
      <w:r w:rsidR="007C27E3" w:rsidRPr="00253EE9">
        <w:t xml:space="preserve">a large net increase in </w:t>
      </w:r>
      <w:r w:rsidR="007C27E3" w:rsidRPr="00253EE9">
        <w:rPr>
          <w:b/>
        </w:rPr>
        <w:t>permanent</w:t>
      </w:r>
      <w:r w:rsidRPr="00253EE9">
        <w:t xml:space="preserve"> employment. This was due to </w:t>
      </w:r>
      <w:r w:rsidR="00036589" w:rsidRPr="00253EE9">
        <w:t>one</w:t>
      </w:r>
      <w:r w:rsidR="00CE7F75" w:rsidRPr="00253EE9">
        <w:t xml:space="preserve"> large organisation acquir</w:t>
      </w:r>
      <w:r w:rsidR="00036589" w:rsidRPr="00253EE9">
        <w:t>ing</w:t>
      </w:r>
      <w:r w:rsidR="00CE7F75" w:rsidRPr="00253EE9">
        <w:t xml:space="preserve"> </w:t>
      </w:r>
      <w:r w:rsidR="00036589" w:rsidRPr="00253EE9">
        <w:t>services</w:t>
      </w:r>
      <w:r w:rsidR="00CE7F75" w:rsidRPr="00253EE9">
        <w:t xml:space="preserve"> previously </w:t>
      </w:r>
      <w:r w:rsidR="00036589" w:rsidRPr="00253EE9">
        <w:t>provided by a public sector</w:t>
      </w:r>
      <w:r w:rsidR="00CE7F75" w:rsidRPr="00253EE9">
        <w:t xml:space="preserve"> agency, as part of the </w:t>
      </w:r>
      <w:r w:rsidR="00036589" w:rsidRPr="00253EE9">
        <w:t>NSW Government’s divestment program</w:t>
      </w:r>
      <w:r w:rsidR="00CE7F75" w:rsidRPr="00253EE9">
        <w:t>.</w:t>
      </w:r>
    </w:p>
    <w:p w14:paraId="171682DC" w14:textId="35A07279" w:rsidR="00E806FA" w:rsidRPr="00253EE9" w:rsidRDefault="00A840BC" w:rsidP="009058CC">
      <w:r w:rsidRPr="00253EE9">
        <w:fldChar w:fldCharType="begin"/>
      </w:r>
      <w:r w:rsidRPr="00253EE9">
        <w:instrText xml:space="preserve"> REF _Ref518053238 \h </w:instrText>
      </w:r>
      <w:r w:rsidR="004808D5" w:rsidRPr="00253EE9">
        <w:instrText xml:space="preserve"> \* MERGEFORMAT </w:instrText>
      </w:r>
      <w:r w:rsidRPr="00253EE9">
        <w:fldChar w:fldCharType="separate"/>
      </w:r>
      <w:r w:rsidR="00002566" w:rsidRPr="00253EE9">
        <w:t xml:space="preserve">Figure </w:t>
      </w:r>
      <w:r w:rsidR="00002566">
        <w:rPr>
          <w:noProof/>
        </w:rPr>
        <w:t>4</w:t>
      </w:r>
      <w:r w:rsidRPr="00253EE9">
        <w:fldChar w:fldCharType="end"/>
      </w:r>
      <w:r w:rsidRPr="00253EE9">
        <w:t xml:space="preserve"> </w:t>
      </w:r>
      <w:r w:rsidR="00074E9D" w:rsidRPr="00253EE9">
        <w:t xml:space="preserve">shows the ‘net </w:t>
      </w:r>
      <w:r w:rsidR="00A627B1" w:rsidRPr="00253EE9">
        <w:t xml:space="preserve">component </w:t>
      </w:r>
      <w:r w:rsidR="00074E9D" w:rsidRPr="00253EE9">
        <w:t xml:space="preserve">change’ in </w:t>
      </w:r>
      <w:bookmarkStart w:id="10" w:name="_Ref517273165"/>
      <w:r w:rsidR="00043151" w:rsidRPr="00253EE9">
        <w:t>the disability workforce. E</w:t>
      </w:r>
      <w:r w:rsidR="00074E9D" w:rsidRPr="00253EE9">
        <w:t>mployment losses in the sector tend to come from</w:t>
      </w:r>
      <w:r w:rsidR="008C39D7" w:rsidRPr="00253EE9">
        <w:t xml:space="preserve"> permanent workers departing while</w:t>
      </w:r>
      <w:r w:rsidR="00074E9D" w:rsidRPr="00253EE9">
        <w:t xml:space="preserve"> most of the gains are from increased recruitment of casuals. </w:t>
      </w:r>
    </w:p>
    <w:p w14:paraId="176AEF44" w14:textId="77777777" w:rsidR="00A01160" w:rsidRPr="00253EE9" w:rsidRDefault="00A01160" w:rsidP="009058CC"/>
    <w:p w14:paraId="55A6E506" w14:textId="1E7EDD7D" w:rsidR="00F07463" w:rsidRPr="00253EE9" w:rsidRDefault="00E806FA" w:rsidP="009058CC">
      <w:pPr>
        <w:pStyle w:val="Caption"/>
      </w:pPr>
      <w:bookmarkStart w:id="11" w:name="_Ref518053238"/>
      <w:r w:rsidRPr="00253EE9">
        <w:t xml:space="preserve">Figure </w:t>
      </w:r>
      <w:r w:rsidR="0059343A">
        <w:fldChar w:fldCharType="begin"/>
      </w:r>
      <w:r w:rsidR="0059343A">
        <w:instrText xml:space="preserve"> SEQ Figure \* ARABIC </w:instrText>
      </w:r>
      <w:r w:rsidR="0059343A">
        <w:fldChar w:fldCharType="separate"/>
      </w:r>
      <w:r w:rsidR="00002566">
        <w:rPr>
          <w:noProof/>
        </w:rPr>
        <w:t>4</w:t>
      </w:r>
      <w:r w:rsidR="0059343A">
        <w:rPr>
          <w:noProof/>
        </w:rPr>
        <w:fldChar w:fldCharType="end"/>
      </w:r>
      <w:bookmarkEnd w:id="11"/>
      <w:r w:rsidRPr="00253EE9">
        <w:t>: Net change in permanent and casual staff</w:t>
      </w:r>
      <w:bookmarkEnd w:id="10"/>
    </w:p>
    <w:p w14:paraId="4AF4E682" w14:textId="0ED81856" w:rsidR="00556E2F" w:rsidRPr="00253EE9" w:rsidRDefault="00583BF8" w:rsidP="009058CC">
      <w:r w:rsidRPr="00253EE9">
        <w:rPr>
          <w:noProof/>
          <w:lang w:eastAsia="en-AU"/>
        </w:rPr>
        <w:lastRenderedPageBreak/>
        <w:drawing>
          <wp:inline distT="0" distB="0" distL="0" distR="0" wp14:anchorId="40A56784" wp14:editId="18BE374E">
            <wp:extent cx="3924300" cy="3146506"/>
            <wp:effectExtent l="0" t="0" r="0" b="0"/>
            <wp:docPr id="23" name="Picture 23" title="Figure 4: Net change in permanent and casu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5911" cy="3147798"/>
                    </a:xfrm>
                    <a:prstGeom prst="rect">
                      <a:avLst/>
                    </a:prstGeom>
                    <a:noFill/>
                  </pic:spPr>
                </pic:pic>
              </a:graphicData>
            </a:graphic>
          </wp:inline>
        </w:drawing>
      </w:r>
    </w:p>
    <w:p w14:paraId="1A9D87D5" w14:textId="77777777" w:rsidR="00A627B1" w:rsidRPr="00253EE9" w:rsidRDefault="00A627B1" w:rsidP="009058CC"/>
    <w:p w14:paraId="02E41A4D" w14:textId="171FF3F5" w:rsidR="00CE6950" w:rsidRPr="00253EE9" w:rsidRDefault="00A3328C" w:rsidP="009058CC">
      <w:r w:rsidRPr="00253EE9">
        <w:t xml:space="preserve">The gain in </w:t>
      </w:r>
      <w:r w:rsidR="00623F61" w:rsidRPr="00253EE9">
        <w:t>permanent employment in March 2018 came mainly from large organisations</w:t>
      </w:r>
      <w:r w:rsidR="00A627B1" w:rsidRPr="00253EE9">
        <w:t xml:space="preserve">, continuing the pattern described </w:t>
      </w:r>
      <w:r w:rsidR="00036589" w:rsidRPr="00253EE9">
        <w:t>earlier</w:t>
      </w:r>
      <w:r w:rsidR="00A627B1" w:rsidRPr="00253EE9">
        <w:t xml:space="preserve">. In </w:t>
      </w:r>
      <w:r w:rsidR="004F001A" w:rsidRPr="00253EE9">
        <w:t>medium</w:t>
      </w:r>
      <w:r w:rsidR="00A627B1" w:rsidRPr="00253EE9">
        <w:t xml:space="preserve"> size</w:t>
      </w:r>
      <w:r w:rsidR="004F001A" w:rsidRPr="00253EE9">
        <w:t xml:space="preserve"> organisations, </w:t>
      </w:r>
      <w:r w:rsidR="00623F61" w:rsidRPr="00253EE9">
        <w:t xml:space="preserve">the proportion of casual workers </w:t>
      </w:r>
      <w:r w:rsidR="00A627B1" w:rsidRPr="00253EE9">
        <w:t>also grew,</w:t>
      </w:r>
      <w:r w:rsidR="00623F61" w:rsidRPr="00253EE9">
        <w:t xml:space="preserve"> sometimes at the expense of permanent employment, while in large organisations, both workforces gr</w:t>
      </w:r>
      <w:r w:rsidR="00A627B1" w:rsidRPr="00253EE9">
        <w:t>ew, albeit at</w:t>
      </w:r>
      <w:r w:rsidR="00623F61" w:rsidRPr="00253EE9">
        <w:t xml:space="preserve"> different speed</w:t>
      </w:r>
      <w:r w:rsidR="00A627B1" w:rsidRPr="00253EE9">
        <w:t>s (see Figure 5).</w:t>
      </w:r>
    </w:p>
    <w:p w14:paraId="2870C967" w14:textId="77777777" w:rsidR="00A627B1" w:rsidRPr="00253EE9" w:rsidRDefault="00A627B1" w:rsidP="009058CC"/>
    <w:p w14:paraId="50E7A244" w14:textId="7874DF45" w:rsidR="005718E6" w:rsidRPr="00253EE9" w:rsidRDefault="00BE2E7F" w:rsidP="005718E6">
      <w:pPr>
        <w:pStyle w:val="Caption"/>
      </w:pPr>
      <w:r w:rsidRPr="00253EE9">
        <w:t xml:space="preserve">Figure </w:t>
      </w:r>
      <w:r w:rsidR="0059343A">
        <w:fldChar w:fldCharType="begin"/>
      </w:r>
      <w:r w:rsidR="0059343A">
        <w:instrText xml:space="preserve"> SEQ Figure \* ARABIC </w:instrText>
      </w:r>
      <w:r w:rsidR="0059343A">
        <w:fldChar w:fldCharType="separate"/>
      </w:r>
      <w:r w:rsidR="00002566">
        <w:rPr>
          <w:noProof/>
        </w:rPr>
        <w:t>5</w:t>
      </w:r>
      <w:r w:rsidR="0059343A">
        <w:rPr>
          <w:noProof/>
        </w:rPr>
        <w:fldChar w:fldCharType="end"/>
      </w:r>
      <w:r w:rsidRPr="00253EE9">
        <w:t xml:space="preserve">: Net change in permanent and casual </w:t>
      </w:r>
      <w:r w:rsidR="008C39D7" w:rsidRPr="00253EE9">
        <w:t>workers</w:t>
      </w:r>
      <w:r w:rsidRPr="00253EE9">
        <w:t>, by organisational size</w:t>
      </w:r>
    </w:p>
    <w:p w14:paraId="70016CBF" w14:textId="652F4B5F" w:rsidR="008C39D7" w:rsidRPr="00253EE9" w:rsidRDefault="004F001A" w:rsidP="00475A3E">
      <w:pPr>
        <w:rPr>
          <w:noProof/>
          <w:lang w:eastAsia="en-AU"/>
        </w:rPr>
      </w:pPr>
      <w:r w:rsidRPr="00253EE9">
        <w:rPr>
          <w:noProof/>
          <w:lang w:eastAsia="en-AU"/>
        </w:rPr>
        <w:drawing>
          <wp:inline distT="0" distB="0" distL="0" distR="0" wp14:anchorId="71FBB08D" wp14:editId="29D964C8">
            <wp:extent cx="2453583" cy="2632364"/>
            <wp:effectExtent l="0" t="0" r="4445" b="0"/>
            <wp:docPr id="2" name="Picture 2" descr="Medium graph" title="Figure 5: Net change in permanent and casual workers, by organisation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4229" cy="2643785"/>
                    </a:xfrm>
                    <a:prstGeom prst="rect">
                      <a:avLst/>
                    </a:prstGeom>
                    <a:noFill/>
                  </pic:spPr>
                </pic:pic>
              </a:graphicData>
            </a:graphic>
          </wp:inline>
        </w:drawing>
      </w:r>
      <w:r w:rsidR="00623F61" w:rsidRPr="00253EE9">
        <w:rPr>
          <w:noProof/>
          <w:lang w:eastAsia="en-AU"/>
        </w:rPr>
        <w:t xml:space="preserve"> </w:t>
      </w:r>
      <w:r w:rsidRPr="00253EE9">
        <w:rPr>
          <w:noProof/>
          <w:lang w:eastAsia="en-AU"/>
        </w:rPr>
        <w:drawing>
          <wp:inline distT="0" distB="0" distL="0" distR="0" wp14:anchorId="09005661" wp14:editId="2BE9FFEA">
            <wp:extent cx="2466496" cy="2646218"/>
            <wp:effectExtent l="0" t="0" r="0" b="1905"/>
            <wp:docPr id="3" name="Picture 3" descr="Large - graph" title="Figure 5: Net change in permanent and casual workers, by organisation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0318" cy="2650318"/>
                    </a:xfrm>
                    <a:prstGeom prst="rect">
                      <a:avLst/>
                    </a:prstGeom>
                    <a:noFill/>
                  </pic:spPr>
                </pic:pic>
              </a:graphicData>
            </a:graphic>
          </wp:inline>
        </w:drawing>
      </w:r>
      <w:r w:rsidR="008C39D7" w:rsidRPr="00253EE9">
        <w:rPr>
          <w:noProof/>
          <w:lang w:eastAsia="en-AU"/>
        </w:rPr>
        <w:br w:type="page"/>
      </w:r>
    </w:p>
    <w:p w14:paraId="2CF9FF4D" w14:textId="1A9562F1" w:rsidR="004F6B64" w:rsidRPr="00253EE9" w:rsidRDefault="004F6B64" w:rsidP="009058CC">
      <w:pPr>
        <w:pStyle w:val="Heading2"/>
        <w:rPr>
          <w:noProof/>
          <w:color w:val="auto"/>
          <w:lang w:eastAsia="en-AU"/>
        </w:rPr>
      </w:pPr>
      <w:bookmarkStart w:id="12" w:name="_Toc519585290"/>
      <w:r w:rsidRPr="00253EE9">
        <w:rPr>
          <w:noProof/>
          <w:color w:val="auto"/>
          <w:lang w:eastAsia="en-AU"/>
        </w:rPr>
        <w:lastRenderedPageBreak/>
        <w:t>Workforce turnover</w:t>
      </w:r>
      <w:bookmarkEnd w:id="12"/>
    </w:p>
    <w:p w14:paraId="60A8BC33" w14:textId="77777777" w:rsidR="005718E6" w:rsidRPr="00253EE9" w:rsidRDefault="005718E6" w:rsidP="005718E6">
      <w:pPr>
        <w:rPr>
          <w:lang w:eastAsia="en-AU"/>
        </w:rPr>
      </w:pPr>
    </w:p>
    <w:p w14:paraId="6BEBF0C4" w14:textId="0C2DFD12" w:rsidR="004F6B64" w:rsidRPr="00253EE9" w:rsidRDefault="004F6B64" w:rsidP="009058CC">
      <w:pPr>
        <w:rPr>
          <w:noProof/>
          <w:lang w:eastAsia="en-AU"/>
        </w:rPr>
      </w:pPr>
      <w:r w:rsidRPr="00253EE9">
        <w:rPr>
          <w:noProof/>
          <w:lang w:eastAsia="en-AU"/>
        </w:rPr>
        <w:t>Workforce turnover</w:t>
      </w:r>
      <w:r w:rsidR="005718E6" w:rsidRPr="00253EE9">
        <w:rPr>
          <w:rStyle w:val="FootnoteReference"/>
          <w:noProof/>
          <w:lang w:eastAsia="en-AU"/>
        </w:rPr>
        <w:footnoteReference w:id="3"/>
      </w:r>
      <w:r w:rsidRPr="00253EE9">
        <w:rPr>
          <w:noProof/>
          <w:lang w:eastAsia="en-AU"/>
        </w:rPr>
        <w:t xml:space="preserve"> is </w:t>
      </w:r>
      <w:r w:rsidR="008C39D7" w:rsidRPr="00253EE9">
        <w:rPr>
          <w:noProof/>
          <w:lang w:eastAsia="en-AU"/>
        </w:rPr>
        <w:t>inevitable</w:t>
      </w:r>
      <w:r w:rsidRPr="00253EE9">
        <w:rPr>
          <w:noProof/>
          <w:lang w:eastAsia="en-AU"/>
        </w:rPr>
        <w:t xml:space="preserve"> as the personal circumstance</w:t>
      </w:r>
      <w:r w:rsidR="00B507CD" w:rsidRPr="00253EE9">
        <w:rPr>
          <w:noProof/>
          <w:lang w:eastAsia="en-AU"/>
        </w:rPr>
        <w:t>s</w:t>
      </w:r>
      <w:r w:rsidR="008C39D7" w:rsidRPr="00253EE9">
        <w:rPr>
          <w:noProof/>
          <w:lang w:eastAsia="en-AU"/>
        </w:rPr>
        <w:t xml:space="preserve"> </w:t>
      </w:r>
      <w:r w:rsidRPr="00253EE9">
        <w:rPr>
          <w:noProof/>
          <w:lang w:eastAsia="en-AU"/>
        </w:rPr>
        <w:t xml:space="preserve">of workers </w:t>
      </w:r>
      <w:r w:rsidR="008C39D7" w:rsidRPr="00253EE9">
        <w:rPr>
          <w:noProof/>
          <w:lang w:eastAsia="en-AU"/>
        </w:rPr>
        <w:t>alter</w:t>
      </w:r>
      <w:r w:rsidR="006762D4" w:rsidRPr="00253EE9">
        <w:rPr>
          <w:noProof/>
          <w:lang w:eastAsia="en-AU"/>
        </w:rPr>
        <w:t>, and</w:t>
      </w:r>
      <w:r w:rsidRPr="00253EE9">
        <w:rPr>
          <w:noProof/>
          <w:lang w:eastAsia="en-AU"/>
        </w:rPr>
        <w:t xml:space="preserve"> </w:t>
      </w:r>
      <w:r w:rsidR="00036589" w:rsidRPr="00253EE9">
        <w:rPr>
          <w:noProof/>
          <w:lang w:eastAsia="en-AU"/>
        </w:rPr>
        <w:t xml:space="preserve">also </w:t>
      </w:r>
      <w:r w:rsidRPr="00253EE9">
        <w:rPr>
          <w:noProof/>
          <w:lang w:eastAsia="en-AU"/>
        </w:rPr>
        <w:t>organisation</w:t>
      </w:r>
      <w:r w:rsidR="00036589" w:rsidRPr="00253EE9">
        <w:rPr>
          <w:noProof/>
          <w:lang w:eastAsia="en-AU"/>
        </w:rPr>
        <w:t xml:space="preserve">s </w:t>
      </w:r>
      <w:r w:rsidRPr="00253EE9">
        <w:rPr>
          <w:noProof/>
          <w:lang w:eastAsia="en-AU"/>
        </w:rPr>
        <w:t xml:space="preserve">need </w:t>
      </w:r>
      <w:r w:rsidR="00B507CD" w:rsidRPr="00253EE9">
        <w:rPr>
          <w:noProof/>
          <w:lang w:eastAsia="en-AU"/>
        </w:rPr>
        <w:t>different staff</w:t>
      </w:r>
      <w:r w:rsidRPr="00253EE9">
        <w:rPr>
          <w:noProof/>
          <w:lang w:eastAsia="en-AU"/>
        </w:rPr>
        <w:t xml:space="preserve"> to </w:t>
      </w:r>
      <w:r w:rsidR="006762D4" w:rsidRPr="00253EE9">
        <w:rPr>
          <w:noProof/>
          <w:lang w:eastAsia="en-AU"/>
        </w:rPr>
        <w:t>adapt to</w:t>
      </w:r>
      <w:r w:rsidRPr="00253EE9">
        <w:rPr>
          <w:noProof/>
          <w:lang w:eastAsia="en-AU"/>
        </w:rPr>
        <w:t xml:space="preserve"> </w:t>
      </w:r>
      <w:r w:rsidR="00B507CD" w:rsidRPr="00253EE9">
        <w:rPr>
          <w:noProof/>
          <w:lang w:eastAsia="en-AU"/>
        </w:rPr>
        <w:t>changing enviro</w:t>
      </w:r>
      <w:r w:rsidR="00720B98" w:rsidRPr="00253EE9">
        <w:rPr>
          <w:noProof/>
          <w:lang w:eastAsia="en-AU"/>
        </w:rPr>
        <w:t>nment</w:t>
      </w:r>
      <w:r w:rsidR="006762D4" w:rsidRPr="00253EE9">
        <w:rPr>
          <w:noProof/>
          <w:lang w:eastAsia="en-AU"/>
        </w:rPr>
        <w:t>s</w:t>
      </w:r>
      <w:r w:rsidRPr="00253EE9">
        <w:rPr>
          <w:noProof/>
          <w:lang w:eastAsia="en-AU"/>
        </w:rPr>
        <w:t xml:space="preserve">. </w:t>
      </w:r>
    </w:p>
    <w:p w14:paraId="57EBEF5B" w14:textId="77777777" w:rsidR="00B507CD" w:rsidRPr="00253EE9" w:rsidRDefault="00B507CD" w:rsidP="009058CC">
      <w:pPr>
        <w:rPr>
          <w:noProof/>
          <w:lang w:eastAsia="en-AU"/>
        </w:rPr>
      </w:pPr>
    </w:p>
    <w:p w14:paraId="55806D16" w14:textId="164E2C89" w:rsidR="004F6B64" w:rsidRPr="00253EE9" w:rsidRDefault="005718E6" w:rsidP="009058CC">
      <w:pPr>
        <w:rPr>
          <w:noProof/>
          <w:lang w:eastAsia="en-AU"/>
        </w:rPr>
      </w:pPr>
      <w:r w:rsidRPr="00253EE9">
        <w:rPr>
          <w:noProof/>
          <w:lang w:eastAsia="en-AU"/>
        </w:rPr>
        <w:t xml:space="preserve">However, </w:t>
      </w:r>
      <w:r w:rsidR="004F6B64" w:rsidRPr="00253EE9">
        <w:rPr>
          <w:noProof/>
          <w:lang w:eastAsia="en-AU"/>
        </w:rPr>
        <w:t xml:space="preserve">high workforce turnover </w:t>
      </w:r>
      <w:r w:rsidR="008C39D7" w:rsidRPr="00253EE9">
        <w:rPr>
          <w:noProof/>
          <w:lang w:eastAsia="en-AU"/>
        </w:rPr>
        <w:t xml:space="preserve">can </w:t>
      </w:r>
      <w:r w:rsidR="00036589" w:rsidRPr="00253EE9">
        <w:rPr>
          <w:noProof/>
          <w:lang w:eastAsia="en-AU"/>
        </w:rPr>
        <w:t>reflect</w:t>
      </w:r>
      <w:r w:rsidR="008C39D7" w:rsidRPr="00253EE9">
        <w:rPr>
          <w:noProof/>
          <w:lang w:eastAsia="en-AU"/>
        </w:rPr>
        <w:t xml:space="preserve"> lower employee engagement, </w:t>
      </w:r>
      <w:r w:rsidR="00036589" w:rsidRPr="00253EE9">
        <w:rPr>
          <w:noProof/>
          <w:lang w:eastAsia="en-AU"/>
        </w:rPr>
        <w:t xml:space="preserve">and also disrupt continuity of care, leaving </w:t>
      </w:r>
      <w:r w:rsidR="008C39D7" w:rsidRPr="00253EE9">
        <w:rPr>
          <w:noProof/>
          <w:lang w:eastAsia="en-AU"/>
        </w:rPr>
        <w:t xml:space="preserve">clients less satisfied with the quality of service. </w:t>
      </w:r>
      <w:r w:rsidR="00036589" w:rsidRPr="00253EE9">
        <w:rPr>
          <w:noProof/>
          <w:lang w:eastAsia="en-AU"/>
        </w:rPr>
        <w:t>Rapid turnover</w:t>
      </w:r>
      <w:r w:rsidR="008C39D7" w:rsidRPr="00253EE9">
        <w:rPr>
          <w:noProof/>
          <w:lang w:eastAsia="en-AU"/>
        </w:rPr>
        <w:t xml:space="preserve"> </w:t>
      </w:r>
      <w:r w:rsidR="00036589" w:rsidRPr="00253EE9">
        <w:rPr>
          <w:noProof/>
          <w:lang w:eastAsia="en-AU"/>
        </w:rPr>
        <w:t xml:space="preserve">means more expenditure on </w:t>
      </w:r>
      <w:r w:rsidR="008C39D7" w:rsidRPr="00253EE9">
        <w:rPr>
          <w:noProof/>
          <w:lang w:eastAsia="en-AU"/>
        </w:rPr>
        <w:t>recruitment and training.</w:t>
      </w:r>
    </w:p>
    <w:p w14:paraId="3F288AFA" w14:textId="77777777" w:rsidR="005718E6" w:rsidRPr="00253EE9" w:rsidRDefault="005718E6" w:rsidP="009058CC">
      <w:pPr>
        <w:rPr>
          <w:noProof/>
          <w:lang w:eastAsia="en-AU"/>
        </w:rPr>
      </w:pPr>
    </w:p>
    <w:p w14:paraId="0E7D58C9" w14:textId="3618D913" w:rsidR="00A83FED" w:rsidRPr="00253EE9" w:rsidRDefault="00B507CD" w:rsidP="009058CC">
      <w:pPr>
        <w:rPr>
          <w:noProof/>
          <w:lang w:eastAsia="en-AU"/>
        </w:rPr>
      </w:pPr>
      <w:r w:rsidRPr="00253EE9">
        <w:rPr>
          <w:noProof/>
          <w:lang w:eastAsia="en-AU"/>
        </w:rPr>
        <w:t>Workforce Wizard has consistently shown c</w:t>
      </w:r>
      <w:r w:rsidR="004F6B64" w:rsidRPr="00253EE9">
        <w:rPr>
          <w:noProof/>
          <w:lang w:eastAsia="en-AU"/>
        </w:rPr>
        <w:t xml:space="preserve">asual workers </w:t>
      </w:r>
      <w:r w:rsidRPr="00253EE9">
        <w:rPr>
          <w:noProof/>
          <w:lang w:eastAsia="en-AU"/>
        </w:rPr>
        <w:t>to have</w:t>
      </w:r>
      <w:r w:rsidR="004F6B64" w:rsidRPr="00253EE9">
        <w:rPr>
          <w:noProof/>
          <w:lang w:eastAsia="en-AU"/>
        </w:rPr>
        <w:t xml:space="preserve"> </w:t>
      </w:r>
      <w:r w:rsidRPr="00253EE9">
        <w:rPr>
          <w:noProof/>
          <w:lang w:eastAsia="en-AU"/>
        </w:rPr>
        <w:t>considerably</w:t>
      </w:r>
      <w:r w:rsidR="004F6B64" w:rsidRPr="00253EE9">
        <w:rPr>
          <w:noProof/>
          <w:lang w:eastAsia="en-AU"/>
        </w:rPr>
        <w:t xml:space="preserve"> higher turnover </w:t>
      </w:r>
      <w:r w:rsidRPr="00253EE9">
        <w:rPr>
          <w:noProof/>
          <w:lang w:eastAsia="en-AU"/>
        </w:rPr>
        <w:t xml:space="preserve">rates </w:t>
      </w:r>
      <w:r w:rsidR="004F6B64" w:rsidRPr="00253EE9">
        <w:rPr>
          <w:noProof/>
          <w:lang w:eastAsia="en-AU"/>
        </w:rPr>
        <w:t xml:space="preserve">than permanent workers. </w:t>
      </w:r>
      <w:r w:rsidR="00A83FED" w:rsidRPr="00253EE9">
        <w:rPr>
          <w:noProof/>
          <w:lang w:eastAsia="en-AU"/>
        </w:rPr>
        <w:t>Historic</w:t>
      </w:r>
      <w:r w:rsidR="006762D4" w:rsidRPr="00253EE9">
        <w:rPr>
          <w:noProof/>
          <w:lang w:eastAsia="en-AU"/>
        </w:rPr>
        <w:t xml:space="preserve">ally, this has been a difference </w:t>
      </w:r>
      <w:r w:rsidR="00A83FED" w:rsidRPr="00253EE9">
        <w:rPr>
          <w:noProof/>
          <w:lang w:eastAsia="en-AU"/>
        </w:rPr>
        <w:t>of four percentage points/quarter, or 16 percentage points/year.</w:t>
      </w:r>
    </w:p>
    <w:p w14:paraId="67FFB303" w14:textId="77777777" w:rsidR="00A83FED" w:rsidRPr="00253EE9" w:rsidRDefault="00A83FED" w:rsidP="009058CC">
      <w:pPr>
        <w:rPr>
          <w:noProof/>
          <w:lang w:eastAsia="en-AU"/>
        </w:rPr>
      </w:pPr>
    </w:p>
    <w:p w14:paraId="7F90BBB8" w14:textId="049F5737" w:rsidR="004F6B64" w:rsidRPr="00253EE9" w:rsidRDefault="00A83FED" w:rsidP="009058CC">
      <w:pPr>
        <w:rPr>
          <w:noProof/>
          <w:lang w:eastAsia="en-AU"/>
        </w:rPr>
      </w:pPr>
      <w:r w:rsidRPr="00253EE9">
        <w:rPr>
          <w:noProof/>
          <w:lang w:eastAsia="en-AU"/>
        </w:rPr>
        <w:t xml:space="preserve">In the last two quarters, both casual and permanent workforce turnover </w:t>
      </w:r>
      <w:r w:rsidR="006762D4" w:rsidRPr="00253EE9">
        <w:rPr>
          <w:noProof/>
          <w:lang w:eastAsia="en-AU"/>
        </w:rPr>
        <w:t>are</w:t>
      </w:r>
      <w:r w:rsidR="000A0BF6" w:rsidRPr="00253EE9">
        <w:rPr>
          <w:noProof/>
          <w:lang w:eastAsia="en-AU"/>
        </w:rPr>
        <w:t xml:space="preserve"> trend</w:t>
      </w:r>
      <w:r w:rsidR="00F735F6" w:rsidRPr="00253EE9">
        <w:rPr>
          <w:noProof/>
          <w:lang w:eastAsia="en-AU"/>
        </w:rPr>
        <w:t>ing upwards,</w:t>
      </w:r>
      <w:r w:rsidRPr="00253EE9">
        <w:rPr>
          <w:noProof/>
          <w:lang w:eastAsia="en-AU"/>
        </w:rPr>
        <w:t xml:space="preserve"> as shown in Figure 6 below.</w:t>
      </w:r>
      <w:r w:rsidR="00F735F6" w:rsidRPr="00253EE9">
        <w:rPr>
          <w:noProof/>
          <w:lang w:eastAsia="en-AU"/>
        </w:rPr>
        <w:t xml:space="preserve"> This could be related to the more buoyant labour market and </w:t>
      </w:r>
      <w:r w:rsidR="006762D4" w:rsidRPr="00253EE9">
        <w:rPr>
          <w:noProof/>
          <w:lang w:eastAsia="en-AU"/>
        </w:rPr>
        <w:t xml:space="preserve">the </w:t>
      </w:r>
      <w:r w:rsidR="00F735F6" w:rsidRPr="00253EE9">
        <w:rPr>
          <w:noProof/>
          <w:lang w:eastAsia="en-AU"/>
        </w:rPr>
        <w:t>accelerating NDIS rollout.</w:t>
      </w:r>
    </w:p>
    <w:p w14:paraId="7691F188" w14:textId="77777777" w:rsidR="00B507CD" w:rsidRPr="00253EE9" w:rsidRDefault="00B507CD" w:rsidP="009058CC">
      <w:pPr>
        <w:pStyle w:val="Caption"/>
      </w:pPr>
    </w:p>
    <w:p w14:paraId="1BD5AE88" w14:textId="18F2D6C3" w:rsidR="00BE2E7F" w:rsidRPr="00253EE9" w:rsidRDefault="00BE2E7F" w:rsidP="009058CC">
      <w:pPr>
        <w:pStyle w:val="Caption"/>
      </w:pPr>
      <w:r w:rsidRPr="00253EE9">
        <w:t xml:space="preserve">Figure </w:t>
      </w:r>
      <w:r w:rsidR="0059343A">
        <w:fldChar w:fldCharType="begin"/>
      </w:r>
      <w:r w:rsidR="0059343A">
        <w:instrText xml:space="preserve"> SEQ Figure \* ARABIC </w:instrText>
      </w:r>
      <w:r w:rsidR="0059343A">
        <w:fldChar w:fldCharType="separate"/>
      </w:r>
      <w:r w:rsidR="00002566">
        <w:rPr>
          <w:noProof/>
        </w:rPr>
        <w:t>6</w:t>
      </w:r>
      <w:r w:rsidR="0059343A">
        <w:rPr>
          <w:noProof/>
        </w:rPr>
        <w:fldChar w:fldCharType="end"/>
      </w:r>
      <w:r w:rsidRPr="00253EE9">
        <w:t>: Q</w:t>
      </w:r>
      <w:r w:rsidR="00A83FED" w:rsidRPr="00253EE9">
        <w:t>uarterly turnover rates by form</w:t>
      </w:r>
      <w:r w:rsidRPr="00253EE9">
        <w:t xml:space="preserve"> of employment</w:t>
      </w:r>
    </w:p>
    <w:p w14:paraId="28EF8BD3" w14:textId="4C20C85B" w:rsidR="002A6837" w:rsidRPr="00253EE9" w:rsidRDefault="00545E9E" w:rsidP="009058CC">
      <w:pPr>
        <w:rPr>
          <w:noProof/>
          <w:lang w:eastAsia="en-AU"/>
        </w:rPr>
      </w:pPr>
      <w:r w:rsidRPr="00253EE9">
        <w:rPr>
          <w:noProof/>
          <w:lang w:eastAsia="en-AU"/>
        </w:rPr>
        <w:drawing>
          <wp:inline distT="0" distB="0" distL="0" distR="0" wp14:anchorId="040065D2" wp14:editId="60716368">
            <wp:extent cx="4104046" cy="2466975"/>
            <wp:effectExtent l="0" t="0" r="0" b="0"/>
            <wp:docPr id="4" name="Picture 4" title="Figure 6: Quarterly turnover rates by form of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4046" cy="2466975"/>
                    </a:xfrm>
                    <a:prstGeom prst="rect">
                      <a:avLst/>
                    </a:prstGeom>
                    <a:noFill/>
                  </pic:spPr>
                </pic:pic>
              </a:graphicData>
            </a:graphic>
          </wp:inline>
        </w:drawing>
      </w:r>
    </w:p>
    <w:p w14:paraId="62A48D15" w14:textId="77777777" w:rsidR="00B507CD" w:rsidRPr="00253EE9" w:rsidRDefault="00B507CD" w:rsidP="00C617F4">
      <w:pPr>
        <w:rPr>
          <w:noProof/>
          <w:lang w:eastAsia="en-AU"/>
        </w:rPr>
      </w:pPr>
    </w:p>
    <w:p w14:paraId="0E888FA8" w14:textId="130BA663" w:rsidR="00F735F6" w:rsidRPr="00253EE9" w:rsidRDefault="0088669A" w:rsidP="00F735F6">
      <w:pPr>
        <w:rPr>
          <w:b/>
          <w:iCs/>
        </w:rPr>
      </w:pPr>
      <w:r w:rsidRPr="00253EE9">
        <w:rPr>
          <w:rStyle w:val="Emphasis"/>
          <w:b/>
          <w:i w:val="0"/>
        </w:rPr>
        <w:t>Key points</w:t>
      </w:r>
    </w:p>
    <w:p w14:paraId="27FBC712" w14:textId="244EC499" w:rsidR="00F735F6" w:rsidRPr="00253EE9" w:rsidRDefault="00F735F6" w:rsidP="00F735F6">
      <w:pPr>
        <w:pStyle w:val="ListParagraph"/>
        <w:numPr>
          <w:ilvl w:val="0"/>
          <w:numId w:val="4"/>
        </w:numPr>
      </w:pPr>
      <w:r w:rsidRPr="00253EE9">
        <w:t xml:space="preserve">In the two most recent quarters workforce turnover for permanent disability support workforce has averaged: </w:t>
      </w:r>
      <w:r w:rsidR="00823D53" w:rsidRPr="00253EE9">
        <w:t>5.2% per quarter</w:t>
      </w:r>
    </w:p>
    <w:p w14:paraId="0110C95F" w14:textId="1B3702A4" w:rsidR="00F735F6" w:rsidRPr="00253EE9" w:rsidRDefault="00F735F6" w:rsidP="00F735F6">
      <w:pPr>
        <w:pStyle w:val="ListParagraph"/>
        <w:numPr>
          <w:ilvl w:val="0"/>
          <w:numId w:val="4"/>
        </w:numPr>
      </w:pPr>
      <w:r w:rsidRPr="00253EE9">
        <w:t>Casual workforce turnov</w:t>
      </w:r>
      <w:r w:rsidR="00823D53" w:rsidRPr="00253EE9">
        <w:t>er in the same period has been: 8.5% per quarter</w:t>
      </w:r>
    </w:p>
    <w:p w14:paraId="2C93AFFB" w14:textId="77777777" w:rsidR="00F735F6" w:rsidRPr="00253EE9" w:rsidRDefault="00F735F6" w:rsidP="00F735F6">
      <w:pPr>
        <w:rPr>
          <w:lang w:eastAsia="en-AU"/>
        </w:rPr>
      </w:pPr>
    </w:p>
    <w:p w14:paraId="05A70BC2" w14:textId="6C21A9E7" w:rsidR="00F97163" w:rsidRPr="00253EE9" w:rsidRDefault="00F97163" w:rsidP="009058CC">
      <w:pPr>
        <w:pStyle w:val="Heading2"/>
        <w:rPr>
          <w:noProof/>
          <w:color w:val="auto"/>
          <w:lang w:eastAsia="en-AU"/>
        </w:rPr>
      </w:pPr>
      <w:bookmarkStart w:id="13" w:name="_Toc519585291"/>
      <w:r w:rsidRPr="00253EE9">
        <w:rPr>
          <w:noProof/>
          <w:color w:val="auto"/>
          <w:lang w:eastAsia="en-AU"/>
        </w:rPr>
        <w:t>Working hours</w:t>
      </w:r>
      <w:bookmarkEnd w:id="13"/>
    </w:p>
    <w:p w14:paraId="5DC55670" w14:textId="77777777" w:rsidR="00B507CD" w:rsidRPr="00253EE9" w:rsidRDefault="00B507CD" w:rsidP="009058CC">
      <w:pPr>
        <w:rPr>
          <w:lang w:eastAsia="en-AU"/>
        </w:rPr>
      </w:pPr>
    </w:p>
    <w:p w14:paraId="33232B5B" w14:textId="6A63F810" w:rsidR="001D69F8" w:rsidRPr="00253EE9" w:rsidRDefault="00BE3AD4" w:rsidP="009058CC">
      <w:pPr>
        <w:rPr>
          <w:lang w:eastAsia="en-AU"/>
        </w:rPr>
      </w:pPr>
      <w:r w:rsidRPr="00253EE9">
        <w:t xml:space="preserve">In the February 2018 </w:t>
      </w:r>
      <w:r w:rsidRPr="00253EE9">
        <w:rPr>
          <w:b/>
        </w:rPr>
        <w:t>Australian Disability Workforce Report</w:t>
      </w:r>
      <w:r w:rsidR="002A6837" w:rsidRPr="00253EE9">
        <w:rPr>
          <w:lang w:eastAsia="en-AU"/>
        </w:rPr>
        <w:t xml:space="preserve">, we observed that the disability sector </w:t>
      </w:r>
      <w:r w:rsidR="00632478" w:rsidRPr="00253EE9">
        <w:rPr>
          <w:lang w:eastAsia="en-AU"/>
        </w:rPr>
        <w:t>displays</w:t>
      </w:r>
      <w:r w:rsidR="000A0BF6" w:rsidRPr="00253EE9">
        <w:rPr>
          <w:lang w:eastAsia="en-AU"/>
        </w:rPr>
        <w:t xml:space="preserve"> an </w:t>
      </w:r>
      <w:r w:rsidR="001D69F8" w:rsidRPr="00253EE9">
        <w:rPr>
          <w:lang w:eastAsia="en-AU"/>
        </w:rPr>
        <w:t xml:space="preserve">intensified </w:t>
      </w:r>
      <w:r w:rsidR="000A0BF6" w:rsidRPr="00253EE9">
        <w:rPr>
          <w:lang w:eastAsia="en-AU"/>
        </w:rPr>
        <w:t xml:space="preserve">version of the </w:t>
      </w:r>
      <w:r w:rsidR="001D69F8" w:rsidRPr="00253EE9">
        <w:rPr>
          <w:lang w:eastAsia="en-AU"/>
        </w:rPr>
        <w:t xml:space="preserve">part-time </w:t>
      </w:r>
      <w:r w:rsidR="001D69F8" w:rsidRPr="00253EE9">
        <w:rPr>
          <w:lang w:eastAsia="en-AU"/>
        </w:rPr>
        <w:lastRenderedPageBreak/>
        <w:t xml:space="preserve">employment profile characteristic of the </w:t>
      </w:r>
      <w:r w:rsidR="000A0BF6" w:rsidRPr="00253EE9">
        <w:rPr>
          <w:lang w:eastAsia="en-AU"/>
        </w:rPr>
        <w:t xml:space="preserve">health care and social </w:t>
      </w:r>
      <w:r w:rsidR="00996484" w:rsidRPr="00253EE9">
        <w:rPr>
          <w:lang w:eastAsia="en-AU"/>
        </w:rPr>
        <w:t xml:space="preserve">assistance </w:t>
      </w:r>
      <w:r w:rsidR="001D69F8" w:rsidRPr="00253EE9">
        <w:rPr>
          <w:lang w:eastAsia="en-AU"/>
        </w:rPr>
        <w:t>sector</w:t>
      </w:r>
      <w:r w:rsidRPr="00253EE9">
        <w:rPr>
          <w:lang w:eastAsia="en-AU"/>
        </w:rPr>
        <w:t>.</w:t>
      </w:r>
      <w:r w:rsidR="001519FD" w:rsidRPr="00253EE9">
        <w:rPr>
          <w:rStyle w:val="FootnoteReference"/>
          <w:lang w:eastAsia="en-AU"/>
        </w:rPr>
        <w:footnoteReference w:id="4"/>
      </w:r>
      <w:r w:rsidR="002A6837" w:rsidRPr="00253EE9">
        <w:rPr>
          <w:lang w:eastAsia="en-AU"/>
        </w:rPr>
        <w:t xml:space="preserve"> </w:t>
      </w:r>
    </w:p>
    <w:p w14:paraId="33B147F8" w14:textId="77777777" w:rsidR="001D69F8" w:rsidRPr="00253EE9" w:rsidRDefault="00BF1D59" w:rsidP="009058CC">
      <w:pPr>
        <w:rPr>
          <w:lang w:eastAsia="en-AU"/>
        </w:rPr>
      </w:pPr>
      <w:r w:rsidRPr="00253EE9">
        <w:rPr>
          <w:lang w:eastAsia="en-AU"/>
        </w:rPr>
        <w:t>In the past two years</w:t>
      </w:r>
      <w:r w:rsidR="000C5781" w:rsidRPr="00253EE9">
        <w:rPr>
          <w:lang w:eastAsia="en-AU"/>
        </w:rPr>
        <w:t>,</w:t>
      </w:r>
      <w:r w:rsidRPr="00253EE9">
        <w:rPr>
          <w:lang w:eastAsia="en-AU"/>
        </w:rPr>
        <w:t xml:space="preserve"> the proportion of permanent wor</w:t>
      </w:r>
      <w:r w:rsidR="000C5781" w:rsidRPr="00253EE9">
        <w:rPr>
          <w:lang w:eastAsia="en-AU"/>
        </w:rPr>
        <w:t>kers</w:t>
      </w:r>
      <w:r w:rsidRPr="00253EE9">
        <w:rPr>
          <w:lang w:eastAsia="en-AU"/>
        </w:rPr>
        <w:t xml:space="preserve"> who wo</w:t>
      </w:r>
      <w:r w:rsidR="00545E9E" w:rsidRPr="00253EE9">
        <w:rPr>
          <w:lang w:eastAsia="en-AU"/>
        </w:rPr>
        <w:t>rked part-time increased from 65% in September 2015 to 83</w:t>
      </w:r>
      <w:r w:rsidRPr="00253EE9">
        <w:rPr>
          <w:lang w:eastAsia="en-AU"/>
        </w:rPr>
        <w:t xml:space="preserve">% in September 2017. </w:t>
      </w:r>
    </w:p>
    <w:p w14:paraId="7A86B1FA" w14:textId="77777777" w:rsidR="001D69F8" w:rsidRPr="00253EE9" w:rsidRDefault="001D69F8" w:rsidP="001D69F8">
      <w:pPr>
        <w:rPr>
          <w:lang w:eastAsia="en-AU"/>
        </w:rPr>
      </w:pPr>
    </w:p>
    <w:p w14:paraId="1C66B916" w14:textId="3A553877" w:rsidR="001D69F8" w:rsidRPr="00253EE9" w:rsidRDefault="00996484" w:rsidP="001D69F8">
      <w:pPr>
        <w:rPr>
          <w:lang w:eastAsia="en-AU"/>
        </w:rPr>
      </w:pPr>
      <w:r w:rsidRPr="00253EE9">
        <w:rPr>
          <w:lang w:eastAsia="en-AU"/>
        </w:rPr>
        <w:t xml:space="preserve">In the </w:t>
      </w:r>
      <w:r w:rsidR="001D69F8" w:rsidRPr="00253EE9">
        <w:rPr>
          <w:lang w:eastAsia="en-AU"/>
        </w:rPr>
        <w:t xml:space="preserve">most recent two quarters </w:t>
      </w:r>
      <w:r w:rsidRPr="00253EE9">
        <w:rPr>
          <w:lang w:eastAsia="en-AU"/>
        </w:rPr>
        <w:t>this</w:t>
      </w:r>
      <w:r w:rsidR="00B3789F" w:rsidRPr="00253EE9">
        <w:rPr>
          <w:lang w:eastAsia="en-AU"/>
        </w:rPr>
        <w:t xml:space="preserve"> trend reversed (see Figure 7) with part-time employment falling back to 79%.</w:t>
      </w:r>
    </w:p>
    <w:p w14:paraId="4E6F8661" w14:textId="77777777" w:rsidR="001D69F8" w:rsidRPr="00253EE9" w:rsidRDefault="001D69F8" w:rsidP="001D69F8"/>
    <w:p w14:paraId="5805B764" w14:textId="7A9D2AFA" w:rsidR="00BE2E7F" w:rsidRPr="00253EE9" w:rsidRDefault="00BE2E7F" w:rsidP="009058CC">
      <w:pPr>
        <w:pStyle w:val="Caption"/>
      </w:pPr>
      <w:r w:rsidRPr="00253EE9">
        <w:t xml:space="preserve">Figure </w:t>
      </w:r>
      <w:r w:rsidR="0059343A">
        <w:fldChar w:fldCharType="begin"/>
      </w:r>
      <w:r w:rsidR="0059343A">
        <w:instrText xml:space="preserve"> SEQ Figure \* ARABIC </w:instrText>
      </w:r>
      <w:r w:rsidR="0059343A">
        <w:fldChar w:fldCharType="separate"/>
      </w:r>
      <w:r w:rsidR="00002566">
        <w:rPr>
          <w:noProof/>
        </w:rPr>
        <w:t>7</w:t>
      </w:r>
      <w:r w:rsidR="0059343A">
        <w:rPr>
          <w:noProof/>
        </w:rPr>
        <w:fldChar w:fldCharType="end"/>
      </w:r>
      <w:r w:rsidRPr="00253EE9">
        <w:t>:</w:t>
      </w:r>
      <w:r w:rsidR="001D69F8" w:rsidRPr="00253EE9">
        <w:t xml:space="preserve"> Full-time and part-time work</w:t>
      </w:r>
      <w:r w:rsidRPr="00253EE9">
        <w:t xml:space="preserve">: </w:t>
      </w:r>
      <w:r w:rsidR="001D69F8" w:rsidRPr="00253EE9">
        <w:t>employment shares</w:t>
      </w:r>
      <w:r w:rsidRPr="00253EE9">
        <w:t xml:space="preserve"> (%)</w:t>
      </w:r>
    </w:p>
    <w:p w14:paraId="747AD715" w14:textId="31A1F651" w:rsidR="00F97163" w:rsidRPr="00253EE9" w:rsidRDefault="00545E9E" w:rsidP="009058CC">
      <w:pPr>
        <w:rPr>
          <w:lang w:eastAsia="en-AU"/>
        </w:rPr>
      </w:pPr>
      <w:r w:rsidRPr="00253EE9">
        <w:rPr>
          <w:noProof/>
          <w:lang w:eastAsia="en-AU"/>
        </w:rPr>
        <w:drawing>
          <wp:inline distT="0" distB="0" distL="0" distR="0" wp14:anchorId="34F782CC" wp14:editId="340067F6">
            <wp:extent cx="4072355" cy="2447925"/>
            <wp:effectExtent l="0" t="0" r="4445" b="0"/>
            <wp:docPr id="5" name="Picture 5" descr="graph" title="Figure 7: Full-time and part-time work: employment sha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4109" cy="2448979"/>
                    </a:xfrm>
                    <a:prstGeom prst="rect">
                      <a:avLst/>
                    </a:prstGeom>
                    <a:noFill/>
                  </pic:spPr>
                </pic:pic>
              </a:graphicData>
            </a:graphic>
          </wp:inline>
        </w:drawing>
      </w:r>
    </w:p>
    <w:p w14:paraId="3744F01C" w14:textId="77777777" w:rsidR="001D69F8" w:rsidRPr="00253EE9" w:rsidRDefault="001D69F8" w:rsidP="009058CC">
      <w:pPr>
        <w:rPr>
          <w:noProof/>
          <w:lang w:eastAsia="en-AU"/>
        </w:rPr>
      </w:pPr>
    </w:p>
    <w:p w14:paraId="46D686F6" w14:textId="05B84715" w:rsidR="00B3789F" w:rsidRPr="00253EE9" w:rsidRDefault="00B3789F" w:rsidP="009058CC">
      <w:pPr>
        <w:rPr>
          <w:noProof/>
          <w:lang w:eastAsia="en-AU"/>
        </w:rPr>
      </w:pPr>
      <w:r w:rsidRPr="00253EE9">
        <w:rPr>
          <w:noProof/>
          <w:lang w:eastAsia="en-AU"/>
        </w:rPr>
        <w:t>In addition, t</w:t>
      </w:r>
      <w:r w:rsidR="009B7A36" w:rsidRPr="00253EE9">
        <w:rPr>
          <w:noProof/>
          <w:lang w:eastAsia="en-AU"/>
        </w:rPr>
        <w:t>he aver</w:t>
      </w:r>
      <w:r w:rsidR="00443020" w:rsidRPr="00253EE9">
        <w:rPr>
          <w:noProof/>
          <w:lang w:eastAsia="en-AU"/>
        </w:rPr>
        <w:t xml:space="preserve">age hours worked by a disability support worker </w:t>
      </w:r>
      <w:r w:rsidRPr="00253EE9">
        <w:rPr>
          <w:noProof/>
          <w:lang w:eastAsia="en-AU"/>
        </w:rPr>
        <w:t>increased for the March 2018 quarter to 22 hours/week</w:t>
      </w:r>
      <w:r w:rsidR="00632478" w:rsidRPr="00253EE9">
        <w:rPr>
          <w:noProof/>
          <w:lang w:eastAsia="en-AU"/>
        </w:rPr>
        <w:t>. This compares to</w:t>
      </w:r>
      <w:r w:rsidRPr="00253EE9">
        <w:rPr>
          <w:noProof/>
          <w:lang w:eastAsia="en-AU"/>
        </w:rPr>
        <w:t xml:space="preserve"> 21 hours/week in the preceding two quarters. It remains to be seen whether this is a reversal</w:t>
      </w:r>
      <w:r w:rsidR="00632478" w:rsidRPr="00253EE9">
        <w:rPr>
          <w:noProof/>
          <w:lang w:eastAsia="en-AU"/>
        </w:rPr>
        <w:t xml:space="preserve"> of the previous falling hours </w:t>
      </w:r>
      <w:r w:rsidRPr="00253EE9">
        <w:rPr>
          <w:noProof/>
          <w:lang w:eastAsia="en-AU"/>
        </w:rPr>
        <w:t xml:space="preserve">trend, or simply a one-off variation.  </w:t>
      </w:r>
    </w:p>
    <w:p w14:paraId="55BCDEA9" w14:textId="77777777" w:rsidR="00B3789F" w:rsidRPr="00253EE9" w:rsidRDefault="00B3789F" w:rsidP="009058CC">
      <w:pPr>
        <w:rPr>
          <w:noProof/>
          <w:lang w:eastAsia="en-AU"/>
        </w:rPr>
      </w:pPr>
    </w:p>
    <w:p w14:paraId="4D0C1478" w14:textId="2499AA00" w:rsidR="00475A3E" w:rsidRPr="00253EE9" w:rsidRDefault="007D75B1" w:rsidP="00632478">
      <w:pPr>
        <w:rPr>
          <w:noProof/>
          <w:lang w:eastAsia="en-AU"/>
        </w:rPr>
      </w:pPr>
      <w:r w:rsidRPr="00253EE9">
        <w:rPr>
          <w:noProof/>
          <w:lang w:eastAsia="en-AU"/>
        </w:rPr>
        <w:t>Previously</w:t>
      </w:r>
      <w:r w:rsidR="00B3789F" w:rsidRPr="00253EE9">
        <w:rPr>
          <w:noProof/>
          <w:lang w:eastAsia="en-AU"/>
        </w:rPr>
        <w:t xml:space="preserve">, average hours </w:t>
      </w:r>
      <w:r w:rsidRPr="00253EE9">
        <w:rPr>
          <w:noProof/>
          <w:lang w:eastAsia="en-AU"/>
        </w:rPr>
        <w:t>have trended downwards from</w:t>
      </w:r>
      <w:r w:rsidR="00443020" w:rsidRPr="00253EE9">
        <w:rPr>
          <w:noProof/>
          <w:lang w:eastAsia="en-AU"/>
        </w:rPr>
        <w:t xml:space="preserve"> 24 hours per week in September 2015 to 21 hours per week </w:t>
      </w:r>
      <w:r w:rsidRPr="00253EE9">
        <w:rPr>
          <w:noProof/>
          <w:lang w:eastAsia="en-AU"/>
        </w:rPr>
        <w:t>at the end of</w:t>
      </w:r>
      <w:r w:rsidR="00443020" w:rsidRPr="00253EE9">
        <w:rPr>
          <w:noProof/>
          <w:lang w:eastAsia="en-AU"/>
        </w:rPr>
        <w:t xml:space="preserve"> 2017. </w:t>
      </w:r>
      <w:r w:rsidR="00B3789F" w:rsidRPr="00253EE9">
        <w:rPr>
          <w:noProof/>
          <w:lang w:eastAsia="en-AU"/>
        </w:rPr>
        <w:t>The data shows some volatility which is likely due to the changing nature of the sample</w:t>
      </w:r>
      <w:r w:rsidR="00044F58" w:rsidRPr="00253EE9">
        <w:rPr>
          <w:noProof/>
          <w:lang w:eastAsia="en-AU"/>
        </w:rPr>
        <w:t>, and seasonal factors</w:t>
      </w:r>
      <w:r w:rsidR="00B3789F" w:rsidRPr="00253EE9">
        <w:rPr>
          <w:noProof/>
          <w:lang w:eastAsia="en-AU"/>
        </w:rPr>
        <w:t>.</w:t>
      </w:r>
    </w:p>
    <w:p w14:paraId="361B88F5" w14:textId="77777777" w:rsidR="00632478" w:rsidRPr="00253EE9" w:rsidRDefault="00632478" w:rsidP="00632478">
      <w:pPr>
        <w:rPr>
          <w:noProof/>
          <w:lang w:eastAsia="en-AU"/>
        </w:rPr>
      </w:pPr>
    </w:p>
    <w:p w14:paraId="098BAA54" w14:textId="50980FC7" w:rsidR="00632478" w:rsidRPr="00253EE9" w:rsidRDefault="00A01160">
      <w:pPr>
        <w:spacing w:after="160"/>
        <w:rPr>
          <w:iCs/>
          <w:sz w:val="22"/>
          <w:szCs w:val="22"/>
        </w:rPr>
      </w:pPr>
      <w:r w:rsidRPr="00253EE9">
        <w:rPr>
          <w:iCs/>
          <w:sz w:val="22"/>
          <w:szCs w:val="22"/>
        </w:rPr>
        <w:t xml:space="preserve">Recent </w:t>
      </w:r>
      <w:r w:rsidR="00632478" w:rsidRPr="00253EE9">
        <w:rPr>
          <w:iCs/>
          <w:sz w:val="22"/>
          <w:szCs w:val="22"/>
        </w:rPr>
        <w:t xml:space="preserve">ABS data indicates that </w:t>
      </w:r>
      <w:r w:rsidRPr="00253EE9">
        <w:rPr>
          <w:iCs/>
          <w:sz w:val="22"/>
          <w:szCs w:val="22"/>
        </w:rPr>
        <w:t>while employment growth h</w:t>
      </w:r>
      <w:r w:rsidR="00632478" w:rsidRPr="00253EE9">
        <w:rPr>
          <w:iCs/>
          <w:sz w:val="22"/>
          <w:szCs w:val="22"/>
        </w:rPr>
        <w:t xml:space="preserve">as </w:t>
      </w:r>
      <w:r w:rsidRPr="00253EE9">
        <w:rPr>
          <w:iCs/>
          <w:sz w:val="22"/>
          <w:szCs w:val="22"/>
        </w:rPr>
        <w:t>been relatively strong, utilisation rates have changed little. In the health care and social assistance industry, average hours per job remained lower at the end of 2017 than in 2010. This industry had the second lowest hours per job of the 19 ABS industry categories.</w:t>
      </w:r>
      <w:r w:rsidRPr="00253EE9">
        <w:rPr>
          <w:rStyle w:val="FootnoteReference"/>
          <w:iCs/>
          <w:sz w:val="22"/>
          <w:szCs w:val="22"/>
        </w:rPr>
        <w:footnoteReference w:id="5"/>
      </w:r>
      <w:r w:rsidR="00632478" w:rsidRPr="00253EE9">
        <w:rPr>
          <w:iCs/>
          <w:sz w:val="22"/>
          <w:szCs w:val="22"/>
        </w:rPr>
        <w:t xml:space="preserve"> </w:t>
      </w:r>
    </w:p>
    <w:p w14:paraId="79D5429F" w14:textId="77777777" w:rsidR="00632478" w:rsidRPr="00253EE9" w:rsidRDefault="00632478">
      <w:pPr>
        <w:spacing w:after="160"/>
        <w:rPr>
          <w:iCs/>
          <w:sz w:val="22"/>
          <w:szCs w:val="22"/>
        </w:rPr>
      </w:pPr>
      <w:r w:rsidRPr="00253EE9">
        <w:br w:type="page"/>
      </w:r>
    </w:p>
    <w:p w14:paraId="4CE1459B" w14:textId="709E093C" w:rsidR="00545E9E" w:rsidRPr="00253EE9" w:rsidRDefault="00BE2E7F" w:rsidP="009058CC">
      <w:pPr>
        <w:pStyle w:val="Caption"/>
      </w:pPr>
      <w:r w:rsidRPr="00253EE9">
        <w:lastRenderedPageBreak/>
        <w:t xml:space="preserve">Figure </w:t>
      </w:r>
      <w:r w:rsidR="0059343A">
        <w:fldChar w:fldCharType="begin"/>
      </w:r>
      <w:r w:rsidR="0059343A">
        <w:instrText xml:space="preserve"> SEQ Figure \* ARABIC </w:instrText>
      </w:r>
      <w:r w:rsidR="0059343A">
        <w:fldChar w:fldCharType="separate"/>
      </w:r>
      <w:r w:rsidR="00002566">
        <w:rPr>
          <w:noProof/>
        </w:rPr>
        <w:t>8</w:t>
      </w:r>
      <w:r w:rsidR="0059343A">
        <w:rPr>
          <w:noProof/>
        </w:rPr>
        <w:fldChar w:fldCharType="end"/>
      </w:r>
      <w:r w:rsidRPr="00253EE9">
        <w:t>: Average hours of work per week per worker</w:t>
      </w:r>
    </w:p>
    <w:p w14:paraId="096D55CC" w14:textId="42BD36C9" w:rsidR="00933B3E" w:rsidRPr="00253EE9" w:rsidRDefault="00545E9E" w:rsidP="009058CC">
      <w:r w:rsidRPr="00253EE9">
        <w:rPr>
          <w:noProof/>
          <w:lang w:eastAsia="en-AU"/>
        </w:rPr>
        <w:drawing>
          <wp:inline distT="0" distB="0" distL="0" distR="0" wp14:anchorId="3DE15980" wp14:editId="42587DA2">
            <wp:extent cx="4072357" cy="2447925"/>
            <wp:effectExtent l="0" t="0" r="4445" b="0"/>
            <wp:docPr id="22" name="Picture 22" descr="graph" title="Figure 8: Average hours of work per week per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9142" cy="2458015"/>
                    </a:xfrm>
                    <a:prstGeom prst="rect">
                      <a:avLst/>
                    </a:prstGeom>
                    <a:noFill/>
                  </pic:spPr>
                </pic:pic>
              </a:graphicData>
            </a:graphic>
          </wp:inline>
        </w:drawing>
      </w:r>
    </w:p>
    <w:p w14:paraId="637A0BCB" w14:textId="77777777" w:rsidR="00475A3E" w:rsidRPr="00253EE9" w:rsidRDefault="00475A3E" w:rsidP="00B3789F">
      <w:pPr>
        <w:rPr>
          <w:rStyle w:val="Emphasis"/>
          <w:b/>
          <w:i w:val="0"/>
        </w:rPr>
      </w:pPr>
    </w:p>
    <w:p w14:paraId="4F8D6F1C" w14:textId="40FAD86A" w:rsidR="00B3789F" w:rsidRPr="00253EE9" w:rsidRDefault="0088669A" w:rsidP="00B3789F">
      <w:pPr>
        <w:rPr>
          <w:b/>
          <w:iCs/>
        </w:rPr>
      </w:pPr>
      <w:r w:rsidRPr="00253EE9">
        <w:rPr>
          <w:rStyle w:val="Emphasis"/>
          <w:b/>
          <w:i w:val="0"/>
        </w:rPr>
        <w:t>Key points</w:t>
      </w:r>
    </w:p>
    <w:p w14:paraId="7FEC6CCB" w14:textId="17B8822E" w:rsidR="00B3789F" w:rsidRPr="00253EE9" w:rsidRDefault="00B3789F" w:rsidP="00B3789F">
      <w:pPr>
        <w:pStyle w:val="ListParagraph"/>
        <w:numPr>
          <w:ilvl w:val="0"/>
          <w:numId w:val="4"/>
        </w:numPr>
      </w:pPr>
      <w:r w:rsidRPr="00253EE9">
        <w:t xml:space="preserve">Full-time work, which has been falling in the disability support workforce has </w:t>
      </w:r>
      <w:r w:rsidR="005B40AF" w:rsidRPr="00253EE9">
        <w:t>recovered sli</w:t>
      </w:r>
      <w:r w:rsidR="0088669A" w:rsidRPr="00253EE9">
        <w:t>ghtly in the March 2018 quarter</w:t>
      </w:r>
    </w:p>
    <w:p w14:paraId="2C16AFF8" w14:textId="7903AF8E" w:rsidR="00B3789F" w:rsidRPr="00253EE9" w:rsidRDefault="005B40AF" w:rsidP="00B3789F">
      <w:pPr>
        <w:pStyle w:val="ListParagraph"/>
        <w:numPr>
          <w:ilvl w:val="0"/>
          <w:numId w:val="4"/>
        </w:numPr>
      </w:pPr>
      <w:r w:rsidRPr="00253EE9">
        <w:t>Average working hours also rose slightly, to 22 hours/week.</w:t>
      </w:r>
    </w:p>
    <w:p w14:paraId="7D69791C" w14:textId="77777777" w:rsidR="00B3789F" w:rsidRPr="00253EE9" w:rsidRDefault="00B3789F" w:rsidP="00C617F4"/>
    <w:p w14:paraId="42813160" w14:textId="2BF891C2" w:rsidR="00933B3E" w:rsidRPr="00253EE9" w:rsidRDefault="007D75B1" w:rsidP="009058CC">
      <w:pPr>
        <w:pStyle w:val="Heading2"/>
        <w:rPr>
          <w:color w:val="auto"/>
        </w:rPr>
      </w:pPr>
      <w:bookmarkStart w:id="14" w:name="_Toc519585292"/>
      <w:r w:rsidRPr="00253EE9">
        <w:rPr>
          <w:color w:val="auto"/>
        </w:rPr>
        <w:t>Summary</w:t>
      </w:r>
      <w:bookmarkEnd w:id="14"/>
    </w:p>
    <w:p w14:paraId="07ABD4F7" w14:textId="77777777" w:rsidR="00B3789F" w:rsidRPr="00253EE9" w:rsidRDefault="00B3789F" w:rsidP="009058CC"/>
    <w:p w14:paraId="36B11EBA" w14:textId="0569C979" w:rsidR="00731544" w:rsidRPr="00253EE9" w:rsidRDefault="00933B3E" w:rsidP="009058CC">
      <w:r w:rsidRPr="00253EE9">
        <w:t xml:space="preserve">In this mid-year </w:t>
      </w:r>
      <w:r w:rsidR="00964D1B" w:rsidRPr="00253EE9">
        <w:t>analysis</w:t>
      </w:r>
      <w:r w:rsidRPr="00253EE9">
        <w:t>, trends observe</w:t>
      </w:r>
      <w:r w:rsidR="004C72BA" w:rsidRPr="00253EE9">
        <w:t>d</w:t>
      </w:r>
      <w:r w:rsidRPr="00253EE9">
        <w:t xml:space="preserve"> in </w:t>
      </w:r>
      <w:r w:rsidR="00964D1B" w:rsidRPr="00253EE9">
        <w:t xml:space="preserve">previous reports are again evident. The </w:t>
      </w:r>
      <w:r w:rsidRPr="00253EE9">
        <w:t>casual workf</w:t>
      </w:r>
      <w:r w:rsidR="00532B40" w:rsidRPr="00253EE9">
        <w:t xml:space="preserve">orce </w:t>
      </w:r>
      <w:r w:rsidR="00964D1B" w:rsidRPr="00253EE9">
        <w:t>has grown</w:t>
      </w:r>
      <w:r w:rsidR="00532B40" w:rsidRPr="00253EE9">
        <w:t xml:space="preserve"> strongly</w:t>
      </w:r>
      <w:r w:rsidR="00044F58" w:rsidRPr="00253EE9">
        <w:t xml:space="preserve">. </w:t>
      </w:r>
      <w:r w:rsidR="00532B40" w:rsidRPr="00253EE9">
        <w:t>C</w:t>
      </w:r>
      <w:r w:rsidR="00731544" w:rsidRPr="00253EE9">
        <w:t xml:space="preserve">asual workers </w:t>
      </w:r>
      <w:r w:rsidR="00532B40" w:rsidRPr="00253EE9">
        <w:t>continue to have a higher turnover than permanent</w:t>
      </w:r>
      <w:r w:rsidR="000A5189" w:rsidRPr="00253EE9">
        <w:t xml:space="preserve"> workers</w:t>
      </w:r>
      <w:r w:rsidR="00731544" w:rsidRPr="00253EE9">
        <w:t>. The different strategies employed by organisations of different sizes to cop</w:t>
      </w:r>
      <w:r w:rsidR="00964D1B" w:rsidRPr="00253EE9">
        <w:t xml:space="preserve">e with flexible demands </w:t>
      </w:r>
      <w:r w:rsidR="007D75B1" w:rsidRPr="00253EE9">
        <w:t xml:space="preserve">appear to </w:t>
      </w:r>
      <w:r w:rsidR="00964D1B" w:rsidRPr="00253EE9">
        <w:t>persist.</w:t>
      </w:r>
    </w:p>
    <w:p w14:paraId="08C06300" w14:textId="77777777" w:rsidR="00964D1B" w:rsidRPr="00253EE9" w:rsidRDefault="00964D1B" w:rsidP="009058CC"/>
    <w:p w14:paraId="1A54D702" w14:textId="2248E172" w:rsidR="007D75B1" w:rsidRPr="00253EE9" w:rsidRDefault="00964D1B" w:rsidP="009058CC">
      <w:r w:rsidRPr="00253EE9">
        <w:t xml:space="preserve">The </w:t>
      </w:r>
      <w:r w:rsidR="00731544" w:rsidRPr="00253EE9">
        <w:t>March 2018</w:t>
      </w:r>
      <w:r w:rsidRPr="00253EE9">
        <w:t xml:space="preserve"> quarter has however been a period of strong sustained growth, more rapid </w:t>
      </w:r>
      <w:r w:rsidR="00044F58" w:rsidRPr="00253EE9">
        <w:t xml:space="preserve">even </w:t>
      </w:r>
      <w:r w:rsidRPr="00253EE9">
        <w:t xml:space="preserve">than in the past. Perhaps as a result, we see two </w:t>
      </w:r>
      <w:r w:rsidR="007D75B1" w:rsidRPr="00253EE9">
        <w:t xml:space="preserve">new </w:t>
      </w:r>
      <w:r w:rsidRPr="00253EE9">
        <w:t xml:space="preserve">trends: </w:t>
      </w:r>
    </w:p>
    <w:p w14:paraId="17DA2C66" w14:textId="77777777" w:rsidR="007D75B1" w:rsidRPr="00253EE9" w:rsidRDefault="007D75B1" w:rsidP="009058CC"/>
    <w:p w14:paraId="3D0EE47C" w14:textId="77777777" w:rsidR="007D75B1" w:rsidRPr="00253EE9" w:rsidRDefault="00964D1B" w:rsidP="007D75B1">
      <w:pPr>
        <w:pStyle w:val="ListParagraph"/>
        <w:numPr>
          <w:ilvl w:val="0"/>
          <w:numId w:val="7"/>
        </w:numPr>
      </w:pPr>
      <w:r w:rsidRPr="00253EE9">
        <w:t xml:space="preserve">a </w:t>
      </w:r>
      <w:r w:rsidR="00731544" w:rsidRPr="00253EE9">
        <w:t>substantial net increase in the permanent workforce</w:t>
      </w:r>
      <w:r w:rsidR="007D75B1" w:rsidRPr="00253EE9">
        <w:t>;</w:t>
      </w:r>
      <w:r w:rsidR="00731544" w:rsidRPr="00253EE9">
        <w:t xml:space="preserve"> and </w:t>
      </w:r>
    </w:p>
    <w:p w14:paraId="10991F03" w14:textId="03E579B9" w:rsidR="007D75B1" w:rsidRPr="00253EE9" w:rsidRDefault="000A5189" w:rsidP="009058CC">
      <w:pPr>
        <w:pStyle w:val="ListParagraph"/>
        <w:numPr>
          <w:ilvl w:val="0"/>
          <w:numId w:val="7"/>
        </w:numPr>
      </w:pPr>
      <w:r w:rsidRPr="00253EE9">
        <w:t xml:space="preserve">a minor reversal of the </w:t>
      </w:r>
      <w:r w:rsidR="00044F58" w:rsidRPr="00253EE9">
        <w:t xml:space="preserve">trend of increasing part-time work, coupled with </w:t>
      </w:r>
      <w:r w:rsidRPr="00253EE9">
        <w:t>declining</w:t>
      </w:r>
      <w:r w:rsidR="00731544" w:rsidRPr="00253EE9">
        <w:t xml:space="preserve"> </w:t>
      </w:r>
      <w:r w:rsidR="00044F58" w:rsidRPr="00253EE9">
        <w:t>working hours</w:t>
      </w:r>
    </w:p>
    <w:p w14:paraId="71F7BA53" w14:textId="77777777" w:rsidR="00044F58" w:rsidRPr="00253EE9" w:rsidRDefault="00044F58" w:rsidP="00044F58">
      <w:pPr>
        <w:pStyle w:val="ListParagraph"/>
        <w:ind w:left="360"/>
      </w:pPr>
    </w:p>
    <w:p w14:paraId="03E7808A" w14:textId="3F430233" w:rsidR="00933B3E" w:rsidRPr="00253EE9" w:rsidRDefault="00731544" w:rsidP="009058CC">
      <w:r w:rsidRPr="00253EE9">
        <w:t xml:space="preserve">It is </w:t>
      </w:r>
      <w:r w:rsidR="00964D1B" w:rsidRPr="00253EE9">
        <w:t>not yet clear</w:t>
      </w:r>
      <w:r w:rsidRPr="00253EE9">
        <w:t xml:space="preserve"> if th</w:t>
      </w:r>
      <w:r w:rsidR="00964D1B" w:rsidRPr="00253EE9">
        <w:t>e longer term trajectory of the</w:t>
      </w:r>
      <w:r w:rsidRPr="00253EE9">
        <w:t xml:space="preserve"> disability workforce </w:t>
      </w:r>
      <w:r w:rsidR="00964D1B" w:rsidRPr="00253EE9">
        <w:t>is shifting or if these are one-off reversals.</w:t>
      </w:r>
      <w:r w:rsidR="007D75B1" w:rsidRPr="00253EE9">
        <w:t xml:space="preserve"> However, it is undoubtedly the case that disability providers are experimenting with their workforce strategy, switching between forms of employment and approaches to employee engagement to obtain the best balance between client, worker and financial imperatives.</w:t>
      </w:r>
    </w:p>
    <w:p w14:paraId="1AF8924D" w14:textId="77777777" w:rsidR="00964D1B" w:rsidRPr="00253EE9" w:rsidRDefault="00964D1B" w:rsidP="009058CC"/>
    <w:p w14:paraId="0DC96344" w14:textId="17D8BD31" w:rsidR="00A13F27" w:rsidRPr="00253EE9" w:rsidRDefault="00731544" w:rsidP="009058CC">
      <w:r w:rsidRPr="00253EE9">
        <w:t xml:space="preserve">In the following chapter, we will examine the patterns of disability workforce in </w:t>
      </w:r>
      <w:r w:rsidR="00044F58" w:rsidRPr="00253EE9">
        <w:t xml:space="preserve">the </w:t>
      </w:r>
      <w:r w:rsidRPr="00253EE9">
        <w:t>state</w:t>
      </w:r>
      <w:r w:rsidR="00044F58" w:rsidRPr="00253EE9">
        <w:t>s</w:t>
      </w:r>
      <w:r w:rsidRPr="00253EE9">
        <w:t xml:space="preserve"> and territories. </w:t>
      </w:r>
    </w:p>
    <w:p w14:paraId="097031D1" w14:textId="77777777" w:rsidR="007D75B1" w:rsidRPr="00253EE9" w:rsidRDefault="007D75B1">
      <w:pPr>
        <w:spacing w:after="160"/>
        <w:rPr>
          <w:rFonts w:eastAsiaTheme="majorEastAsia"/>
          <w:sz w:val="32"/>
          <w:szCs w:val="32"/>
        </w:rPr>
      </w:pPr>
      <w:r w:rsidRPr="00253EE9">
        <w:br w:type="page"/>
      </w:r>
    </w:p>
    <w:p w14:paraId="52FC20C8" w14:textId="0242048F" w:rsidR="0069061E" w:rsidRPr="00253EE9" w:rsidRDefault="00E0489B" w:rsidP="009058CC">
      <w:pPr>
        <w:pStyle w:val="Heading1"/>
        <w:rPr>
          <w:rFonts w:ascii="Arial" w:hAnsi="Arial" w:cs="Arial"/>
          <w:color w:val="auto"/>
        </w:rPr>
      </w:pPr>
      <w:bookmarkStart w:id="15" w:name="_Toc519585293"/>
      <w:r w:rsidRPr="00253EE9">
        <w:rPr>
          <w:rFonts w:ascii="Arial" w:hAnsi="Arial" w:cs="Arial"/>
          <w:color w:val="auto"/>
        </w:rPr>
        <w:lastRenderedPageBreak/>
        <w:t xml:space="preserve">Chapter 2: </w:t>
      </w:r>
      <w:r w:rsidR="00EF4BA0" w:rsidRPr="00253EE9">
        <w:rPr>
          <w:rFonts w:ascii="Arial" w:hAnsi="Arial" w:cs="Arial"/>
          <w:color w:val="auto"/>
        </w:rPr>
        <w:t xml:space="preserve">The disability workforce in </w:t>
      </w:r>
      <w:r w:rsidR="0069061E" w:rsidRPr="00253EE9">
        <w:rPr>
          <w:rFonts w:ascii="Arial" w:hAnsi="Arial" w:cs="Arial"/>
          <w:color w:val="auto"/>
        </w:rPr>
        <w:t>the states</w:t>
      </w:r>
      <w:r w:rsidR="007D75B1" w:rsidRPr="00253EE9">
        <w:rPr>
          <w:rFonts w:ascii="Arial" w:hAnsi="Arial" w:cs="Arial"/>
          <w:color w:val="auto"/>
        </w:rPr>
        <w:t xml:space="preserve"> and territories</w:t>
      </w:r>
      <w:bookmarkEnd w:id="15"/>
    </w:p>
    <w:p w14:paraId="1E467442" w14:textId="77777777" w:rsidR="0069061E" w:rsidRPr="00253EE9" w:rsidRDefault="0069061E" w:rsidP="009058CC"/>
    <w:p w14:paraId="123871CC" w14:textId="00BD0D80" w:rsidR="007A76BD" w:rsidRPr="00253EE9" w:rsidRDefault="007A76BD" w:rsidP="009058CC">
      <w:pPr>
        <w:pStyle w:val="Heading2"/>
        <w:rPr>
          <w:color w:val="auto"/>
        </w:rPr>
      </w:pPr>
      <w:bookmarkStart w:id="16" w:name="_Toc519585294"/>
      <w:r w:rsidRPr="00253EE9">
        <w:rPr>
          <w:color w:val="auto"/>
        </w:rPr>
        <w:t>Wo</w:t>
      </w:r>
      <w:r w:rsidR="007F3DC7" w:rsidRPr="00253EE9">
        <w:rPr>
          <w:color w:val="auto"/>
        </w:rPr>
        <w:t>rkforce casualisation — a</w:t>
      </w:r>
      <w:r w:rsidRPr="00253EE9">
        <w:rPr>
          <w:color w:val="auto"/>
        </w:rPr>
        <w:t xml:space="preserve"> </w:t>
      </w:r>
      <w:r w:rsidR="007F3DC7" w:rsidRPr="00253EE9">
        <w:rPr>
          <w:color w:val="auto"/>
        </w:rPr>
        <w:t>converging trend</w:t>
      </w:r>
      <w:bookmarkEnd w:id="16"/>
      <w:r w:rsidR="007F3DC7" w:rsidRPr="00253EE9">
        <w:rPr>
          <w:color w:val="auto"/>
        </w:rPr>
        <w:t xml:space="preserve"> </w:t>
      </w:r>
    </w:p>
    <w:p w14:paraId="0FC13605" w14:textId="77777777" w:rsidR="00E0489B" w:rsidRPr="00253EE9" w:rsidRDefault="00E0489B" w:rsidP="00E0489B"/>
    <w:p w14:paraId="161BB4B7" w14:textId="6ED44A94" w:rsidR="007A76BD" w:rsidRPr="00253EE9" w:rsidRDefault="007A76BD" w:rsidP="009058CC">
      <w:r w:rsidRPr="00253EE9">
        <w:t xml:space="preserve">The analysis in </w:t>
      </w:r>
      <w:r w:rsidR="00823D53" w:rsidRPr="00253EE9">
        <w:t>Chapter 1</w:t>
      </w:r>
      <w:r w:rsidRPr="00253EE9">
        <w:t xml:space="preserve"> shows that there is a slow but </w:t>
      </w:r>
      <w:r w:rsidR="00E0489B" w:rsidRPr="00253EE9">
        <w:t>steady</w:t>
      </w:r>
      <w:r w:rsidRPr="00253EE9">
        <w:t xml:space="preserve"> trend towards casualisation in Australia. Is this trend universal in </w:t>
      </w:r>
      <w:r w:rsidR="00E0489B" w:rsidRPr="00253EE9">
        <w:t>each state</w:t>
      </w:r>
      <w:r w:rsidRPr="00253EE9">
        <w:t xml:space="preserve"> and territor</w:t>
      </w:r>
      <w:r w:rsidR="00E0489B" w:rsidRPr="00253EE9">
        <w:t>y</w:t>
      </w:r>
      <w:r w:rsidR="007F3DC7" w:rsidRPr="00253EE9">
        <w:t>?</w:t>
      </w:r>
    </w:p>
    <w:p w14:paraId="33CDD625" w14:textId="77777777" w:rsidR="00E0489B" w:rsidRPr="00253EE9" w:rsidRDefault="00E0489B" w:rsidP="009058CC"/>
    <w:p w14:paraId="4167FD18" w14:textId="574C4169" w:rsidR="007F3DC7" w:rsidRPr="00253EE9" w:rsidRDefault="00823D53" w:rsidP="009058CC">
      <w:r w:rsidRPr="00253EE9">
        <w:t>In fact</w:t>
      </w:r>
      <w:r w:rsidR="007F3DC7" w:rsidRPr="00253EE9">
        <w:t xml:space="preserve"> casualisation ha</w:t>
      </w:r>
      <w:r w:rsidR="00E0489B" w:rsidRPr="00253EE9">
        <w:t>s</w:t>
      </w:r>
      <w:r w:rsidR="007F3DC7" w:rsidRPr="00253EE9">
        <w:t xml:space="preserve"> risen substantially in </w:t>
      </w:r>
      <w:r w:rsidR="00E0489B" w:rsidRPr="00253EE9">
        <w:t xml:space="preserve">most </w:t>
      </w:r>
      <w:r w:rsidR="007F3DC7" w:rsidRPr="00253EE9">
        <w:t xml:space="preserve">states, </w:t>
      </w:r>
      <w:r w:rsidR="00E0489B" w:rsidRPr="00253EE9">
        <w:t xml:space="preserve">including </w:t>
      </w:r>
      <w:r w:rsidR="007F3DC7" w:rsidRPr="00253EE9">
        <w:t xml:space="preserve">Western Australia and </w:t>
      </w:r>
      <w:r w:rsidR="00C73D5F" w:rsidRPr="00253EE9">
        <w:t>NSW</w:t>
      </w:r>
      <w:r w:rsidRPr="00253EE9">
        <w:t>/ACT</w:t>
      </w:r>
      <w:r w:rsidR="00C73D5F" w:rsidRPr="00253EE9">
        <w:t xml:space="preserve">, </w:t>
      </w:r>
      <w:r w:rsidR="007F3DC7" w:rsidRPr="00253EE9">
        <w:t xml:space="preserve">which employed </w:t>
      </w:r>
      <w:r w:rsidR="00E0489B" w:rsidRPr="00253EE9">
        <w:t>fewer</w:t>
      </w:r>
      <w:r w:rsidR="007F3DC7" w:rsidRPr="00253EE9">
        <w:t xml:space="preserve"> casual workers in the beginning of the period</w:t>
      </w:r>
      <w:r w:rsidR="00E0489B" w:rsidRPr="00253EE9">
        <w:t xml:space="preserve">. Casual employment growth tended to be lower </w:t>
      </w:r>
      <w:r w:rsidR="007F3DC7" w:rsidRPr="00253EE9">
        <w:t>in states where the employment of casuals was already high</w:t>
      </w:r>
      <w:r w:rsidR="00C73D5F" w:rsidRPr="00253EE9">
        <w:t>, such as Victoria</w:t>
      </w:r>
      <w:r w:rsidR="00E0489B" w:rsidRPr="00253EE9">
        <w:t xml:space="preserve">. Note that Tasmania shows fluctuations </w:t>
      </w:r>
      <w:r w:rsidRPr="00253EE9">
        <w:t xml:space="preserve">which are </w:t>
      </w:r>
      <w:r w:rsidR="00E0489B" w:rsidRPr="00253EE9">
        <w:t>probably due to the small sample size.</w:t>
      </w:r>
    </w:p>
    <w:p w14:paraId="39B591E7" w14:textId="77777777" w:rsidR="00E0489B" w:rsidRPr="00253EE9" w:rsidRDefault="00E0489B" w:rsidP="009058CC"/>
    <w:p w14:paraId="53CCBB35" w14:textId="1C66CB72" w:rsidR="00E0489B" w:rsidRPr="00253EE9" w:rsidRDefault="00E0489B" w:rsidP="009058CC">
      <w:pPr>
        <w:rPr>
          <w:b/>
          <w:iCs/>
        </w:rPr>
      </w:pPr>
      <w:r w:rsidRPr="00253EE9">
        <w:rPr>
          <w:rStyle w:val="Emphasis"/>
          <w:b/>
          <w:i w:val="0"/>
        </w:rPr>
        <w:t>Key point</w:t>
      </w:r>
    </w:p>
    <w:p w14:paraId="7CB32F0D" w14:textId="67E9760A" w:rsidR="007A76BD" w:rsidRPr="00253EE9" w:rsidRDefault="00E0489B" w:rsidP="00E0489B">
      <w:pPr>
        <w:pStyle w:val="ListParagraph"/>
        <w:numPr>
          <w:ilvl w:val="0"/>
          <w:numId w:val="8"/>
        </w:numPr>
      </w:pPr>
      <w:r w:rsidRPr="00253EE9">
        <w:t>C</w:t>
      </w:r>
      <w:r w:rsidR="007F3DC7" w:rsidRPr="00253EE9">
        <w:t>asualisation ap</w:t>
      </w:r>
      <w:r w:rsidRPr="00253EE9">
        <w:t>pears to be a converging trend; states where fewer</w:t>
      </w:r>
      <w:r w:rsidR="007F3DC7" w:rsidRPr="00253EE9">
        <w:t xml:space="preserve"> casuals were </w:t>
      </w:r>
      <w:r w:rsidRPr="00253EE9">
        <w:t xml:space="preserve">employed have been </w:t>
      </w:r>
      <w:r w:rsidR="007F3DC7" w:rsidRPr="00253EE9">
        <w:t>catc</w:t>
      </w:r>
      <w:r w:rsidRPr="00253EE9">
        <w:t>hing up with states w</w:t>
      </w:r>
      <w:r w:rsidR="00823D53" w:rsidRPr="00253EE9">
        <w:t>hich had</w:t>
      </w:r>
      <w:r w:rsidRPr="00253EE9">
        <w:t xml:space="preserve"> </w:t>
      </w:r>
      <w:r w:rsidR="007F3DC7" w:rsidRPr="00253EE9">
        <w:t>high</w:t>
      </w:r>
      <w:r w:rsidRPr="00253EE9">
        <w:t>er</w:t>
      </w:r>
      <w:r w:rsidR="007F3DC7" w:rsidRPr="00253EE9">
        <w:t xml:space="preserve"> </w:t>
      </w:r>
      <w:r w:rsidR="00823D53" w:rsidRPr="00253EE9">
        <w:t>rates of casual employment</w:t>
      </w:r>
      <w:r w:rsidR="007F3DC7" w:rsidRPr="00253EE9">
        <w:t xml:space="preserve"> in the first place. </w:t>
      </w:r>
    </w:p>
    <w:p w14:paraId="05AB2E5B" w14:textId="77777777" w:rsidR="00E0489B" w:rsidRPr="00253EE9" w:rsidRDefault="00E0489B" w:rsidP="009058CC">
      <w:pPr>
        <w:pStyle w:val="Caption"/>
      </w:pPr>
      <w:bookmarkStart w:id="17" w:name="_Ref517692308"/>
      <w:bookmarkStart w:id="18" w:name="_Ref517692304"/>
    </w:p>
    <w:p w14:paraId="35A5E31C" w14:textId="72361CE7" w:rsidR="00044F58" w:rsidRPr="00253EE9" w:rsidRDefault="007A76BD" w:rsidP="004D08D2">
      <w:pPr>
        <w:pStyle w:val="Caption"/>
      </w:pPr>
      <w:r w:rsidRPr="00253EE9">
        <w:t xml:space="preserve">Figure </w:t>
      </w:r>
      <w:r w:rsidR="0059343A">
        <w:fldChar w:fldCharType="begin"/>
      </w:r>
      <w:r w:rsidR="0059343A">
        <w:instrText xml:space="preserve"> SEQ Figure \* ARABIC </w:instrText>
      </w:r>
      <w:r w:rsidR="0059343A">
        <w:fldChar w:fldCharType="separate"/>
      </w:r>
      <w:r w:rsidR="00002566">
        <w:rPr>
          <w:noProof/>
        </w:rPr>
        <w:t>9</w:t>
      </w:r>
      <w:r w:rsidR="0059343A">
        <w:rPr>
          <w:noProof/>
        </w:rPr>
        <w:fldChar w:fldCharType="end"/>
      </w:r>
      <w:bookmarkEnd w:id="17"/>
      <w:r w:rsidR="003B16FD" w:rsidRPr="00253EE9">
        <w:t>: The proportion of casu</w:t>
      </w:r>
      <w:r w:rsidRPr="00253EE9">
        <w:t>al workers by state</w:t>
      </w:r>
      <w:bookmarkEnd w:id="18"/>
      <w:r w:rsidRPr="00253EE9">
        <w:t xml:space="preserve"> </w:t>
      </w:r>
    </w:p>
    <w:p w14:paraId="440C9451" w14:textId="41F1BEEB" w:rsidR="00BE2E7F" w:rsidRPr="00253EE9" w:rsidRDefault="004D08D2" w:rsidP="009058CC">
      <w:r w:rsidRPr="00253EE9">
        <w:rPr>
          <w:noProof/>
          <w:lang w:eastAsia="en-AU"/>
        </w:rPr>
        <w:drawing>
          <wp:inline distT="0" distB="0" distL="0" distR="0" wp14:anchorId="1102125B" wp14:editId="57B9ADCD">
            <wp:extent cx="5511165" cy="3328670"/>
            <wp:effectExtent l="0" t="0" r="0" b="5080"/>
            <wp:docPr id="10" name="Picture 10" descr="Graph" title="Figure 9: The proportion of casual workers by st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1165" cy="3328670"/>
                    </a:xfrm>
                    <a:prstGeom prst="rect">
                      <a:avLst/>
                    </a:prstGeom>
                    <a:noFill/>
                  </pic:spPr>
                </pic:pic>
              </a:graphicData>
            </a:graphic>
          </wp:inline>
        </w:drawing>
      </w:r>
    </w:p>
    <w:p w14:paraId="4B28D13E" w14:textId="77777777" w:rsidR="00E0489B" w:rsidRPr="00253EE9" w:rsidRDefault="00E0489B" w:rsidP="009058CC"/>
    <w:p w14:paraId="78325F82" w14:textId="6DDB565F" w:rsidR="00E0489B" w:rsidRPr="00253EE9" w:rsidRDefault="00325A51" w:rsidP="00E0489B">
      <w:pPr>
        <w:pStyle w:val="Heading2"/>
        <w:rPr>
          <w:color w:val="auto"/>
        </w:rPr>
      </w:pPr>
      <w:bookmarkStart w:id="19" w:name="_Toc519585295"/>
      <w:r w:rsidRPr="00253EE9">
        <w:rPr>
          <w:color w:val="auto"/>
        </w:rPr>
        <w:t>Western Australia</w:t>
      </w:r>
      <w:r w:rsidR="00E0489B" w:rsidRPr="00253EE9">
        <w:rPr>
          <w:color w:val="auto"/>
        </w:rPr>
        <w:t xml:space="preserve"> </w:t>
      </w:r>
      <w:r w:rsidR="00513913" w:rsidRPr="00253EE9">
        <w:rPr>
          <w:color w:val="auto"/>
        </w:rPr>
        <w:t>charts a different course on forms of employment</w:t>
      </w:r>
      <w:bookmarkEnd w:id="19"/>
      <w:r w:rsidR="00513913" w:rsidRPr="00253EE9">
        <w:rPr>
          <w:color w:val="auto"/>
        </w:rPr>
        <w:t xml:space="preserve"> </w:t>
      </w:r>
      <w:r w:rsidR="00E0489B" w:rsidRPr="00253EE9">
        <w:rPr>
          <w:color w:val="auto"/>
        </w:rPr>
        <w:t xml:space="preserve"> </w:t>
      </w:r>
    </w:p>
    <w:p w14:paraId="3F870579" w14:textId="77777777" w:rsidR="00E0489B" w:rsidRPr="00253EE9" w:rsidRDefault="00E0489B" w:rsidP="009058CC"/>
    <w:p w14:paraId="40155EFA" w14:textId="1229D2C1" w:rsidR="00E0489B" w:rsidRPr="00253EE9" w:rsidRDefault="00E0489B" w:rsidP="009058CC">
      <w:r w:rsidRPr="00253EE9">
        <w:t>The changing share of</w:t>
      </w:r>
      <w:r w:rsidR="001F306C" w:rsidRPr="00253EE9">
        <w:t xml:space="preserve"> full-ti</w:t>
      </w:r>
      <w:r w:rsidR="00C73D5F" w:rsidRPr="00253EE9">
        <w:t xml:space="preserve">me </w:t>
      </w:r>
      <w:r w:rsidRPr="00253EE9">
        <w:t xml:space="preserve">and part-time employment work however is not </w:t>
      </w:r>
      <w:r w:rsidR="00823D53" w:rsidRPr="00253EE9">
        <w:t xml:space="preserve">standard </w:t>
      </w:r>
      <w:r w:rsidRPr="00253EE9">
        <w:t>across the states and territories.</w:t>
      </w:r>
    </w:p>
    <w:p w14:paraId="4A8A8B02" w14:textId="77777777" w:rsidR="00E0489B" w:rsidRPr="00253EE9" w:rsidRDefault="00E0489B" w:rsidP="009058CC"/>
    <w:p w14:paraId="431CF916" w14:textId="5AF10BA7" w:rsidR="00325A51" w:rsidRPr="00253EE9" w:rsidRDefault="007E45FC" w:rsidP="00325A51">
      <w:r w:rsidRPr="00253EE9">
        <w:t xml:space="preserve">The </w:t>
      </w:r>
      <w:r w:rsidR="007F1011" w:rsidRPr="00253EE9">
        <w:t>decline in full-time work</w:t>
      </w:r>
      <w:r w:rsidRPr="00253EE9">
        <w:t xml:space="preserve"> is only </w:t>
      </w:r>
      <w:r w:rsidR="00E0489B" w:rsidRPr="00253EE9">
        <w:t>marked</w:t>
      </w:r>
      <w:r w:rsidRPr="00253EE9">
        <w:t xml:space="preserve"> in Queensland, NT/SA and to a certain extent, Victor</w:t>
      </w:r>
      <w:r w:rsidR="007F1011" w:rsidRPr="00253EE9">
        <w:t xml:space="preserve">ia. Western Australia </w:t>
      </w:r>
      <w:r w:rsidR="00E0489B" w:rsidRPr="00253EE9">
        <w:t>has maintained a</w:t>
      </w:r>
      <w:r w:rsidR="00BF52D1" w:rsidRPr="00253EE9">
        <w:t xml:space="preserve"> relatively high </w:t>
      </w:r>
      <w:r w:rsidR="00BF52D1" w:rsidRPr="00253EE9">
        <w:lastRenderedPageBreak/>
        <w:t xml:space="preserve">proportion of full-time workers, compared to the rest of the </w:t>
      </w:r>
      <w:r w:rsidR="00E0489B" w:rsidRPr="00253EE9">
        <w:t>country</w:t>
      </w:r>
      <w:r w:rsidR="00BF52D1" w:rsidRPr="00253EE9">
        <w:t xml:space="preserve">. </w:t>
      </w:r>
      <w:r w:rsidR="00325A51" w:rsidRPr="00253EE9">
        <w:t xml:space="preserve">Tasmania, </w:t>
      </w:r>
      <w:r w:rsidR="00BF52D1" w:rsidRPr="00253EE9">
        <w:t xml:space="preserve">on the </w:t>
      </w:r>
      <w:r w:rsidR="00E0489B" w:rsidRPr="00253EE9">
        <w:t>other hand</w:t>
      </w:r>
      <w:r w:rsidR="00BF52D1" w:rsidRPr="00253EE9">
        <w:t>, has a much lower proportion of full-time worker</w:t>
      </w:r>
      <w:r w:rsidR="00E0489B" w:rsidRPr="00253EE9">
        <w:t>s</w:t>
      </w:r>
      <w:r w:rsidR="00BF52D1" w:rsidRPr="00253EE9">
        <w:t xml:space="preserve"> </w:t>
      </w:r>
      <w:r w:rsidR="004C4628" w:rsidRPr="00253EE9">
        <w:t>throughout</w:t>
      </w:r>
      <w:r w:rsidR="00E0489B" w:rsidRPr="00253EE9">
        <w:t xml:space="preserve"> the period. R</w:t>
      </w:r>
      <w:r w:rsidR="00BF52D1" w:rsidRPr="00253EE9">
        <w:t xml:space="preserve">ecently, Queensland overtook Tasmania as the state with the lowest proportion of full-time workers in the </w:t>
      </w:r>
      <w:bookmarkStart w:id="20" w:name="_Ref517959434"/>
      <w:r w:rsidR="00325A51" w:rsidRPr="00253EE9">
        <w:t>permanent disability workforce</w:t>
      </w:r>
      <w:r w:rsidR="00341613" w:rsidRPr="00253EE9">
        <w:t xml:space="preserve"> (See Figure 10)</w:t>
      </w:r>
      <w:r w:rsidR="00325A51" w:rsidRPr="00253EE9">
        <w:t xml:space="preserve">. </w:t>
      </w:r>
    </w:p>
    <w:p w14:paraId="71AA674A" w14:textId="77777777" w:rsidR="00044F58" w:rsidRPr="00253EE9" w:rsidRDefault="00044F58" w:rsidP="00044F58">
      <w:pPr>
        <w:rPr>
          <w:sz w:val="22"/>
          <w:szCs w:val="22"/>
        </w:rPr>
      </w:pPr>
    </w:p>
    <w:p w14:paraId="476C2B12" w14:textId="4F9DBEB8" w:rsidR="007E45FC" w:rsidRPr="00253EE9" w:rsidRDefault="007E45FC" w:rsidP="00044F58">
      <w:pPr>
        <w:rPr>
          <w:sz w:val="22"/>
          <w:szCs w:val="22"/>
        </w:rPr>
      </w:pPr>
      <w:r w:rsidRPr="00253EE9">
        <w:rPr>
          <w:sz w:val="22"/>
          <w:szCs w:val="22"/>
        </w:rPr>
        <w:t xml:space="preserve">Figure </w:t>
      </w:r>
      <w:r w:rsidR="00925669" w:rsidRPr="00253EE9">
        <w:rPr>
          <w:sz w:val="22"/>
          <w:szCs w:val="22"/>
        </w:rPr>
        <w:fldChar w:fldCharType="begin"/>
      </w:r>
      <w:r w:rsidR="00925669" w:rsidRPr="00253EE9">
        <w:rPr>
          <w:sz w:val="22"/>
          <w:szCs w:val="22"/>
        </w:rPr>
        <w:instrText xml:space="preserve"> SEQ Figure \* ARABIC </w:instrText>
      </w:r>
      <w:r w:rsidR="00925669" w:rsidRPr="00253EE9">
        <w:rPr>
          <w:sz w:val="22"/>
          <w:szCs w:val="22"/>
        </w:rPr>
        <w:fldChar w:fldCharType="separate"/>
      </w:r>
      <w:r w:rsidR="00002566">
        <w:rPr>
          <w:noProof/>
          <w:sz w:val="22"/>
          <w:szCs w:val="22"/>
        </w:rPr>
        <w:t>10</w:t>
      </w:r>
      <w:r w:rsidR="00925669" w:rsidRPr="00253EE9">
        <w:rPr>
          <w:noProof/>
          <w:sz w:val="22"/>
          <w:szCs w:val="22"/>
        </w:rPr>
        <w:fldChar w:fldCharType="end"/>
      </w:r>
      <w:bookmarkEnd w:id="20"/>
      <w:r w:rsidRPr="00253EE9">
        <w:rPr>
          <w:sz w:val="22"/>
          <w:szCs w:val="22"/>
        </w:rPr>
        <w:t xml:space="preserve">: The proportion of full-time </w:t>
      </w:r>
      <w:r w:rsidR="00325A51" w:rsidRPr="00253EE9">
        <w:rPr>
          <w:sz w:val="22"/>
          <w:szCs w:val="22"/>
        </w:rPr>
        <w:t xml:space="preserve">employment </w:t>
      </w:r>
      <w:r w:rsidRPr="00253EE9">
        <w:rPr>
          <w:sz w:val="22"/>
          <w:szCs w:val="22"/>
        </w:rPr>
        <w:t>in the permanent disability workforce</w:t>
      </w:r>
    </w:p>
    <w:p w14:paraId="420373F8" w14:textId="6827E7D8" w:rsidR="001F306C" w:rsidRPr="00253EE9" w:rsidRDefault="004D08D2" w:rsidP="009058CC">
      <w:r w:rsidRPr="00253EE9">
        <w:rPr>
          <w:noProof/>
          <w:lang w:eastAsia="en-AU"/>
        </w:rPr>
        <w:drawing>
          <wp:inline distT="0" distB="0" distL="0" distR="0" wp14:anchorId="778D6ECE" wp14:editId="32C8D571">
            <wp:extent cx="5038725" cy="3028818"/>
            <wp:effectExtent l="0" t="0" r="0" b="635"/>
            <wp:docPr id="11" name="Picture 11" descr="Graph" title="Figure 10: The proportion of full-time employment in the permanent disability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2951" cy="3031358"/>
                    </a:xfrm>
                    <a:prstGeom prst="rect">
                      <a:avLst/>
                    </a:prstGeom>
                    <a:noFill/>
                  </pic:spPr>
                </pic:pic>
              </a:graphicData>
            </a:graphic>
          </wp:inline>
        </w:drawing>
      </w:r>
    </w:p>
    <w:p w14:paraId="128D7A31" w14:textId="77777777" w:rsidR="00513913" w:rsidRPr="00253EE9" w:rsidRDefault="00513913" w:rsidP="009058CC"/>
    <w:p w14:paraId="49F5EBC1" w14:textId="0F639F0F" w:rsidR="00DA7F82" w:rsidRPr="00253EE9" w:rsidRDefault="00CF07E1" w:rsidP="009058CC">
      <w:r w:rsidRPr="00253EE9">
        <w:t>In</w:t>
      </w:r>
      <w:r w:rsidR="000E4799" w:rsidRPr="00253EE9">
        <w:t xml:space="preserve"> </w:t>
      </w:r>
      <w:r w:rsidR="000E4799" w:rsidRPr="00253EE9">
        <w:fldChar w:fldCharType="begin"/>
      </w:r>
      <w:r w:rsidR="000E4799" w:rsidRPr="00253EE9">
        <w:instrText xml:space="preserve"> REF _Ref517703858 \h </w:instrText>
      </w:r>
      <w:r w:rsidR="00F93E9C" w:rsidRPr="00253EE9">
        <w:instrText xml:space="preserve"> \* MERGEFORMAT </w:instrText>
      </w:r>
      <w:r w:rsidR="000E4799" w:rsidRPr="00253EE9">
        <w:fldChar w:fldCharType="separate"/>
      </w:r>
      <w:r w:rsidR="00002566" w:rsidRPr="00253EE9">
        <w:rPr>
          <w:noProof/>
        </w:rPr>
        <w:t>Figure</w:t>
      </w:r>
      <w:r w:rsidR="00002566" w:rsidRPr="00253EE9">
        <w:t xml:space="preserve"> </w:t>
      </w:r>
      <w:r w:rsidR="00002566">
        <w:rPr>
          <w:noProof/>
        </w:rPr>
        <w:t>11</w:t>
      </w:r>
      <w:r w:rsidR="000E4799" w:rsidRPr="00253EE9">
        <w:fldChar w:fldCharType="end"/>
      </w:r>
      <w:r w:rsidRPr="00253EE9">
        <w:t xml:space="preserve">, the net change </w:t>
      </w:r>
      <w:r w:rsidR="00B94485" w:rsidRPr="00253EE9">
        <w:t>in</w:t>
      </w:r>
      <w:r w:rsidRPr="00253EE9">
        <w:t xml:space="preserve"> permanent workers shifts between positive and negative growth</w:t>
      </w:r>
      <w:r w:rsidR="00116DF8" w:rsidRPr="00253EE9">
        <w:t xml:space="preserve"> in all states</w:t>
      </w:r>
      <w:r w:rsidRPr="00253EE9">
        <w:t xml:space="preserve">, with the </w:t>
      </w:r>
      <w:r w:rsidR="00116DF8" w:rsidRPr="00253EE9">
        <w:t>ex</w:t>
      </w:r>
      <w:r w:rsidR="00E5667C" w:rsidRPr="00253EE9">
        <w:t>ception of Western Australia. In</w:t>
      </w:r>
      <w:r w:rsidR="00116DF8" w:rsidRPr="00253EE9">
        <w:t xml:space="preserve"> Western Australia,</w:t>
      </w:r>
      <w:r w:rsidR="00341613" w:rsidRPr="00253EE9">
        <w:t xml:space="preserve"> the permanent workforce has grown</w:t>
      </w:r>
      <w:r w:rsidRPr="00253EE9">
        <w:t xml:space="preserve"> in all quarters except December 2015.</w:t>
      </w:r>
      <w:r w:rsidR="00116DF8" w:rsidRPr="00253EE9">
        <w:t xml:space="preserve"> </w:t>
      </w:r>
      <w:r w:rsidR="00E5667C" w:rsidRPr="00253EE9">
        <w:t>T</w:t>
      </w:r>
      <w:r w:rsidR="00513913" w:rsidRPr="00253EE9">
        <w:t xml:space="preserve">asmania, on the contrary, has </w:t>
      </w:r>
      <w:r w:rsidR="00E5667C" w:rsidRPr="00253EE9">
        <w:t>negative growth of permanent workers in all but one quarter.</w:t>
      </w:r>
    </w:p>
    <w:p w14:paraId="5E2F3B97" w14:textId="77777777" w:rsidR="00513913" w:rsidRPr="00253EE9" w:rsidRDefault="00513913" w:rsidP="009058CC"/>
    <w:p w14:paraId="14ADCAC9" w14:textId="003670FE" w:rsidR="00DA7F82" w:rsidRPr="00253EE9" w:rsidRDefault="00DA7F82" w:rsidP="009058CC">
      <w:pPr>
        <w:pStyle w:val="Caption"/>
      </w:pPr>
      <w:bookmarkStart w:id="21" w:name="_Ref517703858"/>
      <w:r w:rsidRPr="00253EE9">
        <w:t xml:space="preserve">Figure </w:t>
      </w:r>
      <w:r w:rsidR="0059343A">
        <w:fldChar w:fldCharType="begin"/>
      </w:r>
      <w:r w:rsidR="0059343A">
        <w:instrText xml:space="preserve"> SEQ Figure \* ARABIC </w:instrText>
      </w:r>
      <w:r w:rsidR="0059343A">
        <w:fldChar w:fldCharType="separate"/>
      </w:r>
      <w:r w:rsidR="00002566">
        <w:rPr>
          <w:noProof/>
        </w:rPr>
        <w:t>11</w:t>
      </w:r>
      <w:r w:rsidR="0059343A">
        <w:rPr>
          <w:noProof/>
        </w:rPr>
        <w:fldChar w:fldCharType="end"/>
      </w:r>
      <w:bookmarkEnd w:id="21"/>
      <w:r w:rsidR="00341613" w:rsidRPr="00253EE9">
        <w:t>: Net change in permanent worker</w:t>
      </w:r>
      <w:r w:rsidR="004808D5" w:rsidRPr="00253EE9">
        <w:t>s</w:t>
      </w:r>
      <w:r w:rsidRPr="00253EE9">
        <w:t>, by state</w:t>
      </w:r>
    </w:p>
    <w:p w14:paraId="39A18753" w14:textId="7498C904" w:rsidR="00513913" w:rsidRPr="00253EE9" w:rsidRDefault="004D08D2" w:rsidP="00C617F4">
      <w:r w:rsidRPr="00253EE9">
        <w:rPr>
          <w:noProof/>
          <w:lang w:eastAsia="en-AU"/>
        </w:rPr>
        <w:drawing>
          <wp:inline distT="0" distB="0" distL="0" distR="0" wp14:anchorId="7D3EFB2C" wp14:editId="4A2DCB28">
            <wp:extent cx="4193955" cy="2826327"/>
            <wp:effectExtent l="0" t="0" r="0" b="0"/>
            <wp:docPr id="14" name="Picture 14" descr="Graph" title="Figure 11: Net change in permanent workers, by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9021" cy="2836480"/>
                    </a:xfrm>
                    <a:prstGeom prst="rect">
                      <a:avLst/>
                    </a:prstGeom>
                    <a:noFill/>
                  </pic:spPr>
                </pic:pic>
              </a:graphicData>
            </a:graphic>
          </wp:inline>
        </w:drawing>
      </w:r>
    </w:p>
    <w:p w14:paraId="3BF5DFB2" w14:textId="36353840" w:rsidR="00C547F5" w:rsidRPr="00253EE9" w:rsidRDefault="00D408F8" w:rsidP="009058CC">
      <w:pPr>
        <w:pStyle w:val="Heading2"/>
        <w:rPr>
          <w:color w:val="auto"/>
        </w:rPr>
      </w:pPr>
      <w:bookmarkStart w:id="22" w:name="_Toc519585296"/>
      <w:r w:rsidRPr="00253EE9">
        <w:rPr>
          <w:color w:val="auto"/>
        </w:rPr>
        <w:lastRenderedPageBreak/>
        <w:t>Workforce turnover</w:t>
      </w:r>
      <w:bookmarkEnd w:id="22"/>
      <w:r w:rsidRPr="00253EE9">
        <w:rPr>
          <w:color w:val="auto"/>
        </w:rPr>
        <w:t xml:space="preserve"> </w:t>
      </w:r>
    </w:p>
    <w:p w14:paraId="3BF2DABC" w14:textId="77777777" w:rsidR="00B94485" w:rsidRPr="00253EE9" w:rsidRDefault="00B94485" w:rsidP="009058CC"/>
    <w:p w14:paraId="4C6F2DD4" w14:textId="545990D8" w:rsidR="00D408F8" w:rsidRPr="00253EE9" w:rsidRDefault="00D408F8" w:rsidP="009058CC">
      <w:r w:rsidRPr="00253EE9">
        <w:t xml:space="preserve">The </w:t>
      </w:r>
      <w:r w:rsidR="00DB7990" w:rsidRPr="00253EE9">
        <w:t>11</w:t>
      </w:r>
      <w:r w:rsidR="003D693D" w:rsidRPr="00253EE9">
        <w:t>-quarter average</w:t>
      </w:r>
      <w:r w:rsidRPr="00253EE9">
        <w:t xml:space="preserve"> turnover rate for perman</w:t>
      </w:r>
      <w:r w:rsidR="002A5A44" w:rsidRPr="00253EE9">
        <w:t>ent workers</w:t>
      </w:r>
      <w:r w:rsidR="003D693D" w:rsidRPr="00253EE9">
        <w:t xml:space="preserve"> in Australia</w:t>
      </w:r>
      <w:r w:rsidR="002A5A44" w:rsidRPr="00253EE9">
        <w:t xml:space="preserve"> is about 4.6%</w:t>
      </w:r>
      <w:r w:rsidR="001D0E4F" w:rsidRPr="00253EE9">
        <w:t xml:space="preserve"> per quarter</w:t>
      </w:r>
      <w:r w:rsidR="002A5A44" w:rsidRPr="00253EE9">
        <w:t xml:space="preserve">. </w:t>
      </w:r>
      <w:r w:rsidR="00B94485" w:rsidRPr="00253EE9">
        <w:t>This rate</w:t>
      </w:r>
      <w:r w:rsidR="002A5A44" w:rsidRPr="00253EE9">
        <w:t xml:space="preserve"> remain</w:t>
      </w:r>
      <w:r w:rsidR="00B94485" w:rsidRPr="00253EE9">
        <w:t>s</w:t>
      </w:r>
      <w:r w:rsidR="002A5A44" w:rsidRPr="00253EE9">
        <w:t xml:space="preserve"> </w:t>
      </w:r>
      <w:r w:rsidR="00B94485" w:rsidRPr="00253EE9">
        <w:t xml:space="preserve">reasonably </w:t>
      </w:r>
      <w:r w:rsidR="002A5A44" w:rsidRPr="00253EE9">
        <w:t xml:space="preserve">stable across states and quarters. </w:t>
      </w:r>
      <w:r w:rsidR="00B94485" w:rsidRPr="00253EE9">
        <w:t>Casual</w:t>
      </w:r>
      <w:r w:rsidR="002A5A44" w:rsidRPr="00253EE9">
        <w:t xml:space="preserve"> </w:t>
      </w:r>
      <w:r w:rsidR="001D0E4F" w:rsidRPr="00253EE9">
        <w:t>turnover at nearly 8.</w:t>
      </w:r>
      <w:r w:rsidR="008112D8" w:rsidRPr="00253EE9">
        <w:t>5</w:t>
      </w:r>
      <w:r w:rsidR="00B94485" w:rsidRPr="00253EE9">
        <w:t xml:space="preserve">% </w:t>
      </w:r>
      <w:r w:rsidR="001D0E4F" w:rsidRPr="00253EE9">
        <w:t xml:space="preserve">per quarter, on average, which </w:t>
      </w:r>
      <w:r w:rsidR="00B94485" w:rsidRPr="00253EE9">
        <w:t>is</w:t>
      </w:r>
      <w:r w:rsidR="002A5A44" w:rsidRPr="00253EE9">
        <w:t xml:space="preserve"> higher and more volatile. </w:t>
      </w:r>
      <w:r w:rsidR="00DB7990" w:rsidRPr="00253EE9">
        <w:t xml:space="preserve">Western Australia has the highest casual workforce turnover rate, </w:t>
      </w:r>
      <w:r w:rsidR="00823D53" w:rsidRPr="00253EE9">
        <w:t xml:space="preserve">with </w:t>
      </w:r>
      <w:r w:rsidR="00DB7990" w:rsidRPr="00253EE9">
        <w:t>doub</w:t>
      </w:r>
      <w:r w:rsidR="004C4628" w:rsidRPr="00253EE9">
        <w:t xml:space="preserve">le digit </w:t>
      </w:r>
      <w:r w:rsidR="00823D53" w:rsidRPr="00253EE9">
        <w:t xml:space="preserve">rates </w:t>
      </w:r>
      <w:r w:rsidR="004C4628" w:rsidRPr="00253EE9">
        <w:t xml:space="preserve">in three of the last </w:t>
      </w:r>
      <w:r w:rsidR="00823D53" w:rsidRPr="00253EE9">
        <w:t>11</w:t>
      </w:r>
      <w:r w:rsidR="00DB7990" w:rsidRPr="00253EE9">
        <w:t xml:space="preserve"> quarters.</w:t>
      </w:r>
      <w:r w:rsidR="00B94485" w:rsidRPr="00253EE9">
        <w:t xml:space="preserve"> This </w:t>
      </w:r>
      <w:r w:rsidR="008112D8" w:rsidRPr="00253EE9">
        <w:t>could be linked to</w:t>
      </w:r>
      <w:r w:rsidR="00083FBF" w:rsidRPr="00253EE9">
        <w:t xml:space="preserve"> Western Australia’s </w:t>
      </w:r>
      <w:r w:rsidR="00C617F4" w:rsidRPr="00253EE9">
        <w:t>lower reliance on casual workers than other states</w:t>
      </w:r>
      <w:r w:rsidR="008112D8" w:rsidRPr="00253EE9">
        <w:t>.</w:t>
      </w:r>
    </w:p>
    <w:p w14:paraId="35D9041E" w14:textId="77777777" w:rsidR="00B94485" w:rsidRPr="00253EE9" w:rsidRDefault="00B94485" w:rsidP="009058CC">
      <w:pPr>
        <w:pStyle w:val="Caption"/>
      </w:pPr>
    </w:p>
    <w:p w14:paraId="0BA13FA3" w14:textId="49BF0A8E" w:rsidR="001C0454" w:rsidRPr="00253EE9" w:rsidRDefault="00D408F8" w:rsidP="009058CC">
      <w:pPr>
        <w:pStyle w:val="Caption"/>
      </w:pPr>
      <w:r w:rsidRPr="00253EE9">
        <w:t xml:space="preserve">Figure </w:t>
      </w:r>
      <w:r w:rsidR="0059343A">
        <w:fldChar w:fldCharType="begin"/>
      </w:r>
      <w:r w:rsidR="0059343A">
        <w:instrText xml:space="preserve"> SEQ Figure \* ARABIC </w:instrText>
      </w:r>
      <w:r w:rsidR="0059343A">
        <w:fldChar w:fldCharType="separate"/>
      </w:r>
      <w:r w:rsidR="00002566">
        <w:rPr>
          <w:noProof/>
        </w:rPr>
        <w:t>12</w:t>
      </w:r>
      <w:r w:rsidR="0059343A">
        <w:rPr>
          <w:noProof/>
        </w:rPr>
        <w:fldChar w:fldCharType="end"/>
      </w:r>
      <w:r w:rsidRPr="00253EE9">
        <w:t>: Quarterly turnover rates of permane</w:t>
      </w:r>
      <w:r w:rsidR="0069061E" w:rsidRPr="00253EE9">
        <w:t>nt workers, by state</w:t>
      </w:r>
      <w:r w:rsidR="001D0E4F" w:rsidRPr="00253EE9">
        <w:t xml:space="preserve"> </w:t>
      </w:r>
    </w:p>
    <w:p w14:paraId="6D34CFAC" w14:textId="03518AB7" w:rsidR="0069061E" w:rsidRPr="00253EE9" w:rsidRDefault="004D08D2" w:rsidP="009058CC">
      <w:r w:rsidRPr="00253EE9">
        <w:rPr>
          <w:noProof/>
          <w:lang w:eastAsia="en-AU"/>
        </w:rPr>
        <w:drawing>
          <wp:inline distT="0" distB="0" distL="0" distR="0" wp14:anchorId="5EC57021" wp14:editId="35B8F94D">
            <wp:extent cx="5553075" cy="3119261"/>
            <wp:effectExtent l="0" t="0" r="0" b="5080"/>
            <wp:docPr id="18" name="Picture 18" descr="Graph" title="Figure 12: Quarterly turnover rates of permanent workers, by st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1435" cy="3123957"/>
                    </a:xfrm>
                    <a:prstGeom prst="rect">
                      <a:avLst/>
                    </a:prstGeom>
                    <a:noFill/>
                  </pic:spPr>
                </pic:pic>
              </a:graphicData>
            </a:graphic>
          </wp:inline>
        </w:drawing>
      </w:r>
    </w:p>
    <w:p w14:paraId="463FE15C" w14:textId="77777777" w:rsidR="001D0E4F" w:rsidRPr="00253EE9" w:rsidRDefault="001D0E4F" w:rsidP="009058CC">
      <w:pPr>
        <w:pStyle w:val="Caption"/>
      </w:pPr>
    </w:p>
    <w:p w14:paraId="33136904" w14:textId="3C6D4013" w:rsidR="00D408F8" w:rsidRPr="00253EE9" w:rsidRDefault="0069061E" w:rsidP="009058CC">
      <w:pPr>
        <w:pStyle w:val="Caption"/>
      </w:pPr>
      <w:r w:rsidRPr="00253EE9">
        <w:t xml:space="preserve">Figure </w:t>
      </w:r>
      <w:r w:rsidR="0059343A">
        <w:fldChar w:fldCharType="begin"/>
      </w:r>
      <w:r w:rsidR="0059343A">
        <w:instrText xml:space="preserve"> SEQ Figure \* ARABIC </w:instrText>
      </w:r>
      <w:r w:rsidR="0059343A">
        <w:fldChar w:fldCharType="separate"/>
      </w:r>
      <w:r w:rsidR="00002566">
        <w:rPr>
          <w:noProof/>
        </w:rPr>
        <w:t>13</w:t>
      </w:r>
      <w:r w:rsidR="0059343A">
        <w:rPr>
          <w:noProof/>
        </w:rPr>
        <w:fldChar w:fldCharType="end"/>
      </w:r>
      <w:r w:rsidRPr="00253EE9">
        <w:t>: Quarterly turnover ra</w:t>
      </w:r>
      <w:r w:rsidR="001D0E4F" w:rsidRPr="00253EE9">
        <w:t>tes of casual workers, by state</w:t>
      </w:r>
    </w:p>
    <w:p w14:paraId="629380BC" w14:textId="09A39839" w:rsidR="00C547F5" w:rsidRPr="00253EE9" w:rsidRDefault="004D08D2" w:rsidP="009058CC">
      <w:r w:rsidRPr="00253EE9">
        <w:rPr>
          <w:noProof/>
          <w:lang w:eastAsia="en-AU"/>
        </w:rPr>
        <w:drawing>
          <wp:inline distT="0" distB="0" distL="0" distR="0" wp14:anchorId="53E97F7D" wp14:editId="702A66E2">
            <wp:extent cx="5553075" cy="3113002"/>
            <wp:effectExtent l="0" t="0" r="0" b="0"/>
            <wp:docPr id="19" name="Picture 19" descr="Graph" title="Figure 13: Quarterly turnover rates of casual workers, by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4317" cy="3113698"/>
                    </a:xfrm>
                    <a:prstGeom prst="rect">
                      <a:avLst/>
                    </a:prstGeom>
                    <a:noFill/>
                  </pic:spPr>
                </pic:pic>
              </a:graphicData>
            </a:graphic>
          </wp:inline>
        </w:drawing>
      </w:r>
    </w:p>
    <w:p w14:paraId="6952311E" w14:textId="49B5E54C" w:rsidR="00C617F4" w:rsidRPr="00253EE9" w:rsidRDefault="00B84762" w:rsidP="00C617F4">
      <w:pPr>
        <w:pStyle w:val="Heading2"/>
        <w:rPr>
          <w:color w:val="auto"/>
        </w:rPr>
      </w:pPr>
      <w:bookmarkStart w:id="23" w:name="_Toc519585297"/>
      <w:r w:rsidRPr="00253EE9">
        <w:rPr>
          <w:color w:val="auto"/>
        </w:rPr>
        <w:lastRenderedPageBreak/>
        <w:t>Working hours variability</w:t>
      </w:r>
      <w:bookmarkEnd w:id="23"/>
    </w:p>
    <w:p w14:paraId="1133345A" w14:textId="77777777" w:rsidR="00C617F4" w:rsidRPr="00253EE9" w:rsidRDefault="00C617F4" w:rsidP="009058CC"/>
    <w:p w14:paraId="28EB9EB2" w14:textId="77777777" w:rsidR="00002566" w:rsidRPr="00253EE9" w:rsidRDefault="00C617F4" w:rsidP="00002566">
      <w:r w:rsidRPr="00253EE9">
        <w:t>The average permanent disability worker</w:t>
      </w:r>
      <w:r w:rsidR="006C523E" w:rsidRPr="00253EE9">
        <w:t xml:space="preserve"> </w:t>
      </w:r>
      <w:r w:rsidRPr="00253EE9">
        <w:t>works</w:t>
      </w:r>
      <w:r w:rsidR="006C523E" w:rsidRPr="00253EE9">
        <w:t xml:space="preserve"> 22 hours</w:t>
      </w:r>
      <w:r w:rsidRPr="00253EE9">
        <w:t xml:space="preserve"> per week. </w:t>
      </w:r>
      <w:r w:rsidR="002143CE" w:rsidRPr="00253EE9">
        <w:t>As</w:t>
      </w:r>
      <w:r w:rsidRPr="00253EE9">
        <w:fldChar w:fldCharType="begin"/>
      </w:r>
      <w:r w:rsidRPr="00253EE9">
        <w:instrText xml:space="preserve"> REF _Ref517705578 \h  \* MERGEFORMAT </w:instrText>
      </w:r>
      <w:r w:rsidRPr="00253EE9">
        <w:fldChar w:fldCharType="separate"/>
      </w:r>
    </w:p>
    <w:p w14:paraId="277EB167" w14:textId="31969041" w:rsidR="00C617F4" w:rsidRPr="00253EE9" w:rsidRDefault="00002566" w:rsidP="009058CC">
      <w:r w:rsidRPr="00253EE9">
        <w:t>Figure</w:t>
      </w:r>
      <w:r w:rsidRPr="00253EE9">
        <w:rPr>
          <w:noProof/>
        </w:rPr>
        <w:t xml:space="preserve"> </w:t>
      </w:r>
      <w:r>
        <w:rPr>
          <w:noProof/>
        </w:rPr>
        <w:t>14</w:t>
      </w:r>
      <w:r w:rsidR="00C617F4" w:rsidRPr="00253EE9">
        <w:fldChar w:fldCharType="end"/>
      </w:r>
      <w:r w:rsidR="00C617F4" w:rsidRPr="00253EE9">
        <w:t xml:space="preserve"> </w:t>
      </w:r>
      <w:r w:rsidR="006C523E" w:rsidRPr="00253EE9">
        <w:t xml:space="preserve">shows, </w:t>
      </w:r>
      <w:r w:rsidR="00C617F4" w:rsidRPr="00253EE9">
        <w:t xml:space="preserve">there is </w:t>
      </w:r>
      <w:r w:rsidR="00440036" w:rsidRPr="00253EE9">
        <w:t>some</w:t>
      </w:r>
      <w:r w:rsidR="00C617F4" w:rsidRPr="00253EE9">
        <w:t xml:space="preserve"> variation between states and considerable volatility. </w:t>
      </w:r>
    </w:p>
    <w:p w14:paraId="4145148E" w14:textId="77777777" w:rsidR="00C617F4" w:rsidRPr="00253EE9" w:rsidRDefault="00C617F4" w:rsidP="009058CC"/>
    <w:p w14:paraId="29D2BC21" w14:textId="2E9798C0" w:rsidR="00C617F4" w:rsidRPr="00253EE9" w:rsidRDefault="00C617F4" w:rsidP="009058CC">
      <w:r w:rsidRPr="00253EE9">
        <w:rPr>
          <w:rStyle w:val="Emphasis"/>
          <w:b/>
          <w:i w:val="0"/>
        </w:rPr>
        <w:t>Key points</w:t>
      </w:r>
    </w:p>
    <w:p w14:paraId="11BD2B73" w14:textId="40ACBD0F" w:rsidR="00C617F4" w:rsidRPr="00253EE9" w:rsidRDefault="006C523E" w:rsidP="00C617F4">
      <w:pPr>
        <w:pStyle w:val="ListParagraph"/>
        <w:numPr>
          <w:ilvl w:val="0"/>
          <w:numId w:val="9"/>
        </w:numPr>
        <w:ind w:left="360"/>
      </w:pPr>
      <w:r w:rsidRPr="00253EE9">
        <w:t xml:space="preserve">Victoria has the lowest </w:t>
      </w:r>
      <w:r w:rsidR="0088669A" w:rsidRPr="00253EE9">
        <w:t xml:space="preserve">working </w:t>
      </w:r>
      <w:r w:rsidRPr="00253EE9">
        <w:t xml:space="preserve">hours, </w:t>
      </w:r>
      <w:r w:rsidR="00C617F4" w:rsidRPr="00253EE9">
        <w:t>with</w:t>
      </w:r>
      <w:r w:rsidR="0088669A" w:rsidRPr="00253EE9">
        <w:t xml:space="preserve"> average </w:t>
      </w:r>
      <w:r w:rsidRPr="00253EE9">
        <w:t>hours d</w:t>
      </w:r>
      <w:r w:rsidR="00C617F4" w:rsidRPr="00253EE9">
        <w:t>ropping</w:t>
      </w:r>
      <w:r w:rsidR="00C341B8" w:rsidRPr="00253EE9">
        <w:t xml:space="preserve"> to 21 hours or below in seven out of the past eleven quarters</w:t>
      </w:r>
    </w:p>
    <w:p w14:paraId="117CB360" w14:textId="77777777" w:rsidR="00C617F4" w:rsidRPr="00253EE9" w:rsidRDefault="00C617F4" w:rsidP="00C617F4"/>
    <w:p w14:paraId="77FA313E" w14:textId="55F77EB2" w:rsidR="00C617F4" w:rsidRPr="00253EE9" w:rsidRDefault="00345D7B" w:rsidP="00C617F4">
      <w:pPr>
        <w:pStyle w:val="ListParagraph"/>
        <w:numPr>
          <w:ilvl w:val="0"/>
          <w:numId w:val="9"/>
        </w:numPr>
        <w:ind w:left="360"/>
      </w:pPr>
      <w:r w:rsidRPr="00253EE9">
        <w:t>In contrast, workers in NT/SA and Queensland, on average</w:t>
      </w:r>
      <w:r w:rsidR="004C4628" w:rsidRPr="00253EE9">
        <w:t>,</w:t>
      </w:r>
      <w:r w:rsidRPr="00253EE9">
        <w:t xml:space="preserve"> worked 22 hours or more in </w:t>
      </w:r>
      <w:r w:rsidR="004C4628" w:rsidRPr="00253EE9">
        <w:t xml:space="preserve">all </w:t>
      </w:r>
      <w:r w:rsidR="0088669A" w:rsidRPr="00253EE9">
        <w:t>quarters except December 2016</w:t>
      </w:r>
    </w:p>
    <w:p w14:paraId="370DDC8C" w14:textId="6059B32D" w:rsidR="00C617F4" w:rsidRPr="00253EE9" w:rsidRDefault="00C617F4" w:rsidP="00C617F4"/>
    <w:p w14:paraId="39DB53E0" w14:textId="235D4839" w:rsidR="006C523E" w:rsidRPr="00253EE9" w:rsidRDefault="00345D7B" w:rsidP="00C617F4">
      <w:pPr>
        <w:pStyle w:val="ListParagraph"/>
        <w:numPr>
          <w:ilvl w:val="0"/>
          <w:numId w:val="9"/>
        </w:numPr>
        <w:ind w:left="360"/>
      </w:pPr>
      <w:r w:rsidRPr="00253EE9">
        <w:t>There appears to be a declinin</w:t>
      </w:r>
      <w:r w:rsidR="00440036" w:rsidRPr="00253EE9">
        <w:t xml:space="preserve">g trend in working hours in </w:t>
      </w:r>
      <w:r w:rsidRPr="00253EE9">
        <w:t>N</w:t>
      </w:r>
      <w:r w:rsidR="00C341B8" w:rsidRPr="00253EE9">
        <w:t>S</w:t>
      </w:r>
      <w:r w:rsidR="004C4628" w:rsidRPr="00253EE9">
        <w:t>W</w:t>
      </w:r>
      <w:r w:rsidR="00440036" w:rsidRPr="00253EE9">
        <w:t>/ACT</w:t>
      </w:r>
      <w:r w:rsidR="004C4628" w:rsidRPr="00253EE9">
        <w:t xml:space="preserve"> and Western Australia, but this</w:t>
      </w:r>
      <w:r w:rsidR="00C341B8" w:rsidRPr="00253EE9">
        <w:t xml:space="preserve"> trend</w:t>
      </w:r>
      <w:r w:rsidR="004C4628" w:rsidRPr="00253EE9">
        <w:t xml:space="preserve"> is not </w:t>
      </w:r>
      <w:r w:rsidRPr="00253EE9">
        <w:t>clear in other states.</w:t>
      </w:r>
    </w:p>
    <w:p w14:paraId="3B3C80F8" w14:textId="77777777" w:rsidR="00C617F4" w:rsidRPr="00253EE9" w:rsidRDefault="00C617F4" w:rsidP="009058CC">
      <w:pPr>
        <w:pStyle w:val="Caption"/>
      </w:pPr>
      <w:bookmarkStart w:id="24" w:name="_Ref517705578"/>
    </w:p>
    <w:p w14:paraId="00E0F099" w14:textId="7B4A949B" w:rsidR="00116DF8" w:rsidRPr="00253EE9" w:rsidRDefault="006C523E" w:rsidP="00BA6C94">
      <w:pPr>
        <w:pStyle w:val="Caption"/>
      </w:pPr>
      <w:r w:rsidRPr="00253EE9">
        <w:t xml:space="preserve">Figure </w:t>
      </w:r>
      <w:r w:rsidR="0059343A">
        <w:fldChar w:fldCharType="begin"/>
      </w:r>
      <w:r w:rsidR="0059343A">
        <w:instrText xml:space="preserve"> SEQ Figure \* ARABIC </w:instrText>
      </w:r>
      <w:r w:rsidR="0059343A">
        <w:fldChar w:fldCharType="separate"/>
      </w:r>
      <w:r w:rsidR="00002566">
        <w:rPr>
          <w:noProof/>
        </w:rPr>
        <w:t>14</w:t>
      </w:r>
      <w:r w:rsidR="0059343A">
        <w:rPr>
          <w:noProof/>
        </w:rPr>
        <w:fldChar w:fldCharType="end"/>
      </w:r>
      <w:bookmarkEnd w:id="24"/>
      <w:r w:rsidRPr="00253EE9">
        <w:t>: Average ho</w:t>
      </w:r>
      <w:r w:rsidR="00C341B8" w:rsidRPr="00253EE9">
        <w:t>urs of work per week per worker</w:t>
      </w:r>
    </w:p>
    <w:p w14:paraId="0527522F" w14:textId="204A3C30" w:rsidR="00545E9E" w:rsidRPr="00253EE9" w:rsidRDefault="004D08D2" w:rsidP="009058CC">
      <w:r w:rsidRPr="00253EE9">
        <w:rPr>
          <w:noProof/>
          <w:lang w:eastAsia="en-AU"/>
        </w:rPr>
        <w:drawing>
          <wp:inline distT="0" distB="0" distL="0" distR="0" wp14:anchorId="376F650A" wp14:editId="660B335E">
            <wp:extent cx="4584700" cy="2755900"/>
            <wp:effectExtent l="0" t="0" r="6350" b="6350"/>
            <wp:docPr id="24" name="Picture 24" descr="Graph" title="Figure 14: Average hours of work per week per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91AA7DD" w14:textId="77777777" w:rsidR="00B84762" w:rsidRPr="00253EE9" w:rsidRDefault="00B84762" w:rsidP="001C09DC"/>
    <w:p w14:paraId="1A5DE756" w14:textId="26D78760" w:rsidR="00A410F7" w:rsidRPr="00253EE9" w:rsidRDefault="00B84762" w:rsidP="009058CC">
      <w:pPr>
        <w:pStyle w:val="Heading2"/>
        <w:rPr>
          <w:color w:val="auto"/>
        </w:rPr>
      </w:pPr>
      <w:bookmarkStart w:id="25" w:name="_Toc519585298"/>
      <w:r w:rsidRPr="00253EE9">
        <w:rPr>
          <w:color w:val="auto"/>
        </w:rPr>
        <w:t xml:space="preserve">Consistent gender and age </w:t>
      </w:r>
      <w:r w:rsidR="00BA6C94" w:rsidRPr="00253EE9">
        <w:rPr>
          <w:color w:val="auto"/>
        </w:rPr>
        <w:t>disparities</w:t>
      </w:r>
      <w:bookmarkEnd w:id="25"/>
    </w:p>
    <w:p w14:paraId="622A6DB3" w14:textId="77777777" w:rsidR="00B84762" w:rsidRPr="00253EE9" w:rsidRDefault="00B84762" w:rsidP="009058CC"/>
    <w:p w14:paraId="282846F2" w14:textId="77777777" w:rsidR="00B84762" w:rsidRPr="00253EE9" w:rsidRDefault="00F5658F" w:rsidP="009058CC">
      <w:r w:rsidRPr="00253EE9">
        <w:t xml:space="preserve">The female-to-male ratio in the disability support workforce is 7:3. </w:t>
      </w:r>
    </w:p>
    <w:p w14:paraId="405202AE" w14:textId="77777777" w:rsidR="00B84762" w:rsidRPr="00253EE9" w:rsidRDefault="00B84762" w:rsidP="009058CC"/>
    <w:p w14:paraId="7BA07F17" w14:textId="0F252922" w:rsidR="00B84762" w:rsidRPr="00253EE9" w:rsidRDefault="00B84762" w:rsidP="009058CC">
      <w:pPr>
        <w:rPr>
          <w:b/>
          <w:iCs/>
        </w:rPr>
      </w:pPr>
      <w:r w:rsidRPr="00253EE9">
        <w:rPr>
          <w:rStyle w:val="Emphasis"/>
          <w:b/>
          <w:i w:val="0"/>
        </w:rPr>
        <w:t>Key poin</w:t>
      </w:r>
      <w:r w:rsidR="0088669A" w:rsidRPr="00253EE9">
        <w:rPr>
          <w:rStyle w:val="Emphasis"/>
          <w:b/>
          <w:i w:val="0"/>
        </w:rPr>
        <w:t>t</w:t>
      </w:r>
    </w:p>
    <w:p w14:paraId="283F0AE0" w14:textId="6A878934" w:rsidR="00F5658F" w:rsidRPr="00253EE9" w:rsidRDefault="00F5658F" w:rsidP="00B84762">
      <w:pPr>
        <w:pStyle w:val="ListParagraph"/>
        <w:numPr>
          <w:ilvl w:val="0"/>
          <w:numId w:val="10"/>
        </w:numPr>
      </w:pPr>
      <w:r w:rsidRPr="00253EE9">
        <w:t xml:space="preserve">The </w:t>
      </w:r>
      <w:r w:rsidR="004C4628" w:rsidRPr="00253EE9">
        <w:t xml:space="preserve">gender </w:t>
      </w:r>
      <w:r w:rsidRPr="00253EE9">
        <w:t>ratio is roughly the same in all state</w:t>
      </w:r>
      <w:r w:rsidR="004C4628" w:rsidRPr="00253EE9">
        <w:t>s</w:t>
      </w:r>
      <w:r w:rsidRPr="00253EE9">
        <w:t xml:space="preserve"> an</w:t>
      </w:r>
      <w:r w:rsidR="00B84762" w:rsidRPr="00253EE9">
        <w:t xml:space="preserve">d has been stable for </w:t>
      </w:r>
      <w:r w:rsidR="004C4628" w:rsidRPr="00253EE9">
        <w:t>the past eleven</w:t>
      </w:r>
      <w:r w:rsidRPr="00253EE9">
        <w:t xml:space="preserve"> quarters.</w:t>
      </w:r>
    </w:p>
    <w:p w14:paraId="253D9272" w14:textId="77777777" w:rsidR="00B84762" w:rsidRPr="00253EE9" w:rsidRDefault="00B84762" w:rsidP="009058CC"/>
    <w:p w14:paraId="2E91D6F3" w14:textId="5FF39C91" w:rsidR="00B84762" w:rsidRPr="00253EE9" w:rsidRDefault="00B84762" w:rsidP="009058CC">
      <w:r w:rsidRPr="00253EE9">
        <w:t>Similarly, t</w:t>
      </w:r>
      <w:r w:rsidR="00FC4BC6" w:rsidRPr="00253EE9">
        <w:t xml:space="preserve">he </w:t>
      </w:r>
      <w:r w:rsidR="00880E03" w:rsidRPr="00253EE9">
        <w:t>disability support workforce is older than the Australian workforce as a whole</w:t>
      </w:r>
      <w:r w:rsidRPr="00253EE9">
        <w:t xml:space="preserve"> across the country.</w:t>
      </w:r>
    </w:p>
    <w:p w14:paraId="2FAE002B" w14:textId="77777777" w:rsidR="00B84762" w:rsidRPr="00253EE9" w:rsidRDefault="00B84762" w:rsidP="009058CC"/>
    <w:p w14:paraId="2D9051C3" w14:textId="77777777" w:rsidR="002143CE" w:rsidRPr="00253EE9" w:rsidRDefault="002143CE">
      <w:pPr>
        <w:spacing w:after="160"/>
        <w:rPr>
          <w:rStyle w:val="Emphasis"/>
          <w:b/>
          <w:i w:val="0"/>
        </w:rPr>
      </w:pPr>
      <w:r w:rsidRPr="00253EE9">
        <w:rPr>
          <w:rStyle w:val="Emphasis"/>
          <w:b/>
          <w:i w:val="0"/>
        </w:rPr>
        <w:br w:type="page"/>
      </w:r>
    </w:p>
    <w:p w14:paraId="6B0DCDB5" w14:textId="4C568099" w:rsidR="00B84762" w:rsidRPr="00253EE9" w:rsidRDefault="00B84762" w:rsidP="009058CC">
      <w:pPr>
        <w:rPr>
          <w:b/>
          <w:iCs/>
        </w:rPr>
      </w:pPr>
      <w:r w:rsidRPr="00253EE9">
        <w:rPr>
          <w:rStyle w:val="Emphasis"/>
          <w:b/>
          <w:i w:val="0"/>
        </w:rPr>
        <w:lastRenderedPageBreak/>
        <w:t>Key poin</w:t>
      </w:r>
      <w:r w:rsidR="0088669A" w:rsidRPr="00253EE9">
        <w:rPr>
          <w:rStyle w:val="Emphasis"/>
          <w:b/>
          <w:i w:val="0"/>
        </w:rPr>
        <w:t>t</w:t>
      </w:r>
      <w:r w:rsidR="002143CE" w:rsidRPr="00253EE9">
        <w:rPr>
          <w:rStyle w:val="Emphasis"/>
          <w:b/>
          <w:i w:val="0"/>
        </w:rPr>
        <w:t>s</w:t>
      </w:r>
    </w:p>
    <w:p w14:paraId="705A2CC0" w14:textId="77777777" w:rsidR="00B84762" w:rsidRPr="00253EE9" w:rsidRDefault="00B84762" w:rsidP="009058CC">
      <w:r w:rsidRPr="00253EE9">
        <w:t>Australian workers over 45 years old make up around 34% of the total workforce</w:t>
      </w:r>
      <w:r w:rsidRPr="00253EE9">
        <w:rPr>
          <w:rStyle w:val="FootnoteReference"/>
        </w:rPr>
        <w:footnoteReference w:id="6"/>
      </w:r>
      <w:r w:rsidRPr="00253EE9">
        <w:t xml:space="preserve">.  By comparison, </w:t>
      </w:r>
    </w:p>
    <w:p w14:paraId="48D36B99" w14:textId="77777777" w:rsidR="00B84762" w:rsidRPr="00253EE9" w:rsidRDefault="00B84762" w:rsidP="009058CC"/>
    <w:p w14:paraId="1AF8C9EF" w14:textId="29DC77A1" w:rsidR="00B84762" w:rsidRPr="00253EE9" w:rsidRDefault="00B84762" w:rsidP="00B84762">
      <w:pPr>
        <w:pStyle w:val="ListParagraph"/>
        <w:numPr>
          <w:ilvl w:val="0"/>
          <w:numId w:val="11"/>
        </w:numPr>
        <w:ind w:left="360"/>
      </w:pPr>
      <w:r w:rsidRPr="00253EE9">
        <w:t xml:space="preserve">the </w:t>
      </w:r>
      <w:r w:rsidR="00BA6C94" w:rsidRPr="00253EE9">
        <w:t>‘</w:t>
      </w:r>
      <w:r w:rsidRPr="00253EE9">
        <w:t>youngest</w:t>
      </w:r>
      <w:r w:rsidR="00BA6C94" w:rsidRPr="00253EE9">
        <w:t>’</w:t>
      </w:r>
      <w:r w:rsidRPr="00253EE9">
        <w:t xml:space="preserve"> state is Western Australia where </w:t>
      </w:r>
      <w:r w:rsidR="00BA6C94" w:rsidRPr="00253EE9">
        <w:t xml:space="preserve">disability </w:t>
      </w:r>
      <w:r w:rsidRPr="00253EE9">
        <w:t>workers over 45 years old made up 40% of the workforce in March 2018</w:t>
      </w:r>
    </w:p>
    <w:p w14:paraId="131F5185" w14:textId="77777777" w:rsidR="00B84762" w:rsidRPr="00253EE9" w:rsidRDefault="00B84762" w:rsidP="00B84762"/>
    <w:p w14:paraId="685275F3" w14:textId="5394D2FB" w:rsidR="00F5658F" w:rsidRPr="00253EE9" w:rsidRDefault="00B84762" w:rsidP="00B84762">
      <w:pPr>
        <w:pStyle w:val="ListParagraph"/>
        <w:numPr>
          <w:ilvl w:val="0"/>
          <w:numId w:val="11"/>
        </w:numPr>
        <w:ind w:left="360"/>
      </w:pPr>
      <w:proofErr w:type="gramStart"/>
      <w:r w:rsidRPr="00253EE9">
        <w:t>in</w:t>
      </w:r>
      <w:proofErr w:type="gramEnd"/>
      <w:r w:rsidRPr="00253EE9">
        <w:t xml:space="preserve"> </w:t>
      </w:r>
      <w:r w:rsidR="00CD4F55" w:rsidRPr="00253EE9">
        <w:t>Queensland, which has the oldest disability workforce, workers of this age group made up of nearly half of the workforce (49%) in March 2018.</w:t>
      </w:r>
    </w:p>
    <w:p w14:paraId="6ADDBFA7" w14:textId="77777777" w:rsidR="00B84762" w:rsidRPr="00253EE9" w:rsidRDefault="00B84762" w:rsidP="009058CC"/>
    <w:p w14:paraId="28EC9DF6" w14:textId="77777777" w:rsidR="00B84762" w:rsidRPr="00253EE9" w:rsidRDefault="00B84762">
      <w:pPr>
        <w:spacing w:after="160"/>
        <w:rPr>
          <w:iCs/>
          <w:sz w:val="22"/>
          <w:szCs w:val="22"/>
        </w:rPr>
      </w:pPr>
      <w:r w:rsidRPr="00253EE9">
        <w:br w:type="page"/>
      </w:r>
    </w:p>
    <w:p w14:paraId="5ECF11CB" w14:textId="51D9249B" w:rsidR="008D32F0" w:rsidRPr="00253EE9" w:rsidRDefault="00DE6096" w:rsidP="009058CC">
      <w:pPr>
        <w:pStyle w:val="Heading1"/>
        <w:rPr>
          <w:rFonts w:ascii="Arial" w:hAnsi="Arial" w:cs="Arial"/>
          <w:color w:val="auto"/>
        </w:rPr>
      </w:pPr>
      <w:bookmarkStart w:id="26" w:name="_Toc519585299"/>
      <w:r w:rsidRPr="00253EE9">
        <w:rPr>
          <w:rFonts w:ascii="Arial" w:hAnsi="Arial" w:cs="Arial"/>
          <w:color w:val="auto"/>
        </w:rPr>
        <w:lastRenderedPageBreak/>
        <w:t xml:space="preserve">Chapter </w:t>
      </w:r>
      <w:r w:rsidR="00B84762" w:rsidRPr="00253EE9">
        <w:rPr>
          <w:rFonts w:ascii="Arial" w:hAnsi="Arial" w:cs="Arial"/>
          <w:color w:val="auto"/>
        </w:rPr>
        <w:t>3</w:t>
      </w:r>
      <w:r w:rsidRPr="00253EE9">
        <w:rPr>
          <w:rFonts w:ascii="Arial" w:hAnsi="Arial" w:cs="Arial"/>
          <w:color w:val="auto"/>
        </w:rPr>
        <w:t xml:space="preserve">: </w:t>
      </w:r>
      <w:r w:rsidR="0069061E" w:rsidRPr="00253EE9">
        <w:rPr>
          <w:rFonts w:ascii="Arial" w:hAnsi="Arial" w:cs="Arial"/>
          <w:color w:val="auto"/>
        </w:rPr>
        <w:t>The profile of the allied health professionals</w:t>
      </w:r>
      <w:bookmarkEnd w:id="26"/>
    </w:p>
    <w:p w14:paraId="125E36E9" w14:textId="77777777" w:rsidR="00B84762" w:rsidRPr="00253EE9" w:rsidRDefault="00B84762" w:rsidP="00B84762"/>
    <w:p w14:paraId="18496E9F" w14:textId="53EF9D2B" w:rsidR="003F04A8" w:rsidRPr="00253EE9" w:rsidRDefault="003F04A8" w:rsidP="009058CC">
      <w:pPr>
        <w:pStyle w:val="Heading2"/>
        <w:rPr>
          <w:color w:val="auto"/>
        </w:rPr>
      </w:pPr>
      <w:bookmarkStart w:id="27" w:name="_Toc519585300"/>
      <w:r w:rsidRPr="00253EE9">
        <w:rPr>
          <w:color w:val="auto"/>
        </w:rPr>
        <w:t xml:space="preserve">Forms of </w:t>
      </w:r>
      <w:r w:rsidR="00B84762" w:rsidRPr="00253EE9">
        <w:rPr>
          <w:color w:val="auto"/>
        </w:rPr>
        <w:t>e</w:t>
      </w:r>
      <w:r w:rsidRPr="00253EE9">
        <w:rPr>
          <w:color w:val="auto"/>
        </w:rPr>
        <w:t>mployment</w:t>
      </w:r>
      <w:bookmarkEnd w:id="27"/>
    </w:p>
    <w:p w14:paraId="2A6D6C4A" w14:textId="77777777" w:rsidR="00B84762" w:rsidRPr="00253EE9" w:rsidRDefault="00B84762" w:rsidP="00B84762"/>
    <w:p w14:paraId="03CB4D8B" w14:textId="0B98BEE9" w:rsidR="003F04A8" w:rsidRPr="00253EE9" w:rsidRDefault="0002797C" w:rsidP="009058CC">
      <w:r w:rsidRPr="00253EE9">
        <w:t xml:space="preserve">Unlike </w:t>
      </w:r>
      <w:r w:rsidR="003F04A8" w:rsidRPr="00253EE9">
        <w:t>disability support workers, casual employment is uncommon a</w:t>
      </w:r>
      <w:r w:rsidR="00852334" w:rsidRPr="00253EE9">
        <w:t>mong allied health workers. Fixed-term employment has risen in recent years</w:t>
      </w:r>
      <w:r w:rsidR="003F04A8" w:rsidRPr="00253EE9">
        <w:t xml:space="preserve"> </w:t>
      </w:r>
      <w:r w:rsidR="00852334" w:rsidRPr="00253EE9">
        <w:t>-</w:t>
      </w:r>
      <w:r w:rsidR="003F04A8" w:rsidRPr="00253EE9">
        <w:t xml:space="preserve"> from 8% in September 2015 to 17% in March 2018. However, permanent employment remain</w:t>
      </w:r>
      <w:r w:rsidR="004C4628" w:rsidRPr="00253EE9">
        <w:t>s</w:t>
      </w:r>
      <w:r w:rsidR="003F04A8" w:rsidRPr="00253EE9">
        <w:t xml:space="preserve"> the dominant form of employment for allied health workers.</w:t>
      </w:r>
    </w:p>
    <w:p w14:paraId="42E01B6A" w14:textId="77777777" w:rsidR="00B84762" w:rsidRPr="00253EE9" w:rsidRDefault="00B84762" w:rsidP="009058CC"/>
    <w:p w14:paraId="75343141" w14:textId="3CF78353" w:rsidR="0062776F" w:rsidRPr="00253EE9" w:rsidRDefault="003F04A8" w:rsidP="009058CC">
      <w:pPr>
        <w:pStyle w:val="Caption"/>
      </w:pPr>
      <w:r w:rsidRPr="00253EE9">
        <w:t xml:space="preserve">Figure </w:t>
      </w:r>
      <w:r w:rsidR="0059343A">
        <w:fldChar w:fldCharType="begin"/>
      </w:r>
      <w:r w:rsidR="0059343A">
        <w:instrText xml:space="preserve"> SEQ Figure \* ARABIC </w:instrText>
      </w:r>
      <w:r w:rsidR="0059343A">
        <w:fldChar w:fldCharType="separate"/>
      </w:r>
      <w:r w:rsidR="00002566">
        <w:rPr>
          <w:noProof/>
        </w:rPr>
        <w:t>15</w:t>
      </w:r>
      <w:r w:rsidR="0059343A">
        <w:rPr>
          <w:noProof/>
        </w:rPr>
        <w:fldChar w:fldCharType="end"/>
      </w:r>
      <w:r w:rsidRPr="00253EE9">
        <w:t>: Forms of employment</w:t>
      </w:r>
    </w:p>
    <w:p w14:paraId="6E5270D0" w14:textId="2D2FA2C3" w:rsidR="0062776F" w:rsidRPr="00253EE9" w:rsidRDefault="003F04A8" w:rsidP="009058CC">
      <w:r w:rsidRPr="00253EE9">
        <w:rPr>
          <w:noProof/>
          <w:lang w:eastAsia="en-AU"/>
        </w:rPr>
        <w:drawing>
          <wp:inline distT="0" distB="0" distL="0" distR="0" wp14:anchorId="567ED9B3" wp14:editId="217D8E51">
            <wp:extent cx="4000500" cy="2404732"/>
            <wp:effectExtent l="0" t="0" r="0" b="0"/>
            <wp:docPr id="9" name="Picture 9" descr="Graph" title="Figure 15: Forms of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13083" cy="2412296"/>
                    </a:xfrm>
                    <a:prstGeom prst="rect">
                      <a:avLst/>
                    </a:prstGeom>
                    <a:noFill/>
                  </pic:spPr>
                </pic:pic>
              </a:graphicData>
            </a:graphic>
          </wp:inline>
        </w:drawing>
      </w:r>
    </w:p>
    <w:p w14:paraId="1BB13B7E" w14:textId="77777777" w:rsidR="004A0772" w:rsidRPr="00253EE9" w:rsidRDefault="004A0772" w:rsidP="009058CC"/>
    <w:p w14:paraId="05D5B653" w14:textId="529B0E77" w:rsidR="00852334" w:rsidRPr="00253EE9" w:rsidRDefault="00BA6C94" w:rsidP="009058CC">
      <w:r w:rsidRPr="00253EE9">
        <w:t>Part-time work has been increasing among</w:t>
      </w:r>
      <w:r w:rsidR="0002797C" w:rsidRPr="00253EE9">
        <w:t xml:space="preserve"> allied health </w:t>
      </w:r>
      <w:r w:rsidRPr="00253EE9">
        <w:t>professionals</w:t>
      </w:r>
      <w:r w:rsidR="0002797C" w:rsidRPr="00253EE9">
        <w:t xml:space="preserve"> </w:t>
      </w:r>
      <w:r w:rsidRPr="00253EE9">
        <w:t xml:space="preserve">as in the </w:t>
      </w:r>
      <w:r w:rsidR="004A6054" w:rsidRPr="00253EE9">
        <w:t>support workforce</w:t>
      </w:r>
      <w:r w:rsidRPr="00253EE9">
        <w:t xml:space="preserve">, </w:t>
      </w:r>
      <w:r w:rsidR="00852334" w:rsidRPr="00253EE9">
        <w:t>although the rate of increase has been much less</w:t>
      </w:r>
      <w:r w:rsidR="0002797C" w:rsidRPr="00253EE9">
        <w:t xml:space="preserve">. </w:t>
      </w:r>
    </w:p>
    <w:p w14:paraId="5623BDD4" w14:textId="77777777" w:rsidR="00852334" w:rsidRPr="00253EE9" w:rsidRDefault="00852334" w:rsidP="009058CC"/>
    <w:p w14:paraId="4D853991" w14:textId="4A73F303" w:rsidR="0002797C" w:rsidRPr="00253EE9" w:rsidRDefault="0002797C" w:rsidP="009058CC">
      <w:r w:rsidRPr="00253EE9">
        <w:t>In September 2015, full-time employment was a little more common than part-time</w:t>
      </w:r>
      <w:r w:rsidR="00C07CC6" w:rsidRPr="00253EE9">
        <w:t>,</w:t>
      </w:r>
      <w:r w:rsidRPr="00253EE9">
        <w:t xml:space="preserve"> </w:t>
      </w:r>
      <w:r w:rsidR="00C07CC6" w:rsidRPr="00253EE9">
        <w:t xml:space="preserve">making up </w:t>
      </w:r>
      <w:r w:rsidRPr="00253EE9">
        <w:t xml:space="preserve">55% of the permanent workforce. </w:t>
      </w:r>
      <w:r w:rsidR="00852334" w:rsidRPr="00253EE9">
        <w:t>More recently</w:t>
      </w:r>
      <w:r w:rsidRPr="00253EE9">
        <w:t xml:space="preserve">, the shares </w:t>
      </w:r>
      <w:r w:rsidR="00852334" w:rsidRPr="00253EE9">
        <w:t xml:space="preserve">of full-time and part-time employment </w:t>
      </w:r>
      <w:r w:rsidR="002143CE" w:rsidRPr="00253EE9">
        <w:t>ha</w:t>
      </w:r>
      <w:r w:rsidR="00BA6C94" w:rsidRPr="00253EE9">
        <w:t>ve</w:t>
      </w:r>
      <w:r w:rsidR="002143CE" w:rsidRPr="00253EE9">
        <w:t xml:space="preserve"> equalised</w:t>
      </w:r>
      <w:r w:rsidR="00852334" w:rsidRPr="00253EE9">
        <w:t xml:space="preserve"> (see Figure 16)</w:t>
      </w:r>
      <w:r w:rsidRPr="00253EE9">
        <w:t xml:space="preserve">.  </w:t>
      </w:r>
    </w:p>
    <w:p w14:paraId="6248BE16" w14:textId="77777777" w:rsidR="004A0772" w:rsidRPr="00253EE9" w:rsidRDefault="004A0772" w:rsidP="009058CC">
      <w:pPr>
        <w:pStyle w:val="Caption"/>
      </w:pPr>
    </w:p>
    <w:p w14:paraId="7BAAC24E" w14:textId="7D8436D2" w:rsidR="00852334" w:rsidRPr="00253EE9" w:rsidRDefault="00A4256E" w:rsidP="00BA6C94">
      <w:pPr>
        <w:pStyle w:val="Caption"/>
      </w:pPr>
      <w:r w:rsidRPr="00253EE9">
        <w:t xml:space="preserve">Figure </w:t>
      </w:r>
      <w:r w:rsidR="0059343A">
        <w:fldChar w:fldCharType="begin"/>
      </w:r>
      <w:r w:rsidR="0059343A">
        <w:instrText xml:space="preserve"> SEQ Figure \* ARABIC </w:instrText>
      </w:r>
      <w:r w:rsidR="0059343A">
        <w:fldChar w:fldCharType="separate"/>
      </w:r>
      <w:r w:rsidR="00002566">
        <w:rPr>
          <w:noProof/>
        </w:rPr>
        <w:t>16</w:t>
      </w:r>
      <w:r w:rsidR="0059343A">
        <w:rPr>
          <w:noProof/>
        </w:rPr>
        <w:fldChar w:fldCharType="end"/>
      </w:r>
      <w:r w:rsidRPr="00253EE9">
        <w:t xml:space="preserve">: Full-time and part-time </w:t>
      </w:r>
      <w:r w:rsidR="00C07CC6" w:rsidRPr="00253EE9">
        <w:t>allied health professionals</w:t>
      </w:r>
      <w:r w:rsidRPr="00253EE9">
        <w:t xml:space="preserve">: </w:t>
      </w:r>
      <w:r w:rsidR="003B16FD" w:rsidRPr="00253EE9">
        <w:t xml:space="preserve">employment shares </w:t>
      </w:r>
      <w:r w:rsidRPr="00253EE9">
        <w:t>(%)</w:t>
      </w:r>
    </w:p>
    <w:p w14:paraId="5CCB0AE2" w14:textId="77777777" w:rsidR="002143CE" w:rsidRPr="00253EE9" w:rsidRDefault="0002797C" w:rsidP="009058CC">
      <w:r w:rsidRPr="00253EE9">
        <w:rPr>
          <w:noProof/>
          <w:lang w:eastAsia="en-AU"/>
        </w:rPr>
        <w:drawing>
          <wp:inline distT="0" distB="0" distL="0" distR="0" wp14:anchorId="68F3CB2B" wp14:editId="6BC61626">
            <wp:extent cx="4391025" cy="2639060"/>
            <wp:effectExtent l="0" t="0" r="9525" b="8890"/>
            <wp:docPr id="13" name="Picture 13" descr="Graph" title="Figure 16: Full-time and part-time allied health professionals: employment sha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91025" cy="2639060"/>
                    </a:xfrm>
                    <a:prstGeom prst="rect">
                      <a:avLst/>
                    </a:prstGeom>
                    <a:noFill/>
                  </pic:spPr>
                </pic:pic>
              </a:graphicData>
            </a:graphic>
          </wp:inline>
        </w:drawing>
      </w:r>
      <w:r w:rsidR="00852334" w:rsidRPr="00253EE9">
        <w:br w:type="textWrapping" w:clear="all"/>
      </w:r>
    </w:p>
    <w:p w14:paraId="1325EF02" w14:textId="05131E54" w:rsidR="00852334" w:rsidRPr="00253EE9" w:rsidRDefault="00BA6C94" w:rsidP="009058CC">
      <w:r w:rsidRPr="00253EE9">
        <w:lastRenderedPageBreak/>
        <w:t xml:space="preserve">More positively, </w:t>
      </w:r>
      <w:r w:rsidR="002143CE" w:rsidRPr="00253EE9">
        <w:t>Figure 17 indicates that</w:t>
      </w:r>
      <w:r w:rsidR="00852334" w:rsidRPr="00253EE9">
        <w:t xml:space="preserve"> the</w:t>
      </w:r>
      <w:r w:rsidR="00BE43C6" w:rsidRPr="00253EE9">
        <w:t xml:space="preserve"> long-</w:t>
      </w:r>
      <w:r w:rsidR="00A4256E" w:rsidRPr="00253EE9">
        <w:t>term dow</w:t>
      </w:r>
      <w:r w:rsidR="00BE43C6" w:rsidRPr="00253EE9">
        <w:t xml:space="preserve">nward trend </w:t>
      </w:r>
      <w:r w:rsidR="00852334" w:rsidRPr="00253EE9">
        <w:t>in</w:t>
      </w:r>
      <w:r w:rsidR="00BE43C6" w:rsidRPr="00253EE9">
        <w:t xml:space="preserve"> working hou</w:t>
      </w:r>
      <w:r w:rsidR="00852334" w:rsidRPr="00253EE9">
        <w:t xml:space="preserve">rs among allied health workers has </w:t>
      </w:r>
      <w:r w:rsidR="00BE43C6" w:rsidRPr="00253EE9">
        <w:t>reverse</w:t>
      </w:r>
      <w:r w:rsidR="00852334" w:rsidRPr="00253EE9">
        <w:t>d</w:t>
      </w:r>
      <w:r w:rsidR="00BE43C6" w:rsidRPr="00253EE9">
        <w:t xml:space="preserve"> in the last </w:t>
      </w:r>
      <w:r w:rsidR="004A0772" w:rsidRPr="00253EE9">
        <w:t>t</w:t>
      </w:r>
      <w:r w:rsidR="00607DD8" w:rsidRPr="00253EE9">
        <w:t>hree</w:t>
      </w:r>
      <w:r w:rsidR="00BE43C6" w:rsidRPr="00253EE9">
        <w:t xml:space="preserve"> quarters</w:t>
      </w:r>
      <w:r w:rsidR="00852334" w:rsidRPr="00253EE9">
        <w:t>.</w:t>
      </w:r>
    </w:p>
    <w:p w14:paraId="37376D01" w14:textId="77777777" w:rsidR="00852334" w:rsidRPr="00253EE9" w:rsidRDefault="00852334" w:rsidP="009058CC"/>
    <w:p w14:paraId="30F28EFA" w14:textId="39943034" w:rsidR="00607DD8" w:rsidRPr="00253EE9" w:rsidRDefault="00607DD8" w:rsidP="009058CC">
      <w:pPr>
        <w:rPr>
          <w:b/>
          <w:iCs/>
        </w:rPr>
      </w:pPr>
      <w:r w:rsidRPr="00253EE9">
        <w:rPr>
          <w:rStyle w:val="Emphasis"/>
          <w:b/>
          <w:i w:val="0"/>
        </w:rPr>
        <w:t>Key poin</w:t>
      </w:r>
      <w:r w:rsidR="0088669A" w:rsidRPr="00253EE9">
        <w:rPr>
          <w:rStyle w:val="Emphasis"/>
          <w:b/>
          <w:i w:val="0"/>
        </w:rPr>
        <w:t>t</w:t>
      </w:r>
    </w:p>
    <w:p w14:paraId="3C58FD7A" w14:textId="22DFBBCA" w:rsidR="00A4256E" w:rsidRPr="00253EE9" w:rsidRDefault="00607DD8" w:rsidP="00607DD8">
      <w:pPr>
        <w:pStyle w:val="ListParagraph"/>
        <w:numPr>
          <w:ilvl w:val="0"/>
          <w:numId w:val="12"/>
        </w:numPr>
      </w:pPr>
      <w:r w:rsidRPr="00253EE9">
        <w:t>In March 2018, allied health professionals worked on average 28 hours per worker per week – the same</w:t>
      </w:r>
      <w:r w:rsidR="004C4628" w:rsidRPr="00253EE9">
        <w:t xml:space="preserve"> </w:t>
      </w:r>
      <w:r w:rsidRPr="00253EE9">
        <w:t>amount as in September 2015.</w:t>
      </w:r>
    </w:p>
    <w:p w14:paraId="55D9F77C" w14:textId="77777777" w:rsidR="004A0772" w:rsidRPr="00253EE9" w:rsidRDefault="004A0772" w:rsidP="009058CC"/>
    <w:p w14:paraId="0E63437A" w14:textId="4762F946" w:rsidR="00A4256E" w:rsidRPr="00253EE9" w:rsidRDefault="00A4256E" w:rsidP="009058CC">
      <w:pPr>
        <w:pStyle w:val="Caption"/>
      </w:pPr>
      <w:r w:rsidRPr="00253EE9">
        <w:t xml:space="preserve">Figure </w:t>
      </w:r>
      <w:r w:rsidR="0059343A">
        <w:fldChar w:fldCharType="begin"/>
      </w:r>
      <w:r w:rsidR="0059343A">
        <w:instrText xml:space="preserve"> SEQ Figure \* ARABIC </w:instrText>
      </w:r>
      <w:r w:rsidR="0059343A">
        <w:fldChar w:fldCharType="separate"/>
      </w:r>
      <w:r w:rsidR="00002566">
        <w:rPr>
          <w:noProof/>
        </w:rPr>
        <w:t>17</w:t>
      </w:r>
      <w:r w:rsidR="0059343A">
        <w:rPr>
          <w:noProof/>
        </w:rPr>
        <w:fldChar w:fldCharType="end"/>
      </w:r>
      <w:r w:rsidRPr="00253EE9">
        <w:t>: Average hours of work per week per worker</w:t>
      </w:r>
    </w:p>
    <w:p w14:paraId="5191226B" w14:textId="46654A21" w:rsidR="00A4256E" w:rsidRPr="00253EE9" w:rsidRDefault="00002566" w:rsidP="009058CC">
      <w:r>
        <w:rPr>
          <w:noProof/>
          <w:lang w:eastAsia="en-AU"/>
        </w:rPr>
        <w:drawing>
          <wp:inline distT="0" distB="0" distL="0" distR="0" wp14:anchorId="36D9A06B" wp14:editId="55EBE6D6">
            <wp:extent cx="4391025" cy="2639060"/>
            <wp:effectExtent l="0" t="0" r="9525" b="889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91025" cy="2639060"/>
                    </a:xfrm>
                    <a:prstGeom prst="rect">
                      <a:avLst/>
                    </a:prstGeom>
                    <a:noFill/>
                  </pic:spPr>
                </pic:pic>
              </a:graphicData>
            </a:graphic>
          </wp:inline>
        </w:drawing>
      </w:r>
    </w:p>
    <w:p w14:paraId="06D611A5" w14:textId="77777777" w:rsidR="00BE43C6" w:rsidRPr="00253EE9" w:rsidRDefault="00BE43C6" w:rsidP="009058CC"/>
    <w:p w14:paraId="7A420A2E" w14:textId="77777777" w:rsidR="00002566" w:rsidRPr="00002566" w:rsidRDefault="00002566" w:rsidP="00002566">
      <w:pPr>
        <w:pStyle w:val="Heading2"/>
        <w:rPr>
          <w:noProof/>
          <w:color w:val="auto"/>
          <w:lang w:eastAsia="en-AU"/>
        </w:rPr>
      </w:pPr>
      <w:bookmarkStart w:id="28" w:name="_Toc519169447"/>
      <w:bookmarkStart w:id="29" w:name="_Toc519585301"/>
      <w:r w:rsidRPr="00002566">
        <w:rPr>
          <w:noProof/>
          <w:color w:val="auto"/>
          <w:lang w:eastAsia="en-AU"/>
        </w:rPr>
        <w:t>Workforce turnover</w:t>
      </w:r>
      <w:bookmarkEnd w:id="28"/>
    </w:p>
    <w:p w14:paraId="528D8663" w14:textId="77777777" w:rsidR="00002566" w:rsidRDefault="00002566" w:rsidP="00002566"/>
    <w:p w14:paraId="1A697196" w14:textId="77777777" w:rsidR="00002566" w:rsidRDefault="00002566" w:rsidP="00002566">
      <w:r>
        <w:t>The turnover rate</w:t>
      </w:r>
      <w:r>
        <w:rPr>
          <w:rStyle w:val="FootnoteReference"/>
        </w:rPr>
        <w:footnoteReference w:id="7"/>
      </w:r>
      <w:r>
        <w:t xml:space="preserve"> of the permanent allied health workforce is lower than that of the direct support workforce in the period between September 2015 and June 2016. However, workforce turnover trends upwards after June 2016, as shown in Figure 18. Allied health professionals appear to be changing jobs more frequently as the NDIS rolls out. </w:t>
      </w:r>
    </w:p>
    <w:p w14:paraId="5A37575D" w14:textId="77777777" w:rsidR="00002566" w:rsidRDefault="00002566" w:rsidP="00002566"/>
    <w:p w14:paraId="181F7CC1" w14:textId="77777777" w:rsidR="00002566" w:rsidRDefault="00002566" w:rsidP="00002566">
      <w:r>
        <w:t>Since they are an expensive workforce to recruit, on-board and induct, and may take clients with them when they move, workforce instability can have a negative impact on providers.</w:t>
      </w:r>
    </w:p>
    <w:p w14:paraId="0B01B628" w14:textId="77777777" w:rsidR="00002566" w:rsidRDefault="00002566" w:rsidP="00002566">
      <w:pPr>
        <w:pStyle w:val="Caption"/>
      </w:pPr>
    </w:p>
    <w:p w14:paraId="159CA67A" w14:textId="77777777" w:rsidR="00002566" w:rsidRDefault="00002566">
      <w:pPr>
        <w:spacing w:after="160"/>
        <w:rPr>
          <w:iCs/>
          <w:sz w:val="22"/>
          <w:szCs w:val="22"/>
        </w:rPr>
      </w:pPr>
      <w:r>
        <w:br w:type="page"/>
      </w:r>
    </w:p>
    <w:p w14:paraId="5BB5DF4A" w14:textId="68C98267" w:rsidR="00002566" w:rsidRDefault="00002566" w:rsidP="00002566">
      <w:pPr>
        <w:pStyle w:val="Caption"/>
      </w:pPr>
      <w:r>
        <w:lastRenderedPageBreak/>
        <w:t>Figure 18: Quarterly turnover rate of permanent allied health workforce</w:t>
      </w:r>
    </w:p>
    <w:p w14:paraId="6B441403" w14:textId="7678BF6C" w:rsidR="00002566" w:rsidRDefault="00002566" w:rsidP="00002566">
      <w:r>
        <w:rPr>
          <w:noProof/>
          <w:lang w:eastAsia="en-AU"/>
        </w:rPr>
        <w:drawing>
          <wp:inline distT="0" distB="0" distL="0" distR="0" wp14:anchorId="10B13B71" wp14:editId="16F95684">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14:paraId="560381E6" w14:textId="77777777" w:rsidR="00002566" w:rsidRDefault="00002566" w:rsidP="00515FB6">
      <w:pPr>
        <w:pStyle w:val="Heading2"/>
        <w:rPr>
          <w:color w:val="auto"/>
        </w:rPr>
      </w:pPr>
    </w:p>
    <w:p w14:paraId="5F9B2C72" w14:textId="77777777" w:rsidR="00002566" w:rsidRDefault="00002566" w:rsidP="00515FB6">
      <w:pPr>
        <w:pStyle w:val="Heading2"/>
        <w:rPr>
          <w:color w:val="auto"/>
        </w:rPr>
      </w:pPr>
    </w:p>
    <w:p w14:paraId="5D6F8F1A" w14:textId="1822B611" w:rsidR="00BE43C6" w:rsidRPr="00253EE9" w:rsidRDefault="008640F7" w:rsidP="00515FB6">
      <w:pPr>
        <w:pStyle w:val="Heading2"/>
        <w:rPr>
          <w:color w:val="auto"/>
        </w:rPr>
      </w:pPr>
      <w:r w:rsidRPr="00253EE9">
        <w:rPr>
          <w:color w:val="auto"/>
        </w:rPr>
        <w:t>The age and gender profile of allied health professionals</w:t>
      </w:r>
      <w:bookmarkEnd w:id="29"/>
    </w:p>
    <w:p w14:paraId="497F2B58" w14:textId="77777777" w:rsidR="00BA6C94" w:rsidRPr="00253EE9" w:rsidRDefault="00BA6C94" w:rsidP="00BA6C94"/>
    <w:p w14:paraId="06AF5E7B" w14:textId="42597E37" w:rsidR="008640F7" w:rsidRPr="00253EE9" w:rsidRDefault="008640F7" w:rsidP="009058CC">
      <w:r w:rsidRPr="00253EE9">
        <w:t xml:space="preserve">The allied health workforce is overwhelmingly </w:t>
      </w:r>
      <w:r w:rsidR="00607DD8" w:rsidRPr="00253EE9">
        <w:t>female</w:t>
      </w:r>
      <w:r w:rsidRPr="00253EE9">
        <w:t xml:space="preserve">. In March 2018, 93% of allied health professionals were women. </w:t>
      </w:r>
    </w:p>
    <w:p w14:paraId="4B40F332" w14:textId="77777777" w:rsidR="00607DD8" w:rsidRPr="00253EE9" w:rsidRDefault="00607DD8" w:rsidP="009058CC"/>
    <w:p w14:paraId="1E3D42AF" w14:textId="402E6617" w:rsidR="008640F7" w:rsidRPr="00253EE9" w:rsidRDefault="00607DD8" w:rsidP="009058CC">
      <w:r w:rsidRPr="00253EE9">
        <w:t xml:space="preserve">It is also a </w:t>
      </w:r>
      <w:r w:rsidR="008640F7" w:rsidRPr="00253EE9">
        <w:t>remarkably young workf</w:t>
      </w:r>
      <w:r w:rsidRPr="00253EE9">
        <w:t xml:space="preserve">orce. In March 2018, 70% of </w:t>
      </w:r>
      <w:r w:rsidR="008640F7" w:rsidRPr="00253EE9">
        <w:t>allied health workers were in the middle years of 25 to 44. Only 21% of the workers were</w:t>
      </w:r>
      <w:r w:rsidR="004C4628" w:rsidRPr="00253EE9">
        <w:t xml:space="preserve"> older than 45 years, </w:t>
      </w:r>
      <w:r w:rsidRPr="00253EE9">
        <w:t>relatively</w:t>
      </w:r>
      <w:r w:rsidR="008640F7" w:rsidRPr="00253EE9">
        <w:t xml:space="preserve"> </w:t>
      </w:r>
      <w:r w:rsidRPr="00253EE9">
        <w:t>fewer</w:t>
      </w:r>
      <w:r w:rsidR="008640F7" w:rsidRPr="00253EE9">
        <w:t xml:space="preserve"> than the Australian workforce</w:t>
      </w:r>
      <w:r w:rsidRPr="00253EE9">
        <w:t xml:space="preserve"> generally</w:t>
      </w:r>
      <w:r w:rsidR="008640F7" w:rsidRPr="00253EE9">
        <w:rPr>
          <w:rStyle w:val="FootnoteReference"/>
        </w:rPr>
        <w:footnoteReference w:id="8"/>
      </w:r>
      <w:r w:rsidR="008640F7" w:rsidRPr="00253EE9">
        <w:t xml:space="preserve"> (34%) and the disability support workforce (45%). </w:t>
      </w:r>
    </w:p>
    <w:p w14:paraId="00941C16" w14:textId="77777777" w:rsidR="00BA6C94" w:rsidRPr="00253EE9" w:rsidRDefault="00BA6C94">
      <w:pPr>
        <w:spacing w:after="160"/>
        <w:rPr>
          <w:rFonts w:eastAsiaTheme="majorEastAsia"/>
          <w:sz w:val="32"/>
          <w:szCs w:val="32"/>
        </w:rPr>
      </w:pPr>
      <w:r w:rsidRPr="00253EE9">
        <w:br w:type="page"/>
      </w:r>
    </w:p>
    <w:p w14:paraId="04B0D726" w14:textId="2EAEBCF7" w:rsidR="008D32F0" w:rsidRPr="00253EE9" w:rsidRDefault="001C09DC" w:rsidP="009058CC">
      <w:pPr>
        <w:pStyle w:val="Heading1"/>
        <w:rPr>
          <w:rFonts w:ascii="Arial" w:hAnsi="Arial" w:cs="Arial"/>
          <w:color w:val="auto"/>
        </w:rPr>
      </w:pPr>
      <w:bookmarkStart w:id="30" w:name="_Toc519585302"/>
      <w:r w:rsidRPr="00253EE9">
        <w:rPr>
          <w:rFonts w:ascii="Arial" w:hAnsi="Arial" w:cs="Arial"/>
          <w:color w:val="auto"/>
        </w:rPr>
        <w:lastRenderedPageBreak/>
        <w:t>Chapter 4</w:t>
      </w:r>
      <w:r w:rsidR="00DE6096" w:rsidRPr="00253EE9">
        <w:rPr>
          <w:rFonts w:ascii="Arial" w:hAnsi="Arial" w:cs="Arial"/>
          <w:color w:val="auto"/>
        </w:rPr>
        <w:t>: S</w:t>
      </w:r>
      <w:r w:rsidR="00F93E9C" w:rsidRPr="00253EE9">
        <w:rPr>
          <w:rFonts w:ascii="Arial" w:hAnsi="Arial" w:cs="Arial"/>
          <w:color w:val="auto"/>
        </w:rPr>
        <w:t>potlight topic</w:t>
      </w:r>
      <w:r w:rsidR="004C7995" w:rsidRPr="00253EE9">
        <w:rPr>
          <w:rFonts w:ascii="Arial" w:hAnsi="Arial" w:cs="Arial"/>
          <w:color w:val="auto"/>
        </w:rPr>
        <w:t>s</w:t>
      </w:r>
      <w:bookmarkEnd w:id="30"/>
    </w:p>
    <w:p w14:paraId="2EA8B760" w14:textId="77777777" w:rsidR="00F93E9C" w:rsidRPr="00253EE9" w:rsidRDefault="00F93E9C" w:rsidP="009058CC"/>
    <w:p w14:paraId="198FB671" w14:textId="7E2AA364" w:rsidR="00F93E9C" w:rsidRPr="00253EE9" w:rsidRDefault="00F93E9C" w:rsidP="009058CC">
      <w:pPr>
        <w:pStyle w:val="Heading2"/>
        <w:rPr>
          <w:color w:val="auto"/>
        </w:rPr>
      </w:pPr>
      <w:bookmarkStart w:id="31" w:name="_Toc519585303"/>
      <w:r w:rsidRPr="00253EE9">
        <w:rPr>
          <w:color w:val="auto"/>
        </w:rPr>
        <w:t>Introduction</w:t>
      </w:r>
      <w:bookmarkEnd w:id="31"/>
    </w:p>
    <w:p w14:paraId="29ADB57B" w14:textId="77777777" w:rsidR="001C09DC" w:rsidRPr="00253EE9" w:rsidRDefault="001C09DC" w:rsidP="009058CC"/>
    <w:p w14:paraId="39DFB1C0" w14:textId="611C0EF3" w:rsidR="004C7995" w:rsidRPr="00253EE9" w:rsidRDefault="008D32F0" w:rsidP="009058CC">
      <w:r w:rsidRPr="00253EE9">
        <w:t xml:space="preserve">Each quarter the Workforce Wizard ‘Spotlight Topic’ shines a light on an issue of importance </w:t>
      </w:r>
      <w:r w:rsidR="00BA6C94" w:rsidRPr="00253EE9">
        <w:t xml:space="preserve">to </w:t>
      </w:r>
      <w:r w:rsidRPr="00253EE9">
        <w:t xml:space="preserve">the sector but not suitable for quarterly tracking. </w:t>
      </w:r>
      <w:r w:rsidR="001C09DC" w:rsidRPr="00253EE9">
        <w:t>Some of these t</w:t>
      </w:r>
      <w:r w:rsidRPr="00253EE9">
        <w:t xml:space="preserve">opics </w:t>
      </w:r>
      <w:r w:rsidR="004C7995" w:rsidRPr="00253EE9">
        <w:t>are</w:t>
      </w:r>
      <w:r w:rsidRPr="00253EE9">
        <w:t xml:space="preserve"> </w:t>
      </w:r>
      <w:r w:rsidR="001C09DC" w:rsidRPr="00253EE9">
        <w:t xml:space="preserve">repeated </w:t>
      </w:r>
      <w:r w:rsidRPr="00253EE9">
        <w:t xml:space="preserve">every one </w:t>
      </w:r>
      <w:r w:rsidR="001C09DC" w:rsidRPr="00253EE9">
        <w:t>or</w:t>
      </w:r>
      <w:r w:rsidRPr="00253EE9">
        <w:t xml:space="preserve"> two years </w:t>
      </w:r>
      <w:r w:rsidR="00F93E9C" w:rsidRPr="00253EE9">
        <w:t>to provide the sector a long-term perspe</w:t>
      </w:r>
      <w:r w:rsidR="004C4628" w:rsidRPr="00253EE9">
        <w:t xml:space="preserve">ctive on </w:t>
      </w:r>
      <w:r w:rsidR="001C09DC" w:rsidRPr="00253EE9">
        <w:t>them. NDS is particularly grateful to disability organisations for providing answers to these occasional questions, as they require extra effort to complete.</w:t>
      </w:r>
    </w:p>
    <w:p w14:paraId="0817E689" w14:textId="77777777" w:rsidR="001C09DC" w:rsidRPr="00253EE9" w:rsidRDefault="001C09DC" w:rsidP="009058CC"/>
    <w:p w14:paraId="12067A3F" w14:textId="45255EA4" w:rsidR="00F93E9C" w:rsidRPr="00253EE9" w:rsidRDefault="001C09DC" w:rsidP="009058CC">
      <w:r w:rsidRPr="00253EE9">
        <w:t xml:space="preserve">In </w:t>
      </w:r>
      <w:r w:rsidR="00F93E9C" w:rsidRPr="00253EE9">
        <w:t>December 2017</w:t>
      </w:r>
      <w:r w:rsidRPr="00253EE9">
        <w:t>,</w:t>
      </w:r>
      <w:r w:rsidR="00F93E9C" w:rsidRPr="00253EE9">
        <w:t xml:space="preserve"> </w:t>
      </w:r>
      <w:r w:rsidRPr="00253EE9">
        <w:t xml:space="preserve">the qualifications of new recruits was the Spotlight Topic, while in the </w:t>
      </w:r>
      <w:r w:rsidR="00F93E9C" w:rsidRPr="00253EE9">
        <w:t xml:space="preserve">March 2018 quarter </w:t>
      </w:r>
      <w:r w:rsidRPr="00253EE9">
        <w:t xml:space="preserve">it was </w:t>
      </w:r>
      <w:r w:rsidR="004C7995" w:rsidRPr="00253EE9">
        <w:t>recruitment difficulty. The</w:t>
      </w:r>
      <w:r w:rsidR="00BC0B28" w:rsidRPr="00253EE9">
        <w:t xml:space="preserve"> results are summarised below (</w:t>
      </w:r>
      <w:r w:rsidR="004C7995" w:rsidRPr="00253EE9">
        <w:t xml:space="preserve">reporting is </w:t>
      </w:r>
      <w:r w:rsidR="00BC0B28" w:rsidRPr="00253EE9">
        <w:t xml:space="preserve">also </w:t>
      </w:r>
      <w:r w:rsidR="004C7995" w:rsidRPr="00253EE9">
        <w:t>provided to Workforce Wizard users on closure of the data entry period).</w:t>
      </w:r>
    </w:p>
    <w:p w14:paraId="42E955B4" w14:textId="77777777" w:rsidR="00F93E9C" w:rsidRPr="00253EE9" w:rsidRDefault="00F93E9C" w:rsidP="009058CC"/>
    <w:p w14:paraId="72B405E5" w14:textId="1C22EA32" w:rsidR="00F93E9C" w:rsidRPr="00253EE9" w:rsidRDefault="00BC0B28" w:rsidP="009058CC">
      <w:pPr>
        <w:pStyle w:val="Heading2"/>
        <w:rPr>
          <w:color w:val="auto"/>
        </w:rPr>
      </w:pPr>
      <w:bookmarkStart w:id="32" w:name="_Toc519585304"/>
      <w:r w:rsidRPr="00253EE9">
        <w:rPr>
          <w:color w:val="auto"/>
        </w:rPr>
        <w:t xml:space="preserve">Spotlight Topic </w:t>
      </w:r>
      <w:r w:rsidR="001858ED" w:rsidRPr="00253EE9">
        <w:rPr>
          <w:color w:val="auto"/>
        </w:rPr>
        <w:t>1</w:t>
      </w:r>
      <w:r w:rsidRPr="00253EE9">
        <w:rPr>
          <w:color w:val="auto"/>
        </w:rPr>
        <w:t xml:space="preserve">: </w:t>
      </w:r>
      <w:r w:rsidR="00F93E9C" w:rsidRPr="00253EE9">
        <w:rPr>
          <w:color w:val="auto"/>
        </w:rPr>
        <w:t>The qualifications of newly recruited disability workers</w:t>
      </w:r>
      <w:bookmarkEnd w:id="32"/>
    </w:p>
    <w:p w14:paraId="1054F116" w14:textId="77777777" w:rsidR="00F93E9C" w:rsidRPr="00253EE9" w:rsidRDefault="00F93E9C" w:rsidP="009058CC"/>
    <w:p w14:paraId="493BB81F" w14:textId="2B974D8A" w:rsidR="008D32F0" w:rsidRPr="00253EE9" w:rsidRDefault="001C09DC" w:rsidP="009058CC">
      <w:r w:rsidRPr="00253EE9">
        <w:t>Nearly two-thirds of all users (65%) responded to the December 2017 questions asked about t</w:t>
      </w:r>
      <w:r w:rsidR="008D32F0" w:rsidRPr="00253EE9">
        <w:t>he qualifications of newly recruited disability support workers</w:t>
      </w:r>
      <w:r w:rsidRPr="00253EE9">
        <w:rPr>
          <w:b/>
        </w:rPr>
        <w:t>.</w:t>
      </w:r>
    </w:p>
    <w:p w14:paraId="3E480481" w14:textId="77777777" w:rsidR="001C09DC" w:rsidRPr="00253EE9" w:rsidRDefault="001C09DC" w:rsidP="009058CC"/>
    <w:p w14:paraId="13134C50" w14:textId="7CC4CCF1" w:rsidR="008D32F0" w:rsidRPr="00253EE9" w:rsidRDefault="00CE6950" w:rsidP="009058CC">
      <w:pPr>
        <w:pStyle w:val="Heading2"/>
        <w:rPr>
          <w:color w:val="auto"/>
        </w:rPr>
      </w:pPr>
      <w:bookmarkStart w:id="33" w:name="_Toc519585305"/>
      <w:r w:rsidRPr="00253EE9">
        <w:rPr>
          <w:color w:val="auto"/>
        </w:rPr>
        <w:t>How many new recruits are formally qualified?</w:t>
      </w:r>
      <w:bookmarkEnd w:id="33"/>
      <w:r w:rsidRPr="00253EE9">
        <w:rPr>
          <w:color w:val="auto"/>
        </w:rPr>
        <w:t xml:space="preserve"> </w:t>
      </w:r>
    </w:p>
    <w:p w14:paraId="4F23183E" w14:textId="77777777" w:rsidR="001C09DC" w:rsidRPr="00253EE9" w:rsidRDefault="001C09DC" w:rsidP="001C09DC"/>
    <w:p w14:paraId="666364BD" w14:textId="79881D1E" w:rsidR="008D32F0" w:rsidRPr="00253EE9" w:rsidRDefault="006530D1" w:rsidP="009058CC">
      <w:r w:rsidRPr="00253EE9">
        <w:t xml:space="preserve">Providers reported that approximately one in five new recruits had a disability-related qualification (Certificate III and above). </w:t>
      </w:r>
      <w:r w:rsidR="008D32F0" w:rsidRPr="00253EE9">
        <w:t xml:space="preserve">Among 3,246 newly recruited disability support workers, </w:t>
      </w:r>
      <w:r w:rsidRPr="00253EE9">
        <w:t>around</w:t>
      </w:r>
      <w:r w:rsidR="008D32F0" w:rsidRPr="00253EE9">
        <w:t xml:space="preserve"> 66</w:t>
      </w:r>
      <w:r w:rsidRPr="00253EE9">
        <w:t>0</w:t>
      </w:r>
      <w:r w:rsidR="008D32F0" w:rsidRPr="00253EE9">
        <w:t xml:space="preserve"> </w:t>
      </w:r>
      <w:r w:rsidRPr="00253EE9">
        <w:t>people</w:t>
      </w:r>
      <w:r w:rsidR="008D32F0" w:rsidRPr="00253EE9">
        <w:t xml:space="preserve"> ha</w:t>
      </w:r>
      <w:r w:rsidRPr="00253EE9">
        <w:t>d</w:t>
      </w:r>
      <w:r w:rsidR="008D32F0" w:rsidRPr="00253EE9">
        <w:t xml:space="preserve"> a disability-related qualification. </w:t>
      </w:r>
    </w:p>
    <w:p w14:paraId="10776739" w14:textId="77777777" w:rsidR="006530D1" w:rsidRPr="00253EE9" w:rsidRDefault="006530D1" w:rsidP="009058CC"/>
    <w:p w14:paraId="0E1C9209" w14:textId="0AF066E8" w:rsidR="008D32F0" w:rsidRPr="00253EE9" w:rsidRDefault="00C53339" w:rsidP="009058CC">
      <w:r w:rsidRPr="00253EE9">
        <w:t xml:space="preserve">This appeared to be at least in part </w:t>
      </w:r>
      <w:r w:rsidR="006530D1" w:rsidRPr="00253EE9">
        <w:t xml:space="preserve">a matter of employer </w:t>
      </w:r>
      <w:r w:rsidR="00BC0B28" w:rsidRPr="00253EE9">
        <w:t>policy</w:t>
      </w:r>
      <w:r w:rsidR="006530D1" w:rsidRPr="00253EE9">
        <w:t>. In a</w:t>
      </w:r>
      <w:r w:rsidR="008D32F0" w:rsidRPr="00253EE9">
        <w:t xml:space="preserve"> sizable portion of workforces all new recruits </w:t>
      </w:r>
      <w:r w:rsidR="006530D1" w:rsidRPr="00253EE9">
        <w:t>had</w:t>
      </w:r>
      <w:r w:rsidR="008D32F0" w:rsidRPr="00253EE9">
        <w:t xml:space="preserve"> a disability-related qualification (24%). On the other hand, an equally substantial portion (20%) did not recruit any new workers with formal qualifications. See </w:t>
      </w:r>
      <w:r w:rsidR="006530D1" w:rsidRPr="00253EE9">
        <w:t>Table 1.</w:t>
      </w:r>
    </w:p>
    <w:p w14:paraId="15B047DA" w14:textId="77777777" w:rsidR="006530D1" w:rsidRPr="00253EE9" w:rsidRDefault="006530D1" w:rsidP="0088669A"/>
    <w:p w14:paraId="0D786A2B" w14:textId="47C4FBEF" w:rsidR="000D118B" w:rsidRPr="00253EE9" w:rsidRDefault="000D118B" w:rsidP="00BC0B28">
      <w:pPr>
        <w:pStyle w:val="Caption"/>
      </w:pPr>
      <w:r w:rsidRPr="00253EE9">
        <w:t xml:space="preserve">Table </w:t>
      </w:r>
      <w:r w:rsidR="0059343A">
        <w:fldChar w:fldCharType="begin"/>
      </w:r>
      <w:r w:rsidR="0059343A">
        <w:instrText xml:space="preserve"> SEQ Table \* ARABIC </w:instrText>
      </w:r>
      <w:r w:rsidR="0059343A">
        <w:fldChar w:fldCharType="separate"/>
      </w:r>
      <w:r w:rsidR="00002566">
        <w:rPr>
          <w:noProof/>
        </w:rPr>
        <w:t>1</w:t>
      </w:r>
      <w:r w:rsidR="0059343A">
        <w:rPr>
          <w:noProof/>
        </w:rPr>
        <w:fldChar w:fldCharType="end"/>
      </w:r>
      <w:r w:rsidRPr="00253EE9">
        <w:t>: Disability workforces by new recruits with a disability-related qualification</w:t>
      </w:r>
    </w:p>
    <w:p w14:paraId="43A8805D" w14:textId="77777777" w:rsidR="00BC0B28" w:rsidRPr="00253EE9" w:rsidRDefault="00BC0B28" w:rsidP="00BC0B28"/>
    <w:tbl>
      <w:tblPr>
        <w:tblStyle w:val="GridTable2-Accent61"/>
        <w:tblW w:w="0" w:type="auto"/>
        <w:tblLook w:val="04A0" w:firstRow="1" w:lastRow="0" w:firstColumn="1" w:lastColumn="0" w:noHBand="0" w:noVBand="1"/>
        <w:tblCaption w:val="Table 1: Disability workforces by new recruits with a disability-related qualification"/>
      </w:tblPr>
      <w:tblGrid>
        <w:gridCol w:w="5747"/>
        <w:gridCol w:w="2803"/>
      </w:tblGrid>
      <w:tr w:rsidR="00253EE9" w:rsidRPr="00253EE9" w14:paraId="4EDC7D80" w14:textId="77777777" w:rsidTr="00253E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6" w:type="dxa"/>
          </w:tcPr>
          <w:p w14:paraId="4E610D9F" w14:textId="74324B18" w:rsidR="008D32F0" w:rsidRPr="00253EE9" w:rsidRDefault="002143CE" w:rsidP="009058CC">
            <w:pPr>
              <w:rPr>
                <w:sz w:val="22"/>
                <w:szCs w:val="22"/>
              </w:rPr>
            </w:pPr>
            <w:r w:rsidRPr="00253EE9">
              <w:rPr>
                <w:sz w:val="22"/>
                <w:szCs w:val="22"/>
              </w:rPr>
              <w:t>New</w:t>
            </w:r>
            <w:r w:rsidR="006530D1" w:rsidRPr="00253EE9">
              <w:rPr>
                <w:sz w:val="22"/>
                <w:szCs w:val="22"/>
              </w:rPr>
              <w:t xml:space="preserve"> workers who had a disability related qualification</w:t>
            </w:r>
          </w:p>
        </w:tc>
        <w:tc>
          <w:tcPr>
            <w:tcW w:w="2920" w:type="dxa"/>
          </w:tcPr>
          <w:p w14:paraId="7C547369" w14:textId="77777777" w:rsidR="008D32F0" w:rsidRPr="00253EE9" w:rsidRDefault="008D32F0" w:rsidP="004808D5">
            <w:pPr>
              <w:jc w:val="right"/>
              <w:cnfStyle w:val="100000000000" w:firstRow="1" w:lastRow="0" w:firstColumn="0" w:lastColumn="0" w:oddVBand="0" w:evenVBand="0" w:oddHBand="0" w:evenHBand="0" w:firstRowFirstColumn="0" w:firstRowLastColumn="0" w:lastRowFirstColumn="0" w:lastRowLastColumn="0"/>
              <w:rPr>
                <w:sz w:val="22"/>
                <w:szCs w:val="22"/>
              </w:rPr>
            </w:pPr>
            <w:r w:rsidRPr="00253EE9">
              <w:rPr>
                <w:sz w:val="22"/>
                <w:szCs w:val="22"/>
              </w:rPr>
              <w:t>Disability workforces (%)</w:t>
            </w:r>
          </w:p>
        </w:tc>
      </w:tr>
      <w:tr w:rsidR="00253EE9" w:rsidRPr="00253EE9" w14:paraId="027A4E6B" w14:textId="77777777" w:rsidTr="0048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7BC7892A" w14:textId="02FA9074" w:rsidR="008D32F0" w:rsidRPr="00253EE9" w:rsidRDefault="002143CE" w:rsidP="002143CE">
            <w:pPr>
              <w:rPr>
                <w:b w:val="0"/>
                <w:sz w:val="22"/>
                <w:szCs w:val="22"/>
              </w:rPr>
            </w:pPr>
            <w:r w:rsidRPr="00253EE9">
              <w:rPr>
                <w:b w:val="0"/>
                <w:sz w:val="22"/>
                <w:szCs w:val="22"/>
              </w:rPr>
              <w:t>All new recruits</w:t>
            </w:r>
          </w:p>
        </w:tc>
        <w:tc>
          <w:tcPr>
            <w:tcW w:w="2920" w:type="dxa"/>
          </w:tcPr>
          <w:p w14:paraId="30E5FF27" w14:textId="77777777" w:rsidR="008D32F0" w:rsidRPr="00253EE9" w:rsidRDefault="008D32F0" w:rsidP="00C53339">
            <w:pPr>
              <w:jc w:val="right"/>
              <w:cnfStyle w:val="000000100000" w:firstRow="0" w:lastRow="0" w:firstColumn="0" w:lastColumn="0" w:oddVBand="0" w:evenVBand="0" w:oddHBand="1" w:evenHBand="0" w:firstRowFirstColumn="0" w:firstRowLastColumn="0" w:lastRowFirstColumn="0" w:lastRowLastColumn="0"/>
              <w:rPr>
                <w:sz w:val="22"/>
                <w:szCs w:val="22"/>
              </w:rPr>
            </w:pPr>
            <w:r w:rsidRPr="00253EE9">
              <w:rPr>
                <w:sz w:val="22"/>
                <w:szCs w:val="22"/>
              </w:rPr>
              <w:t>24</w:t>
            </w:r>
          </w:p>
        </w:tc>
      </w:tr>
      <w:tr w:rsidR="00253EE9" w:rsidRPr="00253EE9" w14:paraId="7B64F9CC" w14:textId="77777777" w:rsidTr="004808D5">
        <w:tc>
          <w:tcPr>
            <w:cnfStyle w:val="001000000000" w:firstRow="0" w:lastRow="0" w:firstColumn="1" w:lastColumn="0" w:oddVBand="0" w:evenVBand="0" w:oddHBand="0" w:evenHBand="0" w:firstRowFirstColumn="0" w:firstRowLastColumn="0" w:lastRowFirstColumn="0" w:lastRowLastColumn="0"/>
            <w:tcW w:w="6096" w:type="dxa"/>
          </w:tcPr>
          <w:p w14:paraId="291F0AC8" w14:textId="0CB012EF" w:rsidR="008D32F0" w:rsidRPr="00253EE9" w:rsidRDefault="002143CE" w:rsidP="002143CE">
            <w:pPr>
              <w:rPr>
                <w:b w:val="0"/>
                <w:sz w:val="22"/>
                <w:szCs w:val="22"/>
              </w:rPr>
            </w:pPr>
            <w:r w:rsidRPr="00253EE9">
              <w:rPr>
                <w:b w:val="0"/>
                <w:sz w:val="22"/>
                <w:szCs w:val="22"/>
              </w:rPr>
              <w:t>75% - 99% of new recruits</w:t>
            </w:r>
          </w:p>
        </w:tc>
        <w:tc>
          <w:tcPr>
            <w:tcW w:w="2920" w:type="dxa"/>
          </w:tcPr>
          <w:p w14:paraId="26ED5F12" w14:textId="77777777" w:rsidR="008D32F0" w:rsidRPr="00253EE9" w:rsidRDefault="008D32F0" w:rsidP="00C53339">
            <w:pPr>
              <w:jc w:val="right"/>
              <w:cnfStyle w:val="000000000000" w:firstRow="0" w:lastRow="0" w:firstColumn="0" w:lastColumn="0" w:oddVBand="0" w:evenVBand="0" w:oddHBand="0" w:evenHBand="0" w:firstRowFirstColumn="0" w:firstRowLastColumn="0" w:lastRowFirstColumn="0" w:lastRowLastColumn="0"/>
              <w:rPr>
                <w:sz w:val="22"/>
                <w:szCs w:val="22"/>
              </w:rPr>
            </w:pPr>
            <w:r w:rsidRPr="00253EE9">
              <w:rPr>
                <w:sz w:val="22"/>
                <w:szCs w:val="22"/>
              </w:rPr>
              <w:t>4</w:t>
            </w:r>
          </w:p>
        </w:tc>
      </w:tr>
      <w:tr w:rsidR="00253EE9" w:rsidRPr="00253EE9" w14:paraId="3648D5EA" w14:textId="77777777" w:rsidTr="0048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6BCFF327" w14:textId="03763E88" w:rsidR="008D32F0" w:rsidRPr="00253EE9" w:rsidRDefault="002143CE" w:rsidP="002143CE">
            <w:pPr>
              <w:rPr>
                <w:b w:val="0"/>
                <w:sz w:val="22"/>
                <w:szCs w:val="22"/>
              </w:rPr>
            </w:pPr>
            <w:r w:rsidRPr="00253EE9">
              <w:rPr>
                <w:b w:val="0"/>
                <w:sz w:val="22"/>
                <w:szCs w:val="22"/>
              </w:rPr>
              <w:t>50% - 74%  of new recruits</w:t>
            </w:r>
          </w:p>
        </w:tc>
        <w:tc>
          <w:tcPr>
            <w:tcW w:w="2920" w:type="dxa"/>
          </w:tcPr>
          <w:p w14:paraId="23B01CAD" w14:textId="77777777" w:rsidR="008D32F0" w:rsidRPr="00253EE9" w:rsidRDefault="008D32F0" w:rsidP="00C53339">
            <w:pPr>
              <w:jc w:val="right"/>
              <w:cnfStyle w:val="000000100000" w:firstRow="0" w:lastRow="0" w:firstColumn="0" w:lastColumn="0" w:oddVBand="0" w:evenVBand="0" w:oddHBand="1" w:evenHBand="0" w:firstRowFirstColumn="0" w:firstRowLastColumn="0" w:lastRowFirstColumn="0" w:lastRowLastColumn="0"/>
              <w:rPr>
                <w:sz w:val="22"/>
                <w:szCs w:val="22"/>
              </w:rPr>
            </w:pPr>
            <w:r w:rsidRPr="00253EE9">
              <w:rPr>
                <w:sz w:val="22"/>
                <w:szCs w:val="22"/>
              </w:rPr>
              <w:t>18</w:t>
            </w:r>
          </w:p>
        </w:tc>
      </w:tr>
      <w:tr w:rsidR="00253EE9" w:rsidRPr="00253EE9" w14:paraId="37CB2B2D" w14:textId="77777777" w:rsidTr="004808D5">
        <w:tc>
          <w:tcPr>
            <w:cnfStyle w:val="001000000000" w:firstRow="0" w:lastRow="0" w:firstColumn="1" w:lastColumn="0" w:oddVBand="0" w:evenVBand="0" w:oddHBand="0" w:evenHBand="0" w:firstRowFirstColumn="0" w:firstRowLastColumn="0" w:lastRowFirstColumn="0" w:lastRowLastColumn="0"/>
            <w:tcW w:w="6096" w:type="dxa"/>
          </w:tcPr>
          <w:p w14:paraId="23434D46" w14:textId="07DC6C37" w:rsidR="008D32F0" w:rsidRPr="00253EE9" w:rsidRDefault="002143CE" w:rsidP="002143CE">
            <w:pPr>
              <w:rPr>
                <w:b w:val="0"/>
                <w:sz w:val="22"/>
                <w:szCs w:val="22"/>
              </w:rPr>
            </w:pPr>
            <w:r w:rsidRPr="00253EE9">
              <w:rPr>
                <w:b w:val="0"/>
                <w:sz w:val="22"/>
                <w:szCs w:val="22"/>
              </w:rPr>
              <w:t>25% - 49% of new recruits</w:t>
            </w:r>
          </w:p>
        </w:tc>
        <w:tc>
          <w:tcPr>
            <w:tcW w:w="2920" w:type="dxa"/>
          </w:tcPr>
          <w:p w14:paraId="67F8330B" w14:textId="77777777" w:rsidR="008D32F0" w:rsidRPr="00253EE9" w:rsidRDefault="008D32F0" w:rsidP="00C53339">
            <w:pPr>
              <w:jc w:val="right"/>
              <w:cnfStyle w:val="000000000000" w:firstRow="0" w:lastRow="0" w:firstColumn="0" w:lastColumn="0" w:oddVBand="0" w:evenVBand="0" w:oddHBand="0" w:evenHBand="0" w:firstRowFirstColumn="0" w:firstRowLastColumn="0" w:lastRowFirstColumn="0" w:lastRowLastColumn="0"/>
              <w:rPr>
                <w:sz w:val="22"/>
                <w:szCs w:val="22"/>
              </w:rPr>
            </w:pPr>
            <w:r w:rsidRPr="00253EE9">
              <w:rPr>
                <w:sz w:val="22"/>
                <w:szCs w:val="22"/>
              </w:rPr>
              <w:t>18</w:t>
            </w:r>
          </w:p>
        </w:tc>
      </w:tr>
      <w:tr w:rsidR="00253EE9" w:rsidRPr="00253EE9" w14:paraId="7471801E" w14:textId="77777777" w:rsidTr="004808D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096" w:type="dxa"/>
          </w:tcPr>
          <w:p w14:paraId="084432B2" w14:textId="41409323" w:rsidR="008D32F0" w:rsidRPr="00253EE9" w:rsidRDefault="002143CE" w:rsidP="002143CE">
            <w:pPr>
              <w:rPr>
                <w:b w:val="0"/>
                <w:sz w:val="22"/>
                <w:szCs w:val="22"/>
              </w:rPr>
            </w:pPr>
            <w:r w:rsidRPr="00253EE9">
              <w:rPr>
                <w:b w:val="0"/>
                <w:sz w:val="22"/>
                <w:szCs w:val="22"/>
              </w:rPr>
              <w:t>1% - 24% of new recruits</w:t>
            </w:r>
          </w:p>
        </w:tc>
        <w:tc>
          <w:tcPr>
            <w:tcW w:w="2920" w:type="dxa"/>
          </w:tcPr>
          <w:p w14:paraId="3B5985DF" w14:textId="77777777" w:rsidR="008D32F0" w:rsidRPr="00253EE9" w:rsidRDefault="008D32F0" w:rsidP="00C53339">
            <w:pPr>
              <w:jc w:val="right"/>
              <w:cnfStyle w:val="000000100000" w:firstRow="0" w:lastRow="0" w:firstColumn="0" w:lastColumn="0" w:oddVBand="0" w:evenVBand="0" w:oddHBand="1" w:evenHBand="0" w:firstRowFirstColumn="0" w:firstRowLastColumn="0" w:lastRowFirstColumn="0" w:lastRowLastColumn="0"/>
              <w:rPr>
                <w:sz w:val="22"/>
                <w:szCs w:val="22"/>
              </w:rPr>
            </w:pPr>
            <w:r w:rsidRPr="00253EE9">
              <w:rPr>
                <w:sz w:val="22"/>
                <w:szCs w:val="22"/>
              </w:rPr>
              <w:t>15</w:t>
            </w:r>
          </w:p>
        </w:tc>
      </w:tr>
      <w:tr w:rsidR="00253EE9" w:rsidRPr="00253EE9" w14:paraId="57B29E0E" w14:textId="77777777" w:rsidTr="004808D5">
        <w:tc>
          <w:tcPr>
            <w:cnfStyle w:val="001000000000" w:firstRow="0" w:lastRow="0" w:firstColumn="1" w:lastColumn="0" w:oddVBand="0" w:evenVBand="0" w:oddHBand="0" w:evenHBand="0" w:firstRowFirstColumn="0" w:firstRowLastColumn="0" w:lastRowFirstColumn="0" w:lastRowLastColumn="0"/>
            <w:tcW w:w="6096" w:type="dxa"/>
          </w:tcPr>
          <w:p w14:paraId="414D035F" w14:textId="38D0E15A" w:rsidR="008D32F0" w:rsidRPr="00253EE9" w:rsidRDefault="008D32F0" w:rsidP="002143CE">
            <w:pPr>
              <w:rPr>
                <w:b w:val="0"/>
                <w:sz w:val="22"/>
                <w:szCs w:val="22"/>
              </w:rPr>
            </w:pPr>
            <w:r w:rsidRPr="00253EE9">
              <w:rPr>
                <w:b w:val="0"/>
                <w:sz w:val="22"/>
                <w:szCs w:val="22"/>
              </w:rPr>
              <w:t>No</w:t>
            </w:r>
            <w:r w:rsidR="002143CE" w:rsidRPr="00253EE9">
              <w:rPr>
                <w:b w:val="0"/>
                <w:sz w:val="22"/>
                <w:szCs w:val="22"/>
              </w:rPr>
              <w:t xml:space="preserve"> new recruit</w:t>
            </w:r>
            <w:r w:rsidR="00BC0B28" w:rsidRPr="00253EE9">
              <w:rPr>
                <w:b w:val="0"/>
                <w:sz w:val="22"/>
                <w:szCs w:val="22"/>
              </w:rPr>
              <w:t>s</w:t>
            </w:r>
          </w:p>
        </w:tc>
        <w:tc>
          <w:tcPr>
            <w:tcW w:w="2920" w:type="dxa"/>
          </w:tcPr>
          <w:p w14:paraId="428732BF" w14:textId="77777777" w:rsidR="008D32F0" w:rsidRPr="00253EE9" w:rsidRDefault="008D32F0" w:rsidP="00C53339">
            <w:pPr>
              <w:jc w:val="right"/>
              <w:cnfStyle w:val="000000000000" w:firstRow="0" w:lastRow="0" w:firstColumn="0" w:lastColumn="0" w:oddVBand="0" w:evenVBand="0" w:oddHBand="0" w:evenHBand="0" w:firstRowFirstColumn="0" w:firstRowLastColumn="0" w:lastRowFirstColumn="0" w:lastRowLastColumn="0"/>
              <w:rPr>
                <w:sz w:val="22"/>
                <w:szCs w:val="22"/>
              </w:rPr>
            </w:pPr>
            <w:r w:rsidRPr="00253EE9">
              <w:rPr>
                <w:sz w:val="22"/>
                <w:szCs w:val="22"/>
              </w:rPr>
              <w:t>20</w:t>
            </w:r>
          </w:p>
        </w:tc>
      </w:tr>
    </w:tbl>
    <w:p w14:paraId="7A6662AA" w14:textId="77777777" w:rsidR="008D32F0" w:rsidRPr="00253EE9" w:rsidRDefault="008D32F0" w:rsidP="009058CC"/>
    <w:p w14:paraId="796C1DBD" w14:textId="0AEC18CF" w:rsidR="008D32F0" w:rsidRPr="00253EE9" w:rsidRDefault="008D32F0" w:rsidP="009058CC">
      <w:r w:rsidRPr="00253EE9">
        <w:lastRenderedPageBreak/>
        <w:t>Small organisations</w:t>
      </w:r>
      <w:r w:rsidR="00EA542A" w:rsidRPr="00253EE9">
        <w:rPr>
          <w:rStyle w:val="FootnoteReference"/>
        </w:rPr>
        <w:footnoteReference w:id="9"/>
      </w:r>
      <w:r w:rsidRPr="00253EE9">
        <w:t xml:space="preserve"> </w:t>
      </w:r>
      <w:r w:rsidR="00C53339" w:rsidRPr="00253EE9">
        <w:t>we</w:t>
      </w:r>
      <w:r w:rsidRPr="00253EE9">
        <w:t xml:space="preserve">re more likely to recruit </w:t>
      </w:r>
      <w:r w:rsidR="00C53339" w:rsidRPr="00253EE9">
        <w:t>people</w:t>
      </w:r>
      <w:r w:rsidRPr="00253EE9">
        <w:t xml:space="preserve"> with a disability-related certificate qualification. A third of workforces in small organisations (33%) ha</w:t>
      </w:r>
      <w:r w:rsidR="00C53339" w:rsidRPr="00253EE9">
        <w:t>d</w:t>
      </w:r>
      <w:r w:rsidRPr="00253EE9">
        <w:t xml:space="preserve"> all new recruits with a disability-related qualification, while only 14 per cent of medium to large organisations and none of the </w:t>
      </w:r>
      <w:r w:rsidR="00C53339" w:rsidRPr="00253EE9">
        <w:t>large</w:t>
      </w:r>
      <w:r w:rsidRPr="00253EE9">
        <w:t xml:space="preserve"> organisations ha</w:t>
      </w:r>
      <w:r w:rsidR="00C53339" w:rsidRPr="00253EE9">
        <w:t>d</w:t>
      </w:r>
      <w:r w:rsidRPr="00253EE9">
        <w:t xml:space="preserve"> this level of formally qualified new recruits</w:t>
      </w:r>
      <w:r w:rsidR="00F93E9C" w:rsidRPr="00253EE9">
        <w:rPr>
          <w:rStyle w:val="FootnoteReference"/>
        </w:rPr>
        <w:footnoteReference w:id="10"/>
      </w:r>
      <w:r w:rsidRPr="00253EE9">
        <w:t xml:space="preserve">. </w:t>
      </w:r>
    </w:p>
    <w:p w14:paraId="46294DBC" w14:textId="77777777" w:rsidR="00C53339" w:rsidRPr="00253EE9" w:rsidRDefault="00C53339" w:rsidP="009058CC"/>
    <w:p w14:paraId="4D4409EE" w14:textId="32D77CE7" w:rsidR="008D32F0" w:rsidRPr="00253EE9" w:rsidRDefault="008D32F0" w:rsidP="007E7E2C">
      <w:pPr>
        <w:pStyle w:val="Heading2"/>
        <w:rPr>
          <w:color w:val="auto"/>
        </w:rPr>
      </w:pPr>
      <w:bookmarkStart w:id="34" w:name="_Toc519585306"/>
      <w:r w:rsidRPr="00253EE9">
        <w:rPr>
          <w:color w:val="auto"/>
        </w:rPr>
        <w:t xml:space="preserve">How states </w:t>
      </w:r>
      <w:r w:rsidR="007E7E2C" w:rsidRPr="00253EE9">
        <w:rPr>
          <w:color w:val="auto"/>
        </w:rPr>
        <w:t>vary</w:t>
      </w:r>
      <w:r w:rsidRPr="00253EE9">
        <w:rPr>
          <w:color w:val="auto"/>
        </w:rPr>
        <w:t xml:space="preserve"> in the level of qualified new recruits</w:t>
      </w:r>
      <w:bookmarkEnd w:id="34"/>
    </w:p>
    <w:p w14:paraId="463DD404" w14:textId="77777777" w:rsidR="008D32F0" w:rsidRPr="00253EE9" w:rsidRDefault="008D32F0" w:rsidP="009058CC"/>
    <w:p w14:paraId="4CFB6E27" w14:textId="40B5E053" w:rsidR="008D32F0" w:rsidRPr="00253EE9" w:rsidRDefault="008D32F0" w:rsidP="009058CC">
      <w:r w:rsidRPr="00253EE9">
        <w:t xml:space="preserve">Most states and territories are in line with the national </w:t>
      </w:r>
      <w:r w:rsidR="007E7E2C" w:rsidRPr="00253EE9">
        <w:t>a</w:t>
      </w:r>
      <w:r w:rsidR="0088669A" w:rsidRPr="00253EE9">
        <w:t>verage, 21</w:t>
      </w:r>
      <w:r w:rsidR="007E7E2C" w:rsidRPr="00253EE9">
        <w:t>%</w:t>
      </w:r>
      <w:r w:rsidRPr="00253EE9">
        <w:t>. Victoria has the highest level of formally qualified workers (30%), while Queensland has the lowest (15%).</w:t>
      </w:r>
    </w:p>
    <w:p w14:paraId="64BD99B2" w14:textId="77777777" w:rsidR="008D32F0" w:rsidRPr="00253EE9" w:rsidRDefault="008D32F0" w:rsidP="009058CC"/>
    <w:p w14:paraId="58BE1F19" w14:textId="51DFF710" w:rsidR="008D32F0" w:rsidRPr="00253EE9" w:rsidRDefault="000D118B" w:rsidP="00BC0B28">
      <w:pPr>
        <w:pStyle w:val="Caption"/>
      </w:pPr>
      <w:r w:rsidRPr="00253EE9">
        <w:t xml:space="preserve">Table </w:t>
      </w:r>
      <w:r w:rsidR="0059343A">
        <w:fldChar w:fldCharType="begin"/>
      </w:r>
      <w:r w:rsidR="0059343A">
        <w:instrText xml:space="preserve"> SEQ Table \* ARABIC </w:instrText>
      </w:r>
      <w:r w:rsidR="0059343A">
        <w:fldChar w:fldCharType="separate"/>
      </w:r>
      <w:r w:rsidR="00002566">
        <w:rPr>
          <w:noProof/>
        </w:rPr>
        <w:t>2</w:t>
      </w:r>
      <w:r w:rsidR="0059343A">
        <w:rPr>
          <w:noProof/>
        </w:rPr>
        <w:fldChar w:fldCharType="end"/>
      </w:r>
      <w:r w:rsidRPr="00253EE9">
        <w:t xml:space="preserve">: </w:t>
      </w:r>
      <w:r w:rsidR="00301D14" w:rsidRPr="00253EE9">
        <w:t>N</w:t>
      </w:r>
      <w:r w:rsidR="008D32F0" w:rsidRPr="00253EE9">
        <w:t xml:space="preserve">ewly recruited workers </w:t>
      </w:r>
      <w:r w:rsidR="00301D14" w:rsidRPr="00253EE9">
        <w:t>with</w:t>
      </w:r>
      <w:r w:rsidR="008D32F0" w:rsidRPr="00253EE9">
        <w:t xml:space="preserve"> a disability-related qualification, by state</w:t>
      </w:r>
      <w:r w:rsidR="00301D14" w:rsidRPr="00253EE9">
        <w:t xml:space="preserve"> and territory</w:t>
      </w:r>
    </w:p>
    <w:p w14:paraId="4061FE2E" w14:textId="77777777" w:rsidR="00BC0B28" w:rsidRPr="00253EE9" w:rsidRDefault="00BC0B28" w:rsidP="00BC0B28"/>
    <w:tbl>
      <w:tblPr>
        <w:tblStyle w:val="GridTable2-Accent61"/>
        <w:tblW w:w="0" w:type="auto"/>
        <w:tblLook w:val="04A0" w:firstRow="1" w:lastRow="0" w:firstColumn="1" w:lastColumn="0" w:noHBand="0" w:noVBand="1"/>
        <w:tblCaption w:val="Table 2: Newly recruited workers with a disability-related qualification, by state and territory"/>
      </w:tblPr>
      <w:tblGrid>
        <w:gridCol w:w="3947"/>
        <w:gridCol w:w="4603"/>
      </w:tblGrid>
      <w:tr w:rsidR="00253EE9" w:rsidRPr="00253EE9" w14:paraId="6D0296DA" w14:textId="77777777" w:rsidTr="00253E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tcPr>
          <w:p w14:paraId="10BBEF55" w14:textId="2108BEB0" w:rsidR="008D32F0" w:rsidRPr="00253EE9" w:rsidRDefault="00301D14" w:rsidP="009058CC">
            <w:pPr>
              <w:rPr>
                <w:sz w:val="22"/>
                <w:szCs w:val="22"/>
                <w:lang w:eastAsia="en-AU"/>
              </w:rPr>
            </w:pPr>
            <w:r w:rsidRPr="00253EE9">
              <w:rPr>
                <w:sz w:val="22"/>
                <w:szCs w:val="22"/>
                <w:lang w:eastAsia="en-AU"/>
              </w:rPr>
              <w:t>State or territory</w:t>
            </w:r>
          </w:p>
        </w:tc>
        <w:tc>
          <w:tcPr>
            <w:tcW w:w="4820" w:type="dxa"/>
          </w:tcPr>
          <w:p w14:paraId="14D93CEA" w14:textId="49FB33A2" w:rsidR="008D32F0" w:rsidRPr="00253EE9" w:rsidRDefault="00301D14" w:rsidP="00301D14">
            <w:pPr>
              <w:jc w:val="right"/>
              <w:cnfStyle w:val="100000000000" w:firstRow="1"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Formally q</w:t>
            </w:r>
            <w:r w:rsidR="008D32F0" w:rsidRPr="00253EE9">
              <w:rPr>
                <w:sz w:val="22"/>
                <w:szCs w:val="22"/>
                <w:lang w:eastAsia="en-AU"/>
              </w:rPr>
              <w:t xml:space="preserve">ualified </w:t>
            </w:r>
            <w:r w:rsidRPr="00253EE9">
              <w:rPr>
                <w:sz w:val="22"/>
                <w:szCs w:val="22"/>
                <w:lang w:eastAsia="en-AU"/>
              </w:rPr>
              <w:t xml:space="preserve">new </w:t>
            </w:r>
            <w:r w:rsidR="008D32F0" w:rsidRPr="00253EE9">
              <w:rPr>
                <w:sz w:val="22"/>
                <w:szCs w:val="22"/>
                <w:lang w:eastAsia="en-AU"/>
              </w:rPr>
              <w:t>workers (%)</w:t>
            </w:r>
          </w:p>
        </w:tc>
      </w:tr>
      <w:tr w:rsidR="00253EE9" w:rsidRPr="00253EE9" w14:paraId="76A86F20" w14:textId="77777777" w:rsidTr="003C0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7620BBB" w14:textId="792AFD91" w:rsidR="008D32F0" w:rsidRPr="00253EE9" w:rsidRDefault="000F2B90" w:rsidP="009058CC">
            <w:pPr>
              <w:rPr>
                <w:b w:val="0"/>
                <w:sz w:val="22"/>
                <w:szCs w:val="22"/>
                <w:lang w:eastAsia="en-AU"/>
              </w:rPr>
            </w:pPr>
            <w:r w:rsidRPr="00253EE9">
              <w:rPr>
                <w:b w:val="0"/>
                <w:sz w:val="22"/>
                <w:szCs w:val="22"/>
                <w:lang w:eastAsia="en-AU"/>
              </w:rPr>
              <w:t>Victoria</w:t>
            </w:r>
          </w:p>
        </w:tc>
        <w:tc>
          <w:tcPr>
            <w:tcW w:w="4820" w:type="dxa"/>
          </w:tcPr>
          <w:p w14:paraId="2768B304" w14:textId="77777777" w:rsidR="008D32F0" w:rsidRPr="00253EE9" w:rsidRDefault="008D32F0" w:rsidP="00301D14">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30</w:t>
            </w:r>
          </w:p>
        </w:tc>
      </w:tr>
      <w:tr w:rsidR="00253EE9" w:rsidRPr="00253EE9" w14:paraId="2B6B68BA" w14:textId="77777777" w:rsidTr="003C0FE5">
        <w:tc>
          <w:tcPr>
            <w:cnfStyle w:val="001000000000" w:firstRow="0" w:lastRow="0" w:firstColumn="1" w:lastColumn="0" w:oddVBand="0" w:evenVBand="0" w:oddHBand="0" w:evenHBand="0" w:firstRowFirstColumn="0" w:firstRowLastColumn="0" w:lastRowFirstColumn="0" w:lastRowLastColumn="0"/>
            <w:tcW w:w="4106" w:type="dxa"/>
          </w:tcPr>
          <w:p w14:paraId="36BC1430" w14:textId="453097BE" w:rsidR="008D32F0" w:rsidRPr="00253EE9" w:rsidRDefault="000F2B90" w:rsidP="009058CC">
            <w:pPr>
              <w:rPr>
                <w:b w:val="0"/>
                <w:sz w:val="22"/>
                <w:szCs w:val="22"/>
                <w:lang w:eastAsia="en-AU"/>
              </w:rPr>
            </w:pPr>
            <w:r w:rsidRPr="00253EE9">
              <w:rPr>
                <w:b w:val="0"/>
                <w:sz w:val="22"/>
                <w:szCs w:val="22"/>
                <w:lang w:eastAsia="en-AU"/>
              </w:rPr>
              <w:t>Northern Territory</w:t>
            </w:r>
          </w:p>
        </w:tc>
        <w:tc>
          <w:tcPr>
            <w:tcW w:w="4820" w:type="dxa"/>
          </w:tcPr>
          <w:p w14:paraId="685F4F20" w14:textId="77777777" w:rsidR="008D32F0" w:rsidRPr="00253EE9" w:rsidRDefault="008D32F0" w:rsidP="00301D14">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24</w:t>
            </w:r>
          </w:p>
        </w:tc>
      </w:tr>
      <w:tr w:rsidR="00253EE9" w:rsidRPr="00253EE9" w14:paraId="5627E9EC" w14:textId="77777777" w:rsidTr="003C0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29D62D6" w14:textId="77777777" w:rsidR="008D32F0" w:rsidRPr="00253EE9" w:rsidRDefault="008D32F0" w:rsidP="009058CC">
            <w:pPr>
              <w:rPr>
                <w:b w:val="0"/>
                <w:sz w:val="22"/>
                <w:szCs w:val="22"/>
                <w:lang w:eastAsia="en-AU"/>
              </w:rPr>
            </w:pPr>
            <w:r w:rsidRPr="00253EE9">
              <w:rPr>
                <w:b w:val="0"/>
                <w:sz w:val="22"/>
                <w:szCs w:val="22"/>
                <w:lang w:eastAsia="en-AU"/>
              </w:rPr>
              <w:t>NSW/ACT</w:t>
            </w:r>
          </w:p>
        </w:tc>
        <w:tc>
          <w:tcPr>
            <w:tcW w:w="4820" w:type="dxa"/>
          </w:tcPr>
          <w:p w14:paraId="7AE59F94" w14:textId="77777777" w:rsidR="008D32F0" w:rsidRPr="00253EE9" w:rsidRDefault="008D32F0" w:rsidP="00301D14">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23</w:t>
            </w:r>
          </w:p>
        </w:tc>
      </w:tr>
      <w:tr w:rsidR="00253EE9" w:rsidRPr="00253EE9" w14:paraId="2DDFA747" w14:textId="77777777" w:rsidTr="003C0FE5">
        <w:tc>
          <w:tcPr>
            <w:cnfStyle w:val="001000000000" w:firstRow="0" w:lastRow="0" w:firstColumn="1" w:lastColumn="0" w:oddVBand="0" w:evenVBand="0" w:oddHBand="0" w:evenHBand="0" w:firstRowFirstColumn="0" w:firstRowLastColumn="0" w:lastRowFirstColumn="0" w:lastRowLastColumn="0"/>
            <w:tcW w:w="4106" w:type="dxa"/>
          </w:tcPr>
          <w:p w14:paraId="5445F7FF" w14:textId="240FC867" w:rsidR="008D32F0" w:rsidRPr="00253EE9" w:rsidRDefault="000F2B90" w:rsidP="009058CC">
            <w:pPr>
              <w:rPr>
                <w:b w:val="0"/>
                <w:sz w:val="22"/>
                <w:szCs w:val="22"/>
                <w:lang w:eastAsia="en-AU"/>
              </w:rPr>
            </w:pPr>
            <w:r w:rsidRPr="00253EE9">
              <w:rPr>
                <w:b w:val="0"/>
                <w:sz w:val="22"/>
                <w:szCs w:val="22"/>
                <w:lang w:eastAsia="en-AU"/>
              </w:rPr>
              <w:t>South Australia</w:t>
            </w:r>
          </w:p>
        </w:tc>
        <w:tc>
          <w:tcPr>
            <w:tcW w:w="4820" w:type="dxa"/>
          </w:tcPr>
          <w:p w14:paraId="1B47D5BE" w14:textId="77777777" w:rsidR="008D32F0" w:rsidRPr="00253EE9" w:rsidRDefault="008D32F0" w:rsidP="00301D14">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22</w:t>
            </w:r>
          </w:p>
        </w:tc>
      </w:tr>
      <w:tr w:rsidR="00253EE9" w:rsidRPr="00253EE9" w14:paraId="7122C4ED" w14:textId="77777777" w:rsidTr="003C0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8210CAE" w14:textId="56E98DCB" w:rsidR="008D32F0" w:rsidRPr="00253EE9" w:rsidRDefault="008D32F0" w:rsidP="009058CC">
            <w:pPr>
              <w:rPr>
                <w:b w:val="0"/>
                <w:sz w:val="22"/>
                <w:szCs w:val="22"/>
                <w:lang w:eastAsia="en-AU"/>
              </w:rPr>
            </w:pPr>
            <w:r w:rsidRPr="00253EE9">
              <w:rPr>
                <w:b w:val="0"/>
                <w:sz w:val="22"/>
                <w:szCs w:val="22"/>
                <w:lang w:eastAsia="en-AU"/>
              </w:rPr>
              <w:t>Tas</w:t>
            </w:r>
            <w:r w:rsidR="000F2B90" w:rsidRPr="00253EE9">
              <w:rPr>
                <w:b w:val="0"/>
                <w:sz w:val="22"/>
                <w:szCs w:val="22"/>
                <w:lang w:eastAsia="en-AU"/>
              </w:rPr>
              <w:t>mania</w:t>
            </w:r>
          </w:p>
        </w:tc>
        <w:tc>
          <w:tcPr>
            <w:tcW w:w="4820" w:type="dxa"/>
          </w:tcPr>
          <w:p w14:paraId="26F070C4" w14:textId="77777777" w:rsidR="008D32F0" w:rsidRPr="00253EE9" w:rsidRDefault="008D32F0" w:rsidP="00301D14">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21</w:t>
            </w:r>
          </w:p>
        </w:tc>
      </w:tr>
      <w:tr w:rsidR="00253EE9" w:rsidRPr="00253EE9" w14:paraId="344E5F15" w14:textId="77777777" w:rsidTr="003C0FE5">
        <w:tc>
          <w:tcPr>
            <w:cnfStyle w:val="001000000000" w:firstRow="0" w:lastRow="0" w:firstColumn="1" w:lastColumn="0" w:oddVBand="0" w:evenVBand="0" w:oddHBand="0" w:evenHBand="0" w:firstRowFirstColumn="0" w:firstRowLastColumn="0" w:lastRowFirstColumn="0" w:lastRowLastColumn="0"/>
            <w:tcW w:w="4106" w:type="dxa"/>
          </w:tcPr>
          <w:p w14:paraId="5DE99B00" w14:textId="275CB587" w:rsidR="008D32F0" w:rsidRPr="00253EE9" w:rsidRDefault="000F2B90" w:rsidP="009058CC">
            <w:pPr>
              <w:rPr>
                <w:b w:val="0"/>
                <w:sz w:val="22"/>
                <w:szCs w:val="22"/>
                <w:lang w:eastAsia="en-AU"/>
              </w:rPr>
            </w:pPr>
            <w:r w:rsidRPr="00253EE9">
              <w:rPr>
                <w:b w:val="0"/>
                <w:sz w:val="22"/>
                <w:szCs w:val="22"/>
                <w:lang w:eastAsia="en-AU"/>
              </w:rPr>
              <w:t>Western Australia</w:t>
            </w:r>
          </w:p>
        </w:tc>
        <w:tc>
          <w:tcPr>
            <w:tcW w:w="4820" w:type="dxa"/>
          </w:tcPr>
          <w:p w14:paraId="65EC4635" w14:textId="77777777" w:rsidR="008D32F0" w:rsidRPr="00253EE9" w:rsidRDefault="008D32F0" w:rsidP="00301D14">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20</w:t>
            </w:r>
          </w:p>
        </w:tc>
      </w:tr>
      <w:tr w:rsidR="00253EE9" w:rsidRPr="00253EE9" w14:paraId="2F39EFDF" w14:textId="77777777" w:rsidTr="003C0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DA27DD3" w14:textId="50E07DCE" w:rsidR="008D32F0" w:rsidRPr="00253EE9" w:rsidRDefault="000F2B90" w:rsidP="009058CC">
            <w:pPr>
              <w:rPr>
                <w:b w:val="0"/>
                <w:sz w:val="22"/>
                <w:szCs w:val="22"/>
                <w:lang w:eastAsia="en-AU"/>
              </w:rPr>
            </w:pPr>
            <w:r w:rsidRPr="00253EE9">
              <w:rPr>
                <w:b w:val="0"/>
                <w:sz w:val="22"/>
                <w:szCs w:val="22"/>
                <w:lang w:eastAsia="en-AU"/>
              </w:rPr>
              <w:t>Queensland</w:t>
            </w:r>
          </w:p>
        </w:tc>
        <w:tc>
          <w:tcPr>
            <w:tcW w:w="4820" w:type="dxa"/>
          </w:tcPr>
          <w:p w14:paraId="1DC1CF49" w14:textId="77777777" w:rsidR="008D32F0" w:rsidRPr="00253EE9" w:rsidRDefault="008D32F0" w:rsidP="00301D14">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15</w:t>
            </w:r>
          </w:p>
        </w:tc>
      </w:tr>
      <w:tr w:rsidR="00253EE9" w:rsidRPr="00253EE9" w14:paraId="616AA9E6" w14:textId="77777777" w:rsidTr="003C0FE5">
        <w:tc>
          <w:tcPr>
            <w:cnfStyle w:val="001000000000" w:firstRow="0" w:lastRow="0" w:firstColumn="1" w:lastColumn="0" w:oddVBand="0" w:evenVBand="0" w:oddHBand="0" w:evenHBand="0" w:firstRowFirstColumn="0" w:firstRowLastColumn="0" w:lastRowFirstColumn="0" w:lastRowLastColumn="0"/>
            <w:tcW w:w="4106" w:type="dxa"/>
          </w:tcPr>
          <w:p w14:paraId="5CB41B5F" w14:textId="77777777" w:rsidR="008D32F0" w:rsidRPr="00253EE9" w:rsidRDefault="008D32F0" w:rsidP="009058CC">
            <w:pPr>
              <w:rPr>
                <w:b w:val="0"/>
                <w:sz w:val="22"/>
                <w:szCs w:val="22"/>
                <w:lang w:eastAsia="en-AU"/>
              </w:rPr>
            </w:pPr>
            <w:r w:rsidRPr="00253EE9">
              <w:rPr>
                <w:b w:val="0"/>
                <w:sz w:val="22"/>
                <w:szCs w:val="22"/>
                <w:lang w:eastAsia="en-AU"/>
              </w:rPr>
              <w:t>Multi-state</w:t>
            </w:r>
          </w:p>
        </w:tc>
        <w:tc>
          <w:tcPr>
            <w:tcW w:w="4820" w:type="dxa"/>
          </w:tcPr>
          <w:p w14:paraId="048AF1CB" w14:textId="77777777" w:rsidR="008D32F0" w:rsidRPr="00253EE9" w:rsidRDefault="008D32F0" w:rsidP="00301D14">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14</w:t>
            </w:r>
          </w:p>
        </w:tc>
      </w:tr>
      <w:tr w:rsidR="00253EE9" w:rsidRPr="00253EE9" w14:paraId="4C8C6A6D" w14:textId="77777777" w:rsidTr="003C0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404BC63" w14:textId="77777777" w:rsidR="008D32F0" w:rsidRPr="00253EE9" w:rsidRDefault="008D32F0" w:rsidP="009058CC">
            <w:pPr>
              <w:rPr>
                <w:b w:val="0"/>
                <w:sz w:val="22"/>
                <w:szCs w:val="22"/>
                <w:lang w:eastAsia="en-AU"/>
              </w:rPr>
            </w:pPr>
            <w:r w:rsidRPr="00253EE9">
              <w:rPr>
                <w:b w:val="0"/>
                <w:sz w:val="22"/>
                <w:szCs w:val="22"/>
                <w:lang w:eastAsia="en-AU"/>
              </w:rPr>
              <w:t>Total</w:t>
            </w:r>
          </w:p>
        </w:tc>
        <w:tc>
          <w:tcPr>
            <w:tcW w:w="4820" w:type="dxa"/>
          </w:tcPr>
          <w:p w14:paraId="54BC0804" w14:textId="77777777" w:rsidR="008D32F0" w:rsidRPr="00253EE9" w:rsidRDefault="008D32F0" w:rsidP="00301D14">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21</w:t>
            </w:r>
          </w:p>
        </w:tc>
      </w:tr>
    </w:tbl>
    <w:p w14:paraId="26F327AD" w14:textId="77777777" w:rsidR="008D32F0" w:rsidRPr="00253EE9" w:rsidRDefault="008D32F0" w:rsidP="00C617F4"/>
    <w:p w14:paraId="57694068" w14:textId="11505B7E" w:rsidR="00F93E9C" w:rsidRPr="00253EE9" w:rsidRDefault="00BC0B28" w:rsidP="009058CC">
      <w:pPr>
        <w:pStyle w:val="Heading2"/>
        <w:rPr>
          <w:color w:val="auto"/>
        </w:rPr>
      </w:pPr>
      <w:bookmarkStart w:id="35" w:name="_Toc519585307"/>
      <w:r w:rsidRPr="00253EE9">
        <w:rPr>
          <w:color w:val="auto"/>
        </w:rPr>
        <w:t xml:space="preserve">Spotlight Topic 2: </w:t>
      </w:r>
      <w:r w:rsidR="00F93E9C" w:rsidRPr="00253EE9">
        <w:rPr>
          <w:color w:val="auto"/>
        </w:rPr>
        <w:t>Recruitment difficulty</w:t>
      </w:r>
      <w:bookmarkEnd w:id="35"/>
    </w:p>
    <w:p w14:paraId="70083B30" w14:textId="77777777" w:rsidR="000D118B" w:rsidRPr="00253EE9" w:rsidRDefault="000D118B" w:rsidP="009058CC"/>
    <w:p w14:paraId="221407F3" w14:textId="7E705AEB" w:rsidR="00F93E9C" w:rsidRPr="00253EE9" w:rsidRDefault="002F7E43" w:rsidP="009058CC">
      <w:r w:rsidRPr="00253EE9">
        <w:t>The same three r</w:t>
      </w:r>
      <w:r w:rsidR="00F93E9C" w:rsidRPr="00253EE9">
        <w:t xml:space="preserve">ecruitment difficulty </w:t>
      </w:r>
      <w:r w:rsidRPr="00253EE9">
        <w:t>questions were asked as</w:t>
      </w:r>
      <w:r w:rsidR="00F93E9C" w:rsidRPr="00253EE9">
        <w:t xml:space="preserve"> Spotlight Topic</w:t>
      </w:r>
      <w:r w:rsidR="00BC0B28" w:rsidRPr="00253EE9">
        <w:t>s</w:t>
      </w:r>
      <w:r w:rsidR="00F93E9C" w:rsidRPr="00253EE9">
        <w:t xml:space="preserve"> in the March 2017 and March 2018 quarters. Over 90 per cent of users who entered data on their disability support </w:t>
      </w:r>
      <w:r w:rsidR="00BC0B28" w:rsidRPr="00253EE9">
        <w:t xml:space="preserve">workforce also responded to these </w:t>
      </w:r>
      <w:r w:rsidR="00F93E9C" w:rsidRPr="00253EE9">
        <w:t xml:space="preserve">questions. In 2018 there were 176 valid responses. </w:t>
      </w:r>
    </w:p>
    <w:p w14:paraId="3F3E30B5" w14:textId="77777777" w:rsidR="002F7E43" w:rsidRPr="00253EE9" w:rsidRDefault="002F7E43" w:rsidP="009058CC"/>
    <w:p w14:paraId="7581C260" w14:textId="02398F56" w:rsidR="00F93E9C" w:rsidRPr="00253EE9" w:rsidRDefault="00235F9F" w:rsidP="004C7995">
      <w:pPr>
        <w:pStyle w:val="Heading2"/>
        <w:rPr>
          <w:color w:val="auto"/>
        </w:rPr>
      </w:pPr>
      <w:bookmarkStart w:id="36" w:name="_Toc519585308"/>
      <w:r w:rsidRPr="00253EE9">
        <w:rPr>
          <w:color w:val="auto"/>
        </w:rPr>
        <w:t xml:space="preserve">Level of </w:t>
      </w:r>
      <w:r w:rsidR="00F93E9C" w:rsidRPr="00253EE9">
        <w:rPr>
          <w:color w:val="auto"/>
        </w:rPr>
        <w:t>recruitment activity</w:t>
      </w:r>
      <w:bookmarkEnd w:id="36"/>
    </w:p>
    <w:p w14:paraId="073388AB" w14:textId="77777777" w:rsidR="00235F9F" w:rsidRPr="00253EE9" w:rsidRDefault="00235F9F" w:rsidP="00235F9F"/>
    <w:p w14:paraId="0E0AD98F" w14:textId="0A76B2DE" w:rsidR="00F93E9C" w:rsidRPr="00253EE9" w:rsidRDefault="00F93E9C" w:rsidP="009058CC">
      <w:r w:rsidRPr="00253EE9">
        <w:t xml:space="preserve">Nearly fourth-fifths of organisations (79 per cent) indicated that they advertised to fill at least one disability support worker position in the March 2018 quarter, a little higher than </w:t>
      </w:r>
      <w:r w:rsidR="00235F9F" w:rsidRPr="00253EE9">
        <w:t>12 months before</w:t>
      </w:r>
      <w:r w:rsidRPr="00253EE9">
        <w:t xml:space="preserve"> (76 per cent). </w:t>
      </w:r>
    </w:p>
    <w:p w14:paraId="32602B19" w14:textId="77777777" w:rsidR="00235F9F" w:rsidRPr="00253EE9" w:rsidRDefault="00235F9F" w:rsidP="009058CC"/>
    <w:p w14:paraId="465F200E" w14:textId="115F31AD" w:rsidR="00235F9F" w:rsidRPr="00253EE9" w:rsidRDefault="00F93E9C" w:rsidP="009058CC">
      <w:r w:rsidRPr="00253EE9">
        <w:t xml:space="preserve">Organisations in every state except NSW had become more active in recruitment in the March 2018 quarter. In 2017, NSW was the most active state in recruiting direct support workers (88% of organisations advertised to recruit in </w:t>
      </w:r>
      <w:r w:rsidRPr="00253EE9">
        <w:lastRenderedPageBreak/>
        <w:t xml:space="preserve">the March 2017 quarter). However, NSW was the least active state in the March 2018 quarter (71% of organisations advertised to recruit). </w:t>
      </w:r>
      <w:r w:rsidR="00235F9F" w:rsidRPr="00253EE9">
        <w:t>Not surprisingly, m</w:t>
      </w:r>
      <w:r w:rsidRPr="00253EE9">
        <w:t>ulti-state organisations were most active in recruitment, with almost all organisations advertis</w:t>
      </w:r>
      <w:r w:rsidR="00235F9F" w:rsidRPr="00253EE9">
        <w:t>ing</w:t>
      </w:r>
      <w:r w:rsidRPr="00253EE9">
        <w:t xml:space="preserve"> to fill a position (94%). </w:t>
      </w:r>
    </w:p>
    <w:p w14:paraId="2D6A1F39" w14:textId="375CF736" w:rsidR="004808D5" w:rsidRPr="00253EE9" w:rsidRDefault="004808D5">
      <w:pPr>
        <w:spacing w:after="160"/>
        <w:rPr>
          <w:iCs/>
          <w:sz w:val="22"/>
          <w:szCs w:val="22"/>
        </w:rPr>
      </w:pPr>
    </w:p>
    <w:p w14:paraId="789274B6" w14:textId="3802A6AB" w:rsidR="00F93E9C" w:rsidRPr="00253EE9" w:rsidRDefault="000D118B" w:rsidP="00BC0B28">
      <w:pPr>
        <w:pStyle w:val="Caption"/>
      </w:pPr>
      <w:r w:rsidRPr="00253EE9">
        <w:t xml:space="preserve">Table </w:t>
      </w:r>
      <w:r w:rsidR="0059343A">
        <w:fldChar w:fldCharType="begin"/>
      </w:r>
      <w:r w:rsidR="0059343A">
        <w:instrText xml:space="preserve"> SEQ Table \* ARABIC </w:instrText>
      </w:r>
      <w:r w:rsidR="0059343A">
        <w:fldChar w:fldCharType="separate"/>
      </w:r>
      <w:r w:rsidR="00002566">
        <w:rPr>
          <w:noProof/>
        </w:rPr>
        <w:t>3</w:t>
      </w:r>
      <w:r w:rsidR="0059343A">
        <w:rPr>
          <w:noProof/>
        </w:rPr>
        <w:fldChar w:fldCharType="end"/>
      </w:r>
      <w:r w:rsidR="00F93E9C" w:rsidRPr="00253EE9">
        <w:t xml:space="preserve">: </w:t>
      </w:r>
      <w:r w:rsidR="00BC0B28" w:rsidRPr="00253EE9">
        <w:t>Recruiting organisations</w:t>
      </w:r>
      <w:r w:rsidR="00F93E9C" w:rsidRPr="00253EE9">
        <w:t xml:space="preserve">, </w:t>
      </w:r>
      <w:r w:rsidR="00BC0B28" w:rsidRPr="00253EE9">
        <w:t xml:space="preserve">by state, </w:t>
      </w:r>
      <w:r w:rsidR="00F93E9C" w:rsidRPr="00253EE9">
        <w:t>March 2018 &amp; 2017</w:t>
      </w:r>
      <w:r w:rsidR="004808D5" w:rsidRPr="00253EE9">
        <w:t xml:space="preserve"> </w:t>
      </w:r>
      <w:r w:rsidR="00F93E9C" w:rsidRPr="00253EE9">
        <w:t>quarter</w:t>
      </w:r>
      <w:r w:rsidR="00BC0B28" w:rsidRPr="00253EE9">
        <w:t>s</w:t>
      </w:r>
      <w:r w:rsidR="00F93E9C" w:rsidRPr="00253EE9">
        <w:t xml:space="preserve"> </w:t>
      </w:r>
    </w:p>
    <w:p w14:paraId="51480138" w14:textId="77777777" w:rsidR="00BC0B28" w:rsidRPr="00253EE9" w:rsidRDefault="00BC0B28" w:rsidP="00BC0B28"/>
    <w:tbl>
      <w:tblPr>
        <w:tblStyle w:val="GridTable2-Accent61"/>
        <w:tblW w:w="7938" w:type="dxa"/>
        <w:tblLayout w:type="fixed"/>
        <w:tblLook w:val="04A0" w:firstRow="1" w:lastRow="0" w:firstColumn="1" w:lastColumn="0" w:noHBand="0" w:noVBand="1"/>
        <w:tblCaption w:val="Table 3: Recruiting organisations, by state, March 2018 &amp; 2017 quarters "/>
      </w:tblPr>
      <w:tblGrid>
        <w:gridCol w:w="1638"/>
        <w:gridCol w:w="347"/>
        <w:gridCol w:w="1488"/>
        <w:gridCol w:w="1488"/>
        <w:gridCol w:w="331"/>
        <w:gridCol w:w="1157"/>
        <w:gridCol w:w="1489"/>
      </w:tblGrid>
      <w:tr w:rsidR="00253EE9" w:rsidRPr="00253EE9" w14:paraId="54790CDD" w14:textId="77777777" w:rsidTr="00E700D7">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5947376" w14:textId="77777777" w:rsidR="00235F9F" w:rsidRPr="00253EE9" w:rsidRDefault="00235F9F" w:rsidP="009058CC">
            <w:pPr>
              <w:rPr>
                <w:lang w:eastAsia="en-AU"/>
              </w:rPr>
            </w:pPr>
            <w:r w:rsidRPr="00253EE9">
              <w:rPr>
                <w:lang w:eastAsia="en-AU"/>
              </w:rPr>
              <w:t>State</w:t>
            </w:r>
          </w:p>
        </w:tc>
        <w:tc>
          <w:tcPr>
            <w:tcW w:w="3654" w:type="dxa"/>
            <w:gridSpan w:val="4"/>
            <w:noWrap/>
            <w:hideMark/>
          </w:tcPr>
          <w:p w14:paraId="4B1E4DC2" w14:textId="6B392873" w:rsidR="00235F9F" w:rsidRPr="00253EE9" w:rsidRDefault="00235F9F" w:rsidP="00235F9F">
            <w:pPr>
              <w:jc w:val="center"/>
              <w:cnfStyle w:val="100000000000" w:firstRow="1" w:lastRow="0" w:firstColumn="0" w:lastColumn="0" w:oddVBand="0" w:evenVBand="0" w:oddHBand="0" w:evenHBand="0" w:firstRowFirstColumn="0" w:firstRowLastColumn="0" w:lastRowFirstColumn="0" w:lastRowLastColumn="0"/>
              <w:rPr>
                <w:b w:val="0"/>
                <w:sz w:val="20"/>
                <w:szCs w:val="20"/>
                <w:lang w:eastAsia="en-AU"/>
              </w:rPr>
            </w:pPr>
            <w:r w:rsidRPr="00253EE9">
              <w:rPr>
                <w:b w:val="0"/>
                <w:sz w:val="20"/>
                <w:szCs w:val="20"/>
                <w:lang w:eastAsia="en-AU"/>
              </w:rPr>
              <w:t>Yes</w:t>
            </w:r>
            <w:r w:rsidR="00BC0B28" w:rsidRPr="00253EE9">
              <w:rPr>
                <w:b w:val="0"/>
                <w:sz w:val="20"/>
                <w:szCs w:val="20"/>
                <w:lang w:eastAsia="en-AU"/>
              </w:rPr>
              <w:t xml:space="preserve">, we recruited to fill DSW roles </w:t>
            </w:r>
            <w:r w:rsidRPr="00253EE9">
              <w:rPr>
                <w:b w:val="0"/>
                <w:sz w:val="20"/>
                <w:szCs w:val="20"/>
                <w:lang w:eastAsia="en-AU"/>
              </w:rPr>
              <w:t>(%)</w:t>
            </w:r>
          </w:p>
        </w:tc>
        <w:tc>
          <w:tcPr>
            <w:tcW w:w="2646" w:type="dxa"/>
            <w:gridSpan w:val="2"/>
            <w:noWrap/>
            <w:hideMark/>
          </w:tcPr>
          <w:p w14:paraId="7F5E01D4" w14:textId="7901C93C" w:rsidR="00235F9F" w:rsidRPr="00253EE9" w:rsidRDefault="00BC0B28" w:rsidP="00235F9F">
            <w:pPr>
              <w:jc w:val="center"/>
              <w:cnfStyle w:val="100000000000" w:firstRow="1" w:lastRow="0" w:firstColumn="0" w:lastColumn="0" w:oddVBand="0" w:evenVBand="0" w:oddHBand="0" w:evenHBand="0" w:firstRowFirstColumn="0" w:firstRowLastColumn="0" w:lastRowFirstColumn="0" w:lastRowLastColumn="0"/>
              <w:rPr>
                <w:lang w:eastAsia="en-AU"/>
              </w:rPr>
            </w:pPr>
            <w:r w:rsidRPr="00253EE9">
              <w:rPr>
                <w:b w:val="0"/>
                <w:sz w:val="20"/>
                <w:szCs w:val="20"/>
                <w:lang w:eastAsia="en-AU"/>
              </w:rPr>
              <w:t>Number of organisations responding</w:t>
            </w:r>
          </w:p>
        </w:tc>
      </w:tr>
      <w:tr w:rsidR="00253EE9" w:rsidRPr="00253EE9" w14:paraId="6DE7C658" w14:textId="77777777" w:rsidTr="00BC0B2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85" w:type="dxa"/>
            <w:gridSpan w:val="2"/>
            <w:noWrap/>
            <w:hideMark/>
          </w:tcPr>
          <w:p w14:paraId="42EF5506" w14:textId="77777777" w:rsidR="00235F9F" w:rsidRPr="00253EE9" w:rsidRDefault="00235F9F" w:rsidP="009058CC">
            <w:pPr>
              <w:rPr>
                <w:sz w:val="22"/>
                <w:szCs w:val="22"/>
                <w:lang w:eastAsia="en-AU"/>
              </w:rPr>
            </w:pPr>
          </w:p>
        </w:tc>
        <w:tc>
          <w:tcPr>
            <w:tcW w:w="1488" w:type="dxa"/>
            <w:noWrap/>
            <w:hideMark/>
          </w:tcPr>
          <w:p w14:paraId="729D9FBE" w14:textId="1089B02C"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March 18</w:t>
            </w:r>
          </w:p>
        </w:tc>
        <w:tc>
          <w:tcPr>
            <w:tcW w:w="1488" w:type="dxa"/>
            <w:noWrap/>
            <w:hideMark/>
          </w:tcPr>
          <w:p w14:paraId="240630B0" w14:textId="0D384EDF"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March 17</w:t>
            </w:r>
          </w:p>
        </w:tc>
        <w:tc>
          <w:tcPr>
            <w:tcW w:w="1488" w:type="dxa"/>
            <w:gridSpan w:val="2"/>
            <w:noWrap/>
            <w:hideMark/>
          </w:tcPr>
          <w:p w14:paraId="3785E366" w14:textId="44366E0B"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March 18</w:t>
            </w:r>
          </w:p>
        </w:tc>
        <w:tc>
          <w:tcPr>
            <w:tcW w:w="1489" w:type="dxa"/>
            <w:noWrap/>
            <w:hideMark/>
          </w:tcPr>
          <w:p w14:paraId="26719181" w14:textId="79A338AD"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March 17</w:t>
            </w:r>
          </w:p>
        </w:tc>
      </w:tr>
      <w:tr w:rsidR="00253EE9" w:rsidRPr="00253EE9" w14:paraId="09CC26E2" w14:textId="77777777" w:rsidTr="00BC0B28">
        <w:trPr>
          <w:trHeight w:val="302"/>
        </w:trPr>
        <w:tc>
          <w:tcPr>
            <w:cnfStyle w:val="001000000000" w:firstRow="0" w:lastRow="0" w:firstColumn="1" w:lastColumn="0" w:oddVBand="0" w:evenVBand="0" w:oddHBand="0" w:evenHBand="0" w:firstRowFirstColumn="0" w:firstRowLastColumn="0" w:lastRowFirstColumn="0" w:lastRowLastColumn="0"/>
            <w:tcW w:w="1985" w:type="dxa"/>
            <w:gridSpan w:val="2"/>
            <w:noWrap/>
            <w:hideMark/>
          </w:tcPr>
          <w:p w14:paraId="6FB11EEB" w14:textId="77777777" w:rsidR="00235F9F" w:rsidRPr="00253EE9" w:rsidRDefault="00235F9F" w:rsidP="009058CC">
            <w:pPr>
              <w:rPr>
                <w:b w:val="0"/>
                <w:sz w:val="22"/>
                <w:szCs w:val="22"/>
                <w:lang w:eastAsia="en-AU"/>
              </w:rPr>
            </w:pPr>
            <w:r w:rsidRPr="00253EE9">
              <w:rPr>
                <w:b w:val="0"/>
                <w:sz w:val="22"/>
                <w:szCs w:val="22"/>
                <w:lang w:eastAsia="en-AU"/>
              </w:rPr>
              <w:t>Multi-state</w:t>
            </w:r>
          </w:p>
        </w:tc>
        <w:tc>
          <w:tcPr>
            <w:tcW w:w="1488" w:type="dxa"/>
            <w:noWrap/>
            <w:hideMark/>
          </w:tcPr>
          <w:p w14:paraId="78FC0E6F"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94</w:t>
            </w:r>
          </w:p>
        </w:tc>
        <w:tc>
          <w:tcPr>
            <w:tcW w:w="1488" w:type="dxa"/>
            <w:noWrap/>
            <w:hideMark/>
          </w:tcPr>
          <w:p w14:paraId="78C2BC45"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75</w:t>
            </w:r>
          </w:p>
        </w:tc>
        <w:tc>
          <w:tcPr>
            <w:tcW w:w="1488" w:type="dxa"/>
            <w:gridSpan w:val="2"/>
            <w:noWrap/>
            <w:hideMark/>
          </w:tcPr>
          <w:p w14:paraId="509A4223"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16</w:t>
            </w:r>
          </w:p>
        </w:tc>
        <w:tc>
          <w:tcPr>
            <w:tcW w:w="1489" w:type="dxa"/>
            <w:noWrap/>
          </w:tcPr>
          <w:p w14:paraId="48E81075"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12</w:t>
            </w:r>
          </w:p>
        </w:tc>
      </w:tr>
      <w:tr w:rsidR="00253EE9" w:rsidRPr="00253EE9" w14:paraId="7B0356B2" w14:textId="77777777" w:rsidTr="00BC0B2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85" w:type="dxa"/>
            <w:gridSpan w:val="2"/>
            <w:noWrap/>
            <w:hideMark/>
          </w:tcPr>
          <w:p w14:paraId="77FC5F6D" w14:textId="77777777" w:rsidR="00235F9F" w:rsidRPr="00253EE9" w:rsidRDefault="00235F9F" w:rsidP="009058CC">
            <w:pPr>
              <w:rPr>
                <w:b w:val="0"/>
                <w:sz w:val="22"/>
                <w:szCs w:val="22"/>
                <w:lang w:eastAsia="en-AU"/>
              </w:rPr>
            </w:pPr>
            <w:r w:rsidRPr="00253EE9">
              <w:rPr>
                <w:b w:val="0"/>
                <w:sz w:val="22"/>
                <w:szCs w:val="22"/>
                <w:lang w:eastAsia="en-AU"/>
              </w:rPr>
              <w:t>South Australia</w:t>
            </w:r>
          </w:p>
        </w:tc>
        <w:tc>
          <w:tcPr>
            <w:tcW w:w="1488" w:type="dxa"/>
            <w:noWrap/>
            <w:hideMark/>
          </w:tcPr>
          <w:p w14:paraId="27E5C2B3"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89</w:t>
            </w:r>
          </w:p>
        </w:tc>
        <w:tc>
          <w:tcPr>
            <w:tcW w:w="1488" w:type="dxa"/>
            <w:noWrap/>
            <w:hideMark/>
          </w:tcPr>
          <w:p w14:paraId="346B084C"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75</w:t>
            </w:r>
          </w:p>
        </w:tc>
        <w:tc>
          <w:tcPr>
            <w:tcW w:w="1488" w:type="dxa"/>
            <w:gridSpan w:val="2"/>
            <w:noWrap/>
            <w:hideMark/>
          </w:tcPr>
          <w:p w14:paraId="41FC9B35"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18</w:t>
            </w:r>
          </w:p>
        </w:tc>
        <w:tc>
          <w:tcPr>
            <w:tcW w:w="1489" w:type="dxa"/>
            <w:noWrap/>
          </w:tcPr>
          <w:p w14:paraId="12DB1D65"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20</w:t>
            </w:r>
          </w:p>
        </w:tc>
      </w:tr>
      <w:tr w:rsidR="00253EE9" w:rsidRPr="00253EE9" w14:paraId="05090B41" w14:textId="77777777" w:rsidTr="00BC0B28">
        <w:trPr>
          <w:trHeight w:val="302"/>
        </w:trPr>
        <w:tc>
          <w:tcPr>
            <w:cnfStyle w:val="001000000000" w:firstRow="0" w:lastRow="0" w:firstColumn="1" w:lastColumn="0" w:oddVBand="0" w:evenVBand="0" w:oddHBand="0" w:evenHBand="0" w:firstRowFirstColumn="0" w:firstRowLastColumn="0" w:lastRowFirstColumn="0" w:lastRowLastColumn="0"/>
            <w:tcW w:w="1985" w:type="dxa"/>
            <w:gridSpan w:val="2"/>
            <w:noWrap/>
            <w:hideMark/>
          </w:tcPr>
          <w:p w14:paraId="4A21F4E8" w14:textId="77777777" w:rsidR="00235F9F" w:rsidRPr="00253EE9" w:rsidRDefault="00235F9F" w:rsidP="009058CC">
            <w:pPr>
              <w:rPr>
                <w:b w:val="0"/>
                <w:sz w:val="22"/>
                <w:szCs w:val="22"/>
                <w:lang w:eastAsia="en-AU"/>
              </w:rPr>
            </w:pPr>
            <w:r w:rsidRPr="00253EE9">
              <w:rPr>
                <w:b w:val="0"/>
                <w:sz w:val="22"/>
                <w:szCs w:val="22"/>
                <w:lang w:eastAsia="en-AU"/>
              </w:rPr>
              <w:t>Western Australia</w:t>
            </w:r>
          </w:p>
        </w:tc>
        <w:tc>
          <w:tcPr>
            <w:tcW w:w="1488" w:type="dxa"/>
            <w:noWrap/>
            <w:hideMark/>
          </w:tcPr>
          <w:p w14:paraId="13BD4712"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86</w:t>
            </w:r>
          </w:p>
        </w:tc>
        <w:tc>
          <w:tcPr>
            <w:tcW w:w="1488" w:type="dxa"/>
            <w:noWrap/>
            <w:hideMark/>
          </w:tcPr>
          <w:p w14:paraId="5F5C2865"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82</w:t>
            </w:r>
          </w:p>
        </w:tc>
        <w:tc>
          <w:tcPr>
            <w:tcW w:w="1488" w:type="dxa"/>
            <w:gridSpan w:val="2"/>
            <w:noWrap/>
            <w:hideMark/>
          </w:tcPr>
          <w:p w14:paraId="54494982"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29</w:t>
            </w:r>
          </w:p>
        </w:tc>
        <w:tc>
          <w:tcPr>
            <w:tcW w:w="1489" w:type="dxa"/>
            <w:noWrap/>
          </w:tcPr>
          <w:p w14:paraId="1A95EF46"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33</w:t>
            </w:r>
          </w:p>
        </w:tc>
      </w:tr>
      <w:tr w:rsidR="00253EE9" w:rsidRPr="00253EE9" w14:paraId="7B3CD163" w14:textId="77777777" w:rsidTr="00BC0B2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85" w:type="dxa"/>
            <w:gridSpan w:val="2"/>
            <w:noWrap/>
            <w:hideMark/>
          </w:tcPr>
          <w:p w14:paraId="47016047" w14:textId="77777777" w:rsidR="00235F9F" w:rsidRPr="00253EE9" w:rsidRDefault="00235F9F" w:rsidP="009058CC">
            <w:pPr>
              <w:rPr>
                <w:b w:val="0"/>
                <w:sz w:val="22"/>
                <w:szCs w:val="22"/>
                <w:lang w:eastAsia="en-AU"/>
              </w:rPr>
            </w:pPr>
            <w:r w:rsidRPr="00253EE9">
              <w:rPr>
                <w:b w:val="0"/>
                <w:sz w:val="22"/>
                <w:szCs w:val="22"/>
                <w:lang w:eastAsia="en-AU"/>
              </w:rPr>
              <w:t>Queensland</w:t>
            </w:r>
          </w:p>
        </w:tc>
        <w:tc>
          <w:tcPr>
            <w:tcW w:w="1488" w:type="dxa"/>
            <w:noWrap/>
            <w:hideMark/>
          </w:tcPr>
          <w:p w14:paraId="1AD76F51"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82</w:t>
            </w:r>
          </w:p>
        </w:tc>
        <w:tc>
          <w:tcPr>
            <w:tcW w:w="1488" w:type="dxa"/>
            <w:noWrap/>
            <w:hideMark/>
          </w:tcPr>
          <w:p w14:paraId="55D64300"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70</w:t>
            </w:r>
          </w:p>
        </w:tc>
        <w:tc>
          <w:tcPr>
            <w:tcW w:w="1488" w:type="dxa"/>
            <w:gridSpan w:val="2"/>
            <w:noWrap/>
            <w:hideMark/>
          </w:tcPr>
          <w:p w14:paraId="025A790B"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28</w:t>
            </w:r>
          </w:p>
        </w:tc>
        <w:tc>
          <w:tcPr>
            <w:tcW w:w="1489" w:type="dxa"/>
            <w:noWrap/>
          </w:tcPr>
          <w:p w14:paraId="63E249F9"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33</w:t>
            </w:r>
          </w:p>
        </w:tc>
      </w:tr>
      <w:tr w:rsidR="00253EE9" w:rsidRPr="00253EE9" w14:paraId="1971F0A1" w14:textId="77777777" w:rsidTr="00BC0B28">
        <w:trPr>
          <w:trHeight w:val="302"/>
        </w:trPr>
        <w:tc>
          <w:tcPr>
            <w:cnfStyle w:val="001000000000" w:firstRow="0" w:lastRow="0" w:firstColumn="1" w:lastColumn="0" w:oddVBand="0" w:evenVBand="0" w:oddHBand="0" w:evenHBand="0" w:firstRowFirstColumn="0" w:firstRowLastColumn="0" w:lastRowFirstColumn="0" w:lastRowLastColumn="0"/>
            <w:tcW w:w="1985" w:type="dxa"/>
            <w:gridSpan w:val="2"/>
            <w:noWrap/>
            <w:hideMark/>
          </w:tcPr>
          <w:p w14:paraId="6739C470" w14:textId="77777777" w:rsidR="00235F9F" w:rsidRPr="00253EE9" w:rsidRDefault="00235F9F" w:rsidP="009058CC">
            <w:pPr>
              <w:rPr>
                <w:b w:val="0"/>
                <w:sz w:val="22"/>
                <w:szCs w:val="22"/>
                <w:lang w:eastAsia="en-AU"/>
              </w:rPr>
            </w:pPr>
            <w:r w:rsidRPr="00253EE9">
              <w:rPr>
                <w:b w:val="0"/>
                <w:sz w:val="22"/>
                <w:szCs w:val="22"/>
                <w:lang w:eastAsia="en-AU"/>
              </w:rPr>
              <w:t>Victoria</w:t>
            </w:r>
          </w:p>
        </w:tc>
        <w:tc>
          <w:tcPr>
            <w:tcW w:w="1488" w:type="dxa"/>
            <w:noWrap/>
            <w:hideMark/>
          </w:tcPr>
          <w:p w14:paraId="2E31F819"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74</w:t>
            </w:r>
          </w:p>
        </w:tc>
        <w:tc>
          <w:tcPr>
            <w:tcW w:w="1488" w:type="dxa"/>
            <w:noWrap/>
            <w:hideMark/>
          </w:tcPr>
          <w:p w14:paraId="4E0790C7"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68</w:t>
            </w:r>
          </w:p>
        </w:tc>
        <w:tc>
          <w:tcPr>
            <w:tcW w:w="1488" w:type="dxa"/>
            <w:gridSpan w:val="2"/>
            <w:noWrap/>
            <w:hideMark/>
          </w:tcPr>
          <w:p w14:paraId="3A2DA939"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35</w:t>
            </w:r>
          </w:p>
        </w:tc>
        <w:tc>
          <w:tcPr>
            <w:tcW w:w="1489" w:type="dxa"/>
            <w:noWrap/>
          </w:tcPr>
          <w:p w14:paraId="04C1CA13"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44</w:t>
            </w:r>
          </w:p>
        </w:tc>
      </w:tr>
      <w:tr w:rsidR="00253EE9" w:rsidRPr="00253EE9" w14:paraId="096F755E" w14:textId="77777777" w:rsidTr="00BC0B2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85" w:type="dxa"/>
            <w:gridSpan w:val="2"/>
            <w:noWrap/>
            <w:hideMark/>
          </w:tcPr>
          <w:p w14:paraId="43290D08" w14:textId="77777777" w:rsidR="00235F9F" w:rsidRPr="00253EE9" w:rsidRDefault="00235F9F" w:rsidP="009058CC">
            <w:pPr>
              <w:rPr>
                <w:b w:val="0"/>
                <w:sz w:val="22"/>
                <w:szCs w:val="22"/>
                <w:lang w:eastAsia="en-AU"/>
              </w:rPr>
            </w:pPr>
            <w:r w:rsidRPr="00253EE9">
              <w:rPr>
                <w:b w:val="0"/>
                <w:sz w:val="22"/>
                <w:szCs w:val="22"/>
                <w:lang w:eastAsia="en-AU"/>
              </w:rPr>
              <w:t>New South Wales</w:t>
            </w:r>
          </w:p>
        </w:tc>
        <w:tc>
          <w:tcPr>
            <w:tcW w:w="1488" w:type="dxa"/>
            <w:noWrap/>
            <w:hideMark/>
          </w:tcPr>
          <w:p w14:paraId="18E5BCC2"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71</w:t>
            </w:r>
          </w:p>
        </w:tc>
        <w:tc>
          <w:tcPr>
            <w:tcW w:w="1488" w:type="dxa"/>
            <w:noWrap/>
            <w:hideMark/>
          </w:tcPr>
          <w:p w14:paraId="40871194"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88</w:t>
            </w:r>
          </w:p>
        </w:tc>
        <w:tc>
          <w:tcPr>
            <w:tcW w:w="1488" w:type="dxa"/>
            <w:gridSpan w:val="2"/>
            <w:noWrap/>
            <w:hideMark/>
          </w:tcPr>
          <w:p w14:paraId="4A75A45A"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35</w:t>
            </w:r>
          </w:p>
        </w:tc>
        <w:tc>
          <w:tcPr>
            <w:tcW w:w="1489" w:type="dxa"/>
            <w:noWrap/>
          </w:tcPr>
          <w:p w14:paraId="1E2EEE0F"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33</w:t>
            </w:r>
          </w:p>
        </w:tc>
      </w:tr>
      <w:tr w:rsidR="00253EE9" w:rsidRPr="00253EE9" w14:paraId="5745BBEA" w14:textId="77777777" w:rsidTr="00BC0B28">
        <w:trPr>
          <w:trHeight w:val="302"/>
        </w:trPr>
        <w:tc>
          <w:tcPr>
            <w:cnfStyle w:val="001000000000" w:firstRow="0" w:lastRow="0" w:firstColumn="1" w:lastColumn="0" w:oddVBand="0" w:evenVBand="0" w:oddHBand="0" w:evenHBand="0" w:firstRowFirstColumn="0" w:firstRowLastColumn="0" w:lastRowFirstColumn="0" w:lastRowLastColumn="0"/>
            <w:tcW w:w="1985" w:type="dxa"/>
            <w:gridSpan w:val="2"/>
            <w:noWrap/>
          </w:tcPr>
          <w:p w14:paraId="13F6484E" w14:textId="77777777" w:rsidR="00235F9F" w:rsidRPr="00253EE9" w:rsidRDefault="00235F9F" w:rsidP="009058CC">
            <w:pPr>
              <w:rPr>
                <w:b w:val="0"/>
                <w:sz w:val="22"/>
                <w:szCs w:val="22"/>
                <w:lang w:eastAsia="en-AU"/>
              </w:rPr>
            </w:pPr>
            <w:r w:rsidRPr="00253EE9">
              <w:rPr>
                <w:b w:val="0"/>
                <w:sz w:val="22"/>
                <w:szCs w:val="22"/>
                <w:lang w:eastAsia="en-AU"/>
              </w:rPr>
              <w:t>Other states and territories</w:t>
            </w:r>
          </w:p>
        </w:tc>
        <w:tc>
          <w:tcPr>
            <w:tcW w:w="1488" w:type="dxa"/>
            <w:noWrap/>
          </w:tcPr>
          <w:p w14:paraId="6A4091CE"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N/A</w:t>
            </w:r>
          </w:p>
        </w:tc>
        <w:tc>
          <w:tcPr>
            <w:tcW w:w="1488" w:type="dxa"/>
            <w:noWrap/>
          </w:tcPr>
          <w:p w14:paraId="4A2671E3"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N/A</w:t>
            </w:r>
          </w:p>
        </w:tc>
        <w:tc>
          <w:tcPr>
            <w:tcW w:w="1488" w:type="dxa"/>
            <w:gridSpan w:val="2"/>
            <w:noWrap/>
          </w:tcPr>
          <w:p w14:paraId="4B8A7108"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15</w:t>
            </w:r>
          </w:p>
        </w:tc>
        <w:tc>
          <w:tcPr>
            <w:tcW w:w="1489" w:type="dxa"/>
            <w:noWrap/>
          </w:tcPr>
          <w:p w14:paraId="191F0D16" w14:textId="77777777" w:rsidR="00235F9F" w:rsidRPr="00253EE9" w:rsidRDefault="00235F9F" w:rsidP="00235F9F">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17</w:t>
            </w:r>
          </w:p>
        </w:tc>
      </w:tr>
      <w:tr w:rsidR="00253EE9" w:rsidRPr="00253EE9" w14:paraId="2EF252BF" w14:textId="77777777" w:rsidTr="00BC0B2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85" w:type="dxa"/>
            <w:gridSpan w:val="2"/>
            <w:noWrap/>
            <w:hideMark/>
          </w:tcPr>
          <w:p w14:paraId="2946DF51" w14:textId="77777777" w:rsidR="00235F9F" w:rsidRPr="00253EE9" w:rsidRDefault="00235F9F" w:rsidP="009058CC">
            <w:pPr>
              <w:rPr>
                <w:b w:val="0"/>
                <w:sz w:val="22"/>
                <w:szCs w:val="22"/>
                <w:lang w:eastAsia="en-AU"/>
              </w:rPr>
            </w:pPr>
            <w:r w:rsidRPr="00253EE9">
              <w:rPr>
                <w:b w:val="0"/>
                <w:sz w:val="22"/>
                <w:szCs w:val="22"/>
                <w:lang w:eastAsia="en-AU"/>
              </w:rPr>
              <w:t>Total</w:t>
            </w:r>
          </w:p>
        </w:tc>
        <w:tc>
          <w:tcPr>
            <w:tcW w:w="1488" w:type="dxa"/>
            <w:noWrap/>
            <w:hideMark/>
          </w:tcPr>
          <w:p w14:paraId="1EF20211"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79</w:t>
            </w:r>
          </w:p>
        </w:tc>
        <w:tc>
          <w:tcPr>
            <w:tcW w:w="1488" w:type="dxa"/>
            <w:noWrap/>
            <w:hideMark/>
          </w:tcPr>
          <w:p w14:paraId="4545FF45"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76</w:t>
            </w:r>
          </w:p>
        </w:tc>
        <w:tc>
          <w:tcPr>
            <w:tcW w:w="1488" w:type="dxa"/>
            <w:gridSpan w:val="2"/>
            <w:noWrap/>
            <w:hideMark/>
          </w:tcPr>
          <w:p w14:paraId="6B961311"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176</w:t>
            </w:r>
          </w:p>
        </w:tc>
        <w:tc>
          <w:tcPr>
            <w:tcW w:w="1489" w:type="dxa"/>
            <w:noWrap/>
          </w:tcPr>
          <w:p w14:paraId="776669B6" w14:textId="77777777" w:rsidR="00235F9F" w:rsidRPr="00253EE9" w:rsidRDefault="00235F9F" w:rsidP="00235F9F">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192</w:t>
            </w:r>
          </w:p>
        </w:tc>
      </w:tr>
    </w:tbl>
    <w:p w14:paraId="05C239E4" w14:textId="77777777" w:rsidR="00235F9F" w:rsidRPr="00253EE9" w:rsidRDefault="00235F9F" w:rsidP="0088669A"/>
    <w:p w14:paraId="0D5F8DFE" w14:textId="77777777" w:rsidR="00F93E9C" w:rsidRPr="00253EE9" w:rsidRDefault="00F93E9C" w:rsidP="004C7995">
      <w:pPr>
        <w:pStyle w:val="Heading2"/>
        <w:rPr>
          <w:color w:val="auto"/>
        </w:rPr>
      </w:pPr>
      <w:bookmarkStart w:id="37" w:name="_Toc519585309"/>
      <w:r w:rsidRPr="00253EE9">
        <w:rPr>
          <w:color w:val="auto"/>
        </w:rPr>
        <w:t>Were employers successful in filling their vacancies?</w:t>
      </w:r>
      <w:bookmarkEnd w:id="37"/>
    </w:p>
    <w:p w14:paraId="2C937F81" w14:textId="77777777" w:rsidR="00235F9F" w:rsidRPr="00253EE9" w:rsidRDefault="00235F9F" w:rsidP="00235F9F"/>
    <w:p w14:paraId="25D70B96" w14:textId="0F2E3BAA" w:rsidR="00F93E9C" w:rsidRPr="00253EE9" w:rsidRDefault="00F93E9C" w:rsidP="009058CC">
      <w:r w:rsidRPr="00253EE9">
        <w:t>Seven out of ten organisations (70 per cent) were able to fill all disability support positions advertised in the March 2018 q</w:t>
      </w:r>
      <w:r w:rsidR="00235F9F" w:rsidRPr="00253EE9">
        <w:t>uarter. R</w:t>
      </w:r>
      <w:r w:rsidRPr="00253EE9">
        <w:t xml:space="preserve">ecruitment has become a little easier </w:t>
      </w:r>
      <w:r w:rsidR="00235F9F" w:rsidRPr="00253EE9">
        <w:t xml:space="preserve">than a year before when </w:t>
      </w:r>
      <w:r w:rsidRPr="00253EE9">
        <w:t>65 percent of organisations were able to fill all advertised posi</w:t>
      </w:r>
      <w:r w:rsidR="00235F9F" w:rsidRPr="00253EE9">
        <w:t>tions</w:t>
      </w:r>
      <w:r w:rsidRPr="00253EE9">
        <w:t>.</w:t>
      </w:r>
    </w:p>
    <w:p w14:paraId="318F4BDC" w14:textId="77777777" w:rsidR="00235F9F" w:rsidRPr="00253EE9" w:rsidRDefault="00235F9F" w:rsidP="009058CC"/>
    <w:p w14:paraId="45E449D1" w14:textId="1D986A6A" w:rsidR="00F93E9C" w:rsidRPr="00253EE9" w:rsidRDefault="00F93E9C" w:rsidP="009058CC">
      <w:r w:rsidRPr="00253EE9">
        <w:t xml:space="preserve">The level of difficulty </w:t>
      </w:r>
      <w:r w:rsidR="006E78F5" w:rsidRPr="00253EE9">
        <w:t>varied</w:t>
      </w:r>
      <w:r w:rsidRPr="00253EE9">
        <w:t xml:space="preserve"> across the states. For example, Western Australia, which had the lowest rate of filled vacancies (56%) in the March 2017 quarter, became the state with the highest rate (75%) this quarter. Queensland</w:t>
      </w:r>
      <w:r w:rsidR="006E78F5" w:rsidRPr="00253EE9">
        <w:t>,</w:t>
      </w:r>
      <w:r w:rsidRPr="00253EE9">
        <w:t xml:space="preserve"> alternatively</w:t>
      </w:r>
      <w:r w:rsidR="006E78F5" w:rsidRPr="00253EE9">
        <w:t>,</w:t>
      </w:r>
      <w:r w:rsidRPr="00253EE9">
        <w:t xml:space="preserve"> had the highest rate (79%) in the March 2017 quarter but dropped to below the national average (67%) in 2018. South Australia had the lowest rate of filled vacancies in the March 2018 quarter, with only 53% of organisations saying they had filled all advertised positions. </w:t>
      </w:r>
    </w:p>
    <w:p w14:paraId="0EEC2F55" w14:textId="77777777" w:rsidR="006E78F5" w:rsidRPr="00253EE9" w:rsidRDefault="006E78F5" w:rsidP="009058CC"/>
    <w:p w14:paraId="61F0A5F9" w14:textId="5E85226A" w:rsidR="00F93E9C" w:rsidRPr="00253EE9" w:rsidRDefault="00F93E9C" w:rsidP="009058CC">
      <w:r w:rsidRPr="00253EE9">
        <w:t xml:space="preserve">A handful of organisations (3.6%) indicated that direct support worker positions are advertised all year around and that they have no recruitment limit, rather taking all </w:t>
      </w:r>
      <w:r w:rsidR="00BC0B28" w:rsidRPr="00253EE9">
        <w:t>suitable</w:t>
      </w:r>
      <w:r w:rsidRPr="00253EE9">
        <w:t xml:space="preserve"> candidates.</w:t>
      </w:r>
    </w:p>
    <w:p w14:paraId="15E0799E" w14:textId="77777777" w:rsidR="006E78F5" w:rsidRPr="00253EE9" w:rsidRDefault="006E78F5" w:rsidP="009058CC"/>
    <w:p w14:paraId="5132CD82" w14:textId="77777777" w:rsidR="004C7995" w:rsidRPr="00253EE9" w:rsidRDefault="004C7995">
      <w:pPr>
        <w:spacing w:after="160"/>
        <w:rPr>
          <w:iCs/>
          <w:sz w:val="22"/>
          <w:szCs w:val="22"/>
        </w:rPr>
      </w:pPr>
      <w:r w:rsidRPr="00253EE9">
        <w:br w:type="page"/>
      </w:r>
    </w:p>
    <w:p w14:paraId="681C337F" w14:textId="75D784A4" w:rsidR="00F93E9C" w:rsidRPr="00253EE9" w:rsidRDefault="000D118B" w:rsidP="004C7995">
      <w:pPr>
        <w:pStyle w:val="Caption"/>
        <w:rPr>
          <w:rFonts w:eastAsia="Arial"/>
        </w:rPr>
      </w:pPr>
      <w:r w:rsidRPr="00253EE9">
        <w:lastRenderedPageBreak/>
        <w:t xml:space="preserve">Table </w:t>
      </w:r>
      <w:r w:rsidR="0059343A">
        <w:fldChar w:fldCharType="begin"/>
      </w:r>
      <w:r w:rsidR="0059343A">
        <w:instrText xml:space="preserve"> SEQ Table \* ARABIC </w:instrText>
      </w:r>
      <w:r w:rsidR="0059343A">
        <w:fldChar w:fldCharType="separate"/>
      </w:r>
      <w:r w:rsidR="00002566">
        <w:rPr>
          <w:noProof/>
        </w:rPr>
        <w:t>4</w:t>
      </w:r>
      <w:r w:rsidR="0059343A">
        <w:rPr>
          <w:noProof/>
        </w:rPr>
        <w:fldChar w:fldCharType="end"/>
      </w:r>
      <w:r w:rsidR="00F93E9C" w:rsidRPr="00253EE9">
        <w:rPr>
          <w:b/>
          <w:w w:val="85"/>
        </w:rPr>
        <w:t>:</w:t>
      </w:r>
      <w:r w:rsidR="00F93E9C" w:rsidRPr="00253EE9">
        <w:rPr>
          <w:b/>
          <w:spacing w:val="-11"/>
          <w:w w:val="85"/>
        </w:rPr>
        <w:t xml:space="preserve"> </w:t>
      </w:r>
      <w:r w:rsidR="00F93E9C" w:rsidRPr="00253EE9">
        <w:rPr>
          <w:w w:val="85"/>
        </w:rPr>
        <w:t>Organisations</w:t>
      </w:r>
      <w:r w:rsidR="00F93E9C" w:rsidRPr="00253EE9">
        <w:rPr>
          <w:spacing w:val="-11"/>
          <w:w w:val="85"/>
        </w:rPr>
        <w:t xml:space="preserve"> </w:t>
      </w:r>
      <w:r w:rsidR="00F93E9C" w:rsidRPr="00253EE9">
        <w:rPr>
          <w:w w:val="85"/>
        </w:rPr>
        <w:t>with</w:t>
      </w:r>
      <w:r w:rsidR="00F93E9C" w:rsidRPr="00253EE9">
        <w:rPr>
          <w:spacing w:val="-10"/>
          <w:w w:val="85"/>
        </w:rPr>
        <w:t xml:space="preserve"> </w:t>
      </w:r>
      <w:r w:rsidR="00F93E9C" w:rsidRPr="00253EE9">
        <w:rPr>
          <w:w w:val="85"/>
        </w:rPr>
        <w:t>advertised</w:t>
      </w:r>
      <w:r w:rsidR="00F93E9C" w:rsidRPr="00253EE9">
        <w:rPr>
          <w:spacing w:val="-11"/>
          <w:w w:val="85"/>
        </w:rPr>
        <w:t xml:space="preserve"> </w:t>
      </w:r>
      <w:r w:rsidR="00F93E9C" w:rsidRPr="00253EE9">
        <w:rPr>
          <w:w w:val="85"/>
        </w:rPr>
        <w:t>positions</w:t>
      </w:r>
      <w:r w:rsidR="00F93E9C" w:rsidRPr="00253EE9">
        <w:rPr>
          <w:spacing w:val="-11"/>
          <w:w w:val="85"/>
        </w:rPr>
        <w:t xml:space="preserve"> </w:t>
      </w:r>
      <w:r w:rsidR="00F93E9C" w:rsidRPr="00253EE9">
        <w:rPr>
          <w:w w:val="85"/>
        </w:rPr>
        <w:t>filled</w:t>
      </w:r>
      <w:r w:rsidR="004C7995" w:rsidRPr="00253EE9">
        <w:rPr>
          <w:spacing w:val="-10"/>
          <w:w w:val="85"/>
        </w:rPr>
        <w:t>/</w:t>
      </w:r>
      <w:r w:rsidR="00F93E9C" w:rsidRPr="00253EE9">
        <w:rPr>
          <w:w w:val="85"/>
        </w:rPr>
        <w:t>unfilled,</w:t>
      </w:r>
      <w:r w:rsidR="00F93E9C" w:rsidRPr="00253EE9">
        <w:rPr>
          <w:spacing w:val="-18"/>
          <w:w w:val="85"/>
        </w:rPr>
        <w:t xml:space="preserve"> </w:t>
      </w:r>
      <w:r w:rsidR="00F93E9C" w:rsidRPr="00253EE9">
        <w:rPr>
          <w:w w:val="85"/>
        </w:rPr>
        <w:t>March</w:t>
      </w:r>
      <w:r w:rsidR="00F93E9C" w:rsidRPr="00253EE9">
        <w:rPr>
          <w:spacing w:val="-11"/>
          <w:w w:val="85"/>
        </w:rPr>
        <w:t xml:space="preserve"> 2018 </w:t>
      </w:r>
      <w:r w:rsidR="00094CDC" w:rsidRPr="00253EE9">
        <w:rPr>
          <w:spacing w:val="-11"/>
          <w:w w:val="85"/>
        </w:rPr>
        <w:t>and 2017</w:t>
      </w:r>
      <w:r w:rsidR="00F93E9C" w:rsidRPr="00253EE9">
        <w:rPr>
          <w:spacing w:val="-11"/>
          <w:w w:val="85"/>
        </w:rPr>
        <w:t xml:space="preserve"> </w:t>
      </w:r>
      <w:r w:rsidR="00F93E9C" w:rsidRPr="00253EE9">
        <w:rPr>
          <w:spacing w:val="-4"/>
          <w:w w:val="85"/>
        </w:rPr>
        <w:t>quarter</w:t>
      </w:r>
      <w:r w:rsidR="004C7995" w:rsidRPr="00253EE9">
        <w:rPr>
          <w:spacing w:val="-4"/>
          <w:w w:val="85"/>
        </w:rPr>
        <w:t>s</w:t>
      </w:r>
      <w:r w:rsidR="00F93E9C" w:rsidRPr="00253EE9">
        <w:rPr>
          <w:spacing w:val="-3"/>
          <w:w w:val="85"/>
        </w:rPr>
        <w:t>,</w:t>
      </w:r>
      <w:r w:rsidR="00F93E9C" w:rsidRPr="00253EE9">
        <w:rPr>
          <w:spacing w:val="-17"/>
          <w:w w:val="85"/>
        </w:rPr>
        <w:t xml:space="preserve"> </w:t>
      </w:r>
      <w:r w:rsidR="00F93E9C" w:rsidRPr="00253EE9">
        <w:rPr>
          <w:w w:val="85"/>
        </w:rPr>
        <w:t>by</w:t>
      </w:r>
      <w:r w:rsidR="00F93E9C" w:rsidRPr="00253EE9">
        <w:rPr>
          <w:spacing w:val="21"/>
          <w:w w:val="82"/>
        </w:rPr>
        <w:t xml:space="preserve"> </w:t>
      </w:r>
      <w:r w:rsidR="00F93E9C" w:rsidRPr="00253EE9">
        <w:rPr>
          <w:w w:val="85"/>
        </w:rPr>
        <w:t>state</w:t>
      </w:r>
      <w:r w:rsidR="00F93E9C" w:rsidRPr="00253EE9">
        <w:rPr>
          <w:spacing w:val="-31"/>
          <w:w w:val="85"/>
        </w:rPr>
        <w:t xml:space="preserve"> </w:t>
      </w:r>
      <w:r w:rsidR="00F93E9C" w:rsidRPr="00253EE9">
        <w:rPr>
          <w:w w:val="85"/>
        </w:rPr>
        <w:t>(%)</w:t>
      </w:r>
    </w:p>
    <w:tbl>
      <w:tblPr>
        <w:tblStyle w:val="GridTable2-Accent61"/>
        <w:tblW w:w="9006" w:type="dxa"/>
        <w:tblLayout w:type="fixed"/>
        <w:tblLook w:val="04A0" w:firstRow="1" w:lastRow="0" w:firstColumn="1" w:lastColumn="0" w:noHBand="0" w:noVBand="1"/>
        <w:tblCaption w:val="Table 4: Organisations with advertised positions filled/unfilled, March 2018 and 2017 quarters, by state "/>
      </w:tblPr>
      <w:tblGrid>
        <w:gridCol w:w="1956"/>
        <w:gridCol w:w="1348"/>
        <w:gridCol w:w="1101"/>
        <w:gridCol w:w="99"/>
        <w:gridCol w:w="1003"/>
        <w:gridCol w:w="1248"/>
        <w:gridCol w:w="99"/>
        <w:gridCol w:w="1102"/>
        <w:gridCol w:w="1050"/>
      </w:tblGrid>
      <w:tr w:rsidR="00253EE9" w:rsidRPr="00253EE9" w14:paraId="161B7526" w14:textId="77777777" w:rsidTr="00E700D7">
        <w:trPr>
          <w:cnfStyle w:val="100000000000" w:firstRow="1" w:lastRow="0" w:firstColumn="0" w:lastColumn="0" w:oddVBand="0" w:evenVBand="0" w:oddHBand="0" w:evenHBand="0" w:firstRowFirstColumn="0" w:firstRowLastColumn="0" w:lastRowFirstColumn="0" w:lastRowLastColumn="0"/>
          <w:trHeight w:val="441"/>
          <w:tblHeader/>
        </w:trPr>
        <w:tc>
          <w:tcPr>
            <w:cnfStyle w:val="001000000000" w:firstRow="0" w:lastRow="0" w:firstColumn="1" w:lastColumn="0" w:oddVBand="0" w:evenVBand="0" w:oddHBand="0" w:evenHBand="0" w:firstRowFirstColumn="0" w:firstRowLastColumn="0" w:lastRowFirstColumn="0" w:lastRowLastColumn="0"/>
            <w:tcW w:w="1956" w:type="dxa"/>
            <w:noWrap/>
            <w:hideMark/>
          </w:tcPr>
          <w:p w14:paraId="68088921" w14:textId="77777777" w:rsidR="00094CDC" w:rsidRPr="00253EE9" w:rsidRDefault="00094CDC" w:rsidP="009058CC">
            <w:pPr>
              <w:rPr>
                <w:sz w:val="22"/>
                <w:szCs w:val="22"/>
                <w:lang w:eastAsia="en-AU"/>
              </w:rPr>
            </w:pPr>
          </w:p>
          <w:p w14:paraId="1CF07A83" w14:textId="77777777" w:rsidR="00F93E9C" w:rsidRPr="00253EE9" w:rsidRDefault="00F93E9C" w:rsidP="009058CC">
            <w:pPr>
              <w:rPr>
                <w:sz w:val="22"/>
                <w:szCs w:val="22"/>
                <w:lang w:eastAsia="en-AU"/>
              </w:rPr>
            </w:pPr>
            <w:r w:rsidRPr="00253EE9">
              <w:rPr>
                <w:sz w:val="22"/>
                <w:szCs w:val="22"/>
                <w:lang w:eastAsia="en-AU"/>
              </w:rPr>
              <w:t>State</w:t>
            </w:r>
          </w:p>
        </w:tc>
        <w:tc>
          <w:tcPr>
            <w:tcW w:w="2548" w:type="dxa"/>
            <w:gridSpan w:val="3"/>
            <w:noWrap/>
            <w:hideMark/>
          </w:tcPr>
          <w:p w14:paraId="2A819314" w14:textId="77777777" w:rsidR="00094CDC" w:rsidRPr="00253EE9" w:rsidRDefault="00094CDC" w:rsidP="004C7995">
            <w:pPr>
              <w:jc w:val="center"/>
              <w:cnfStyle w:val="100000000000" w:firstRow="1" w:lastRow="0" w:firstColumn="0" w:lastColumn="0" w:oddVBand="0" w:evenVBand="0" w:oddHBand="0" w:evenHBand="0" w:firstRowFirstColumn="0" w:firstRowLastColumn="0" w:lastRowFirstColumn="0" w:lastRowLastColumn="0"/>
              <w:rPr>
                <w:sz w:val="22"/>
                <w:szCs w:val="22"/>
                <w:lang w:eastAsia="en-AU"/>
              </w:rPr>
            </w:pPr>
          </w:p>
          <w:p w14:paraId="5098B23B" w14:textId="1C5BD264" w:rsidR="00F93E9C" w:rsidRPr="00253EE9" w:rsidRDefault="00F93E9C" w:rsidP="004C7995">
            <w:pPr>
              <w:jc w:val="center"/>
              <w:cnfStyle w:val="100000000000" w:firstRow="1"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Fill</w:t>
            </w:r>
            <w:r w:rsidR="004C7995" w:rsidRPr="00253EE9">
              <w:rPr>
                <w:sz w:val="22"/>
                <w:szCs w:val="22"/>
                <w:lang w:eastAsia="en-AU"/>
              </w:rPr>
              <w:t>ed</w:t>
            </w:r>
            <w:r w:rsidRPr="00253EE9">
              <w:rPr>
                <w:sz w:val="22"/>
                <w:szCs w:val="22"/>
                <w:lang w:eastAsia="en-AU"/>
              </w:rPr>
              <w:t xml:space="preserve"> (%)</w:t>
            </w:r>
          </w:p>
        </w:tc>
        <w:tc>
          <w:tcPr>
            <w:tcW w:w="2251" w:type="dxa"/>
            <w:gridSpan w:val="2"/>
            <w:noWrap/>
            <w:hideMark/>
          </w:tcPr>
          <w:p w14:paraId="47F422CF" w14:textId="77777777" w:rsidR="00094CDC" w:rsidRPr="00253EE9" w:rsidRDefault="00094CDC" w:rsidP="004C7995">
            <w:pPr>
              <w:jc w:val="center"/>
              <w:cnfStyle w:val="100000000000" w:firstRow="1" w:lastRow="0" w:firstColumn="0" w:lastColumn="0" w:oddVBand="0" w:evenVBand="0" w:oddHBand="0" w:evenHBand="0" w:firstRowFirstColumn="0" w:firstRowLastColumn="0" w:lastRowFirstColumn="0" w:lastRowLastColumn="0"/>
              <w:rPr>
                <w:sz w:val="22"/>
                <w:szCs w:val="22"/>
                <w:lang w:eastAsia="en-AU"/>
              </w:rPr>
            </w:pPr>
          </w:p>
          <w:p w14:paraId="0CFA5595" w14:textId="77777777" w:rsidR="00F93E9C" w:rsidRPr="00253EE9" w:rsidRDefault="00F93E9C" w:rsidP="004C7995">
            <w:pPr>
              <w:jc w:val="center"/>
              <w:cnfStyle w:val="100000000000" w:firstRow="1"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Unfilled (%)</w:t>
            </w:r>
          </w:p>
        </w:tc>
        <w:tc>
          <w:tcPr>
            <w:tcW w:w="2251" w:type="dxa"/>
            <w:gridSpan w:val="3"/>
            <w:noWrap/>
            <w:hideMark/>
          </w:tcPr>
          <w:p w14:paraId="7BE8300B" w14:textId="77777777" w:rsidR="00094CDC" w:rsidRPr="00253EE9" w:rsidRDefault="00094CDC" w:rsidP="004C7995">
            <w:pPr>
              <w:jc w:val="center"/>
              <w:cnfStyle w:val="100000000000" w:firstRow="1" w:lastRow="0" w:firstColumn="0" w:lastColumn="0" w:oddVBand="0" w:evenVBand="0" w:oddHBand="0" w:evenHBand="0" w:firstRowFirstColumn="0" w:firstRowLastColumn="0" w:lastRowFirstColumn="0" w:lastRowLastColumn="0"/>
              <w:rPr>
                <w:sz w:val="22"/>
                <w:szCs w:val="22"/>
                <w:lang w:eastAsia="en-AU"/>
              </w:rPr>
            </w:pPr>
          </w:p>
          <w:p w14:paraId="7AB1E7ED" w14:textId="77777777" w:rsidR="00F93E9C" w:rsidRPr="00253EE9" w:rsidRDefault="00F93E9C" w:rsidP="004C7995">
            <w:pPr>
              <w:jc w:val="center"/>
              <w:cnfStyle w:val="100000000000" w:firstRow="1"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n</w:t>
            </w:r>
          </w:p>
        </w:tc>
      </w:tr>
      <w:tr w:rsidR="00253EE9" w:rsidRPr="00253EE9" w14:paraId="3DF00D69" w14:textId="77777777" w:rsidTr="006E78F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56" w:type="dxa"/>
            <w:noWrap/>
            <w:hideMark/>
          </w:tcPr>
          <w:p w14:paraId="3669E4A2" w14:textId="77777777" w:rsidR="00F93E9C" w:rsidRPr="00253EE9" w:rsidRDefault="00F93E9C" w:rsidP="009058CC">
            <w:pPr>
              <w:rPr>
                <w:sz w:val="22"/>
                <w:szCs w:val="22"/>
                <w:lang w:eastAsia="en-AU"/>
              </w:rPr>
            </w:pPr>
          </w:p>
        </w:tc>
        <w:tc>
          <w:tcPr>
            <w:tcW w:w="1348" w:type="dxa"/>
            <w:noWrap/>
            <w:hideMark/>
          </w:tcPr>
          <w:p w14:paraId="1774ECAD"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 18</w:t>
            </w:r>
          </w:p>
        </w:tc>
        <w:tc>
          <w:tcPr>
            <w:tcW w:w="1101" w:type="dxa"/>
            <w:noWrap/>
            <w:hideMark/>
          </w:tcPr>
          <w:p w14:paraId="7BA869CF"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 17</w:t>
            </w:r>
          </w:p>
        </w:tc>
        <w:tc>
          <w:tcPr>
            <w:tcW w:w="1102" w:type="dxa"/>
            <w:gridSpan w:val="2"/>
            <w:noWrap/>
            <w:hideMark/>
          </w:tcPr>
          <w:p w14:paraId="06F0168D"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 18</w:t>
            </w:r>
          </w:p>
        </w:tc>
        <w:tc>
          <w:tcPr>
            <w:tcW w:w="1347" w:type="dxa"/>
            <w:gridSpan w:val="2"/>
            <w:noWrap/>
            <w:hideMark/>
          </w:tcPr>
          <w:p w14:paraId="439DC583"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 17</w:t>
            </w:r>
          </w:p>
        </w:tc>
        <w:tc>
          <w:tcPr>
            <w:tcW w:w="1102" w:type="dxa"/>
            <w:noWrap/>
            <w:hideMark/>
          </w:tcPr>
          <w:p w14:paraId="16AF0577"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 18</w:t>
            </w:r>
          </w:p>
        </w:tc>
        <w:tc>
          <w:tcPr>
            <w:tcW w:w="1048" w:type="dxa"/>
            <w:noWrap/>
            <w:hideMark/>
          </w:tcPr>
          <w:p w14:paraId="537155A9"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 17</w:t>
            </w:r>
          </w:p>
        </w:tc>
      </w:tr>
      <w:tr w:rsidR="00253EE9" w:rsidRPr="00253EE9" w14:paraId="18E47863" w14:textId="77777777" w:rsidTr="006E78F5">
        <w:trPr>
          <w:trHeight w:val="292"/>
        </w:trPr>
        <w:tc>
          <w:tcPr>
            <w:cnfStyle w:val="001000000000" w:firstRow="0" w:lastRow="0" w:firstColumn="1" w:lastColumn="0" w:oddVBand="0" w:evenVBand="0" w:oddHBand="0" w:evenHBand="0" w:firstRowFirstColumn="0" w:firstRowLastColumn="0" w:lastRowFirstColumn="0" w:lastRowLastColumn="0"/>
            <w:tcW w:w="1956" w:type="dxa"/>
            <w:noWrap/>
            <w:hideMark/>
          </w:tcPr>
          <w:p w14:paraId="3D3F46E4" w14:textId="77777777" w:rsidR="00F93E9C" w:rsidRPr="00253EE9" w:rsidRDefault="00F93E9C" w:rsidP="009058CC">
            <w:pPr>
              <w:rPr>
                <w:b w:val="0"/>
                <w:sz w:val="22"/>
                <w:szCs w:val="22"/>
                <w:lang w:eastAsia="en-AU"/>
              </w:rPr>
            </w:pPr>
            <w:r w:rsidRPr="00253EE9">
              <w:rPr>
                <w:b w:val="0"/>
                <w:sz w:val="22"/>
                <w:szCs w:val="22"/>
                <w:lang w:eastAsia="en-AU"/>
              </w:rPr>
              <w:t>Multi-state</w:t>
            </w:r>
          </w:p>
        </w:tc>
        <w:tc>
          <w:tcPr>
            <w:tcW w:w="1348" w:type="dxa"/>
            <w:noWrap/>
            <w:hideMark/>
          </w:tcPr>
          <w:p w14:paraId="3F8F7930"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80</w:t>
            </w:r>
          </w:p>
        </w:tc>
        <w:tc>
          <w:tcPr>
            <w:tcW w:w="1101" w:type="dxa"/>
            <w:noWrap/>
            <w:hideMark/>
          </w:tcPr>
          <w:p w14:paraId="7E28F08A"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N/A</w:t>
            </w:r>
          </w:p>
        </w:tc>
        <w:tc>
          <w:tcPr>
            <w:tcW w:w="1102" w:type="dxa"/>
            <w:gridSpan w:val="2"/>
            <w:noWrap/>
            <w:hideMark/>
          </w:tcPr>
          <w:p w14:paraId="03A0D0A1"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20</w:t>
            </w:r>
          </w:p>
        </w:tc>
        <w:tc>
          <w:tcPr>
            <w:tcW w:w="1347" w:type="dxa"/>
            <w:gridSpan w:val="2"/>
            <w:noWrap/>
            <w:hideMark/>
          </w:tcPr>
          <w:p w14:paraId="4B705295"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N/A</w:t>
            </w:r>
          </w:p>
        </w:tc>
        <w:tc>
          <w:tcPr>
            <w:tcW w:w="1102" w:type="dxa"/>
            <w:noWrap/>
            <w:hideMark/>
          </w:tcPr>
          <w:p w14:paraId="2F1CEA68"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10</w:t>
            </w:r>
          </w:p>
        </w:tc>
        <w:tc>
          <w:tcPr>
            <w:tcW w:w="1048" w:type="dxa"/>
            <w:noWrap/>
            <w:hideMark/>
          </w:tcPr>
          <w:p w14:paraId="03596E2D"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N/A</w:t>
            </w:r>
          </w:p>
        </w:tc>
      </w:tr>
      <w:tr w:rsidR="00253EE9" w:rsidRPr="00253EE9" w14:paraId="7AD77971" w14:textId="77777777" w:rsidTr="006E78F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56" w:type="dxa"/>
            <w:noWrap/>
            <w:hideMark/>
          </w:tcPr>
          <w:p w14:paraId="0FEB1EBF" w14:textId="77777777" w:rsidR="00F93E9C" w:rsidRPr="00253EE9" w:rsidRDefault="00F93E9C" w:rsidP="009058CC">
            <w:pPr>
              <w:rPr>
                <w:b w:val="0"/>
                <w:sz w:val="22"/>
                <w:szCs w:val="22"/>
                <w:lang w:eastAsia="en-AU"/>
              </w:rPr>
            </w:pPr>
            <w:r w:rsidRPr="00253EE9">
              <w:rPr>
                <w:b w:val="0"/>
                <w:sz w:val="22"/>
                <w:szCs w:val="22"/>
                <w:lang w:eastAsia="en-AU"/>
              </w:rPr>
              <w:t>Western Australia</w:t>
            </w:r>
          </w:p>
        </w:tc>
        <w:tc>
          <w:tcPr>
            <w:tcW w:w="1348" w:type="dxa"/>
            <w:noWrap/>
            <w:hideMark/>
          </w:tcPr>
          <w:p w14:paraId="4A074261"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75</w:t>
            </w:r>
          </w:p>
        </w:tc>
        <w:tc>
          <w:tcPr>
            <w:tcW w:w="1101" w:type="dxa"/>
            <w:noWrap/>
            <w:hideMark/>
          </w:tcPr>
          <w:p w14:paraId="138A5789"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56</w:t>
            </w:r>
          </w:p>
        </w:tc>
        <w:tc>
          <w:tcPr>
            <w:tcW w:w="1102" w:type="dxa"/>
            <w:gridSpan w:val="2"/>
            <w:noWrap/>
            <w:hideMark/>
          </w:tcPr>
          <w:p w14:paraId="3D4CE382"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25</w:t>
            </w:r>
          </w:p>
        </w:tc>
        <w:tc>
          <w:tcPr>
            <w:tcW w:w="1347" w:type="dxa"/>
            <w:gridSpan w:val="2"/>
            <w:noWrap/>
            <w:hideMark/>
          </w:tcPr>
          <w:p w14:paraId="49C0C9AB"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44</w:t>
            </w:r>
          </w:p>
        </w:tc>
        <w:tc>
          <w:tcPr>
            <w:tcW w:w="1102" w:type="dxa"/>
            <w:noWrap/>
            <w:hideMark/>
          </w:tcPr>
          <w:p w14:paraId="04057DFD"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24</w:t>
            </w:r>
          </w:p>
        </w:tc>
        <w:tc>
          <w:tcPr>
            <w:tcW w:w="1048" w:type="dxa"/>
            <w:noWrap/>
            <w:hideMark/>
          </w:tcPr>
          <w:p w14:paraId="61BF16B8"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25</w:t>
            </w:r>
          </w:p>
        </w:tc>
      </w:tr>
      <w:tr w:rsidR="00253EE9" w:rsidRPr="00253EE9" w14:paraId="73F3FAAD" w14:textId="77777777" w:rsidTr="006E78F5">
        <w:trPr>
          <w:trHeight w:val="292"/>
        </w:trPr>
        <w:tc>
          <w:tcPr>
            <w:cnfStyle w:val="001000000000" w:firstRow="0" w:lastRow="0" w:firstColumn="1" w:lastColumn="0" w:oddVBand="0" w:evenVBand="0" w:oddHBand="0" w:evenHBand="0" w:firstRowFirstColumn="0" w:firstRowLastColumn="0" w:lastRowFirstColumn="0" w:lastRowLastColumn="0"/>
            <w:tcW w:w="1956" w:type="dxa"/>
            <w:noWrap/>
          </w:tcPr>
          <w:p w14:paraId="375AD3C5" w14:textId="77777777" w:rsidR="00F93E9C" w:rsidRPr="00253EE9" w:rsidRDefault="00F93E9C" w:rsidP="009058CC">
            <w:pPr>
              <w:rPr>
                <w:b w:val="0"/>
                <w:sz w:val="22"/>
                <w:szCs w:val="22"/>
                <w:lang w:eastAsia="en-AU"/>
              </w:rPr>
            </w:pPr>
            <w:r w:rsidRPr="00253EE9">
              <w:rPr>
                <w:b w:val="0"/>
                <w:sz w:val="22"/>
                <w:szCs w:val="22"/>
                <w:lang w:eastAsia="en-AU"/>
              </w:rPr>
              <w:t>Victoria</w:t>
            </w:r>
          </w:p>
        </w:tc>
        <w:tc>
          <w:tcPr>
            <w:tcW w:w="1348" w:type="dxa"/>
            <w:noWrap/>
          </w:tcPr>
          <w:p w14:paraId="327AFFD0"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73</w:t>
            </w:r>
          </w:p>
        </w:tc>
        <w:tc>
          <w:tcPr>
            <w:tcW w:w="1101" w:type="dxa"/>
            <w:noWrap/>
          </w:tcPr>
          <w:p w14:paraId="33B4A0D6"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62</w:t>
            </w:r>
          </w:p>
        </w:tc>
        <w:tc>
          <w:tcPr>
            <w:tcW w:w="1102" w:type="dxa"/>
            <w:gridSpan w:val="2"/>
            <w:noWrap/>
          </w:tcPr>
          <w:p w14:paraId="338AF627"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27</w:t>
            </w:r>
          </w:p>
        </w:tc>
        <w:tc>
          <w:tcPr>
            <w:tcW w:w="1347" w:type="dxa"/>
            <w:gridSpan w:val="2"/>
            <w:noWrap/>
          </w:tcPr>
          <w:p w14:paraId="751209C9"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38</w:t>
            </w:r>
          </w:p>
        </w:tc>
        <w:tc>
          <w:tcPr>
            <w:tcW w:w="1102" w:type="dxa"/>
            <w:noWrap/>
          </w:tcPr>
          <w:p w14:paraId="500E5922"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26</w:t>
            </w:r>
          </w:p>
        </w:tc>
        <w:tc>
          <w:tcPr>
            <w:tcW w:w="1048" w:type="dxa"/>
            <w:noWrap/>
          </w:tcPr>
          <w:p w14:paraId="517E4398"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29</w:t>
            </w:r>
          </w:p>
        </w:tc>
      </w:tr>
      <w:tr w:rsidR="00253EE9" w:rsidRPr="00253EE9" w14:paraId="60CCB336" w14:textId="77777777" w:rsidTr="006E78F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56" w:type="dxa"/>
            <w:noWrap/>
            <w:hideMark/>
          </w:tcPr>
          <w:p w14:paraId="71E4C498" w14:textId="77777777" w:rsidR="00F93E9C" w:rsidRPr="00253EE9" w:rsidRDefault="00F93E9C" w:rsidP="009058CC">
            <w:pPr>
              <w:rPr>
                <w:b w:val="0"/>
                <w:sz w:val="22"/>
                <w:szCs w:val="22"/>
                <w:lang w:eastAsia="en-AU"/>
              </w:rPr>
            </w:pPr>
            <w:r w:rsidRPr="00253EE9">
              <w:rPr>
                <w:b w:val="0"/>
                <w:sz w:val="22"/>
                <w:szCs w:val="22"/>
                <w:lang w:eastAsia="en-AU"/>
              </w:rPr>
              <w:t>Queensland</w:t>
            </w:r>
          </w:p>
        </w:tc>
        <w:tc>
          <w:tcPr>
            <w:tcW w:w="1348" w:type="dxa"/>
            <w:noWrap/>
            <w:hideMark/>
          </w:tcPr>
          <w:p w14:paraId="7056DDE6"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67</w:t>
            </w:r>
          </w:p>
        </w:tc>
        <w:tc>
          <w:tcPr>
            <w:tcW w:w="1101" w:type="dxa"/>
            <w:noWrap/>
            <w:hideMark/>
          </w:tcPr>
          <w:p w14:paraId="4F8BA2EF"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79</w:t>
            </w:r>
          </w:p>
        </w:tc>
        <w:tc>
          <w:tcPr>
            <w:tcW w:w="1102" w:type="dxa"/>
            <w:gridSpan w:val="2"/>
            <w:noWrap/>
            <w:hideMark/>
          </w:tcPr>
          <w:p w14:paraId="3AF697B2"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33</w:t>
            </w:r>
          </w:p>
        </w:tc>
        <w:tc>
          <w:tcPr>
            <w:tcW w:w="1347" w:type="dxa"/>
            <w:gridSpan w:val="2"/>
            <w:noWrap/>
            <w:hideMark/>
          </w:tcPr>
          <w:p w14:paraId="21265E95"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21</w:t>
            </w:r>
          </w:p>
        </w:tc>
        <w:tc>
          <w:tcPr>
            <w:tcW w:w="1102" w:type="dxa"/>
            <w:noWrap/>
            <w:hideMark/>
          </w:tcPr>
          <w:p w14:paraId="58074894"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21</w:t>
            </w:r>
          </w:p>
        </w:tc>
        <w:tc>
          <w:tcPr>
            <w:tcW w:w="1048" w:type="dxa"/>
            <w:noWrap/>
            <w:hideMark/>
          </w:tcPr>
          <w:p w14:paraId="2A78366D"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19</w:t>
            </w:r>
          </w:p>
        </w:tc>
      </w:tr>
      <w:tr w:rsidR="00253EE9" w:rsidRPr="00253EE9" w14:paraId="491F2A7E" w14:textId="77777777" w:rsidTr="006E78F5">
        <w:trPr>
          <w:trHeight w:val="292"/>
        </w:trPr>
        <w:tc>
          <w:tcPr>
            <w:cnfStyle w:val="001000000000" w:firstRow="0" w:lastRow="0" w:firstColumn="1" w:lastColumn="0" w:oddVBand="0" w:evenVBand="0" w:oddHBand="0" w:evenHBand="0" w:firstRowFirstColumn="0" w:firstRowLastColumn="0" w:lastRowFirstColumn="0" w:lastRowLastColumn="0"/>
            <w:tcW w:w="1956" w:type="dxa"/>
            <w:noWrap/>
            <w:hideMark/>
          </w:tcPr>
          <w:p w14:paraId="280400A0" w14:textId="77777777" w:rsidR="00F93E9C" w:rsidRPr="00253EE9" w:rsidRDefault="00F93E9C" w:rsidP="009058CC">
            <w:pPr>
              <w:rPr>
                <w:b w:val="0"/>
                <w:sz w:val="22"/>
                <w:szCs w:val="22"/>
                <w:lang w:eastAsia="en-AU"/>
              </w:rPr>
            </w:pPr>
            <w:r w:rsidRPr="00253EE9">
              <w:rPr>
                <w:b w:val="0"/>
                <w:sz w:val="22"/>
                <w:szCs w:val="22"/>
                <w:lang w:eastAsia="en-AU"/>
              </w:rPr>
              <w:t>New South Wales</w:t>
            </w:r>
          </w:p>
        </w:tc>
        <w:tc>
          <w:tcPr>
            <w:tcW w:w="1348" w:type="dxa"/>
            <w:noWrap/>
            <w:hideMark/>
          </w:tcPr>
          <w:p w14:paraId="3C98C414"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65</w:t>
            </w:r>
          </w:p>
        </w:tc>
        <w:tc>
          <w:tcPr>
            <w:tcW w:w="1101" w:type="dxa"/>
            <w:noWrap/>
            <w:hideMark/>
          </w:tcPr>
          <w:p w14:paraId="4BA717D2"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67</w:t>
            </w:r>
          </w:p>
        </w:tc>
        <w:tc>
          <w:tcPr>
            <w:tcW w:w="1102" w:type="dxa"/>
            <w:gridSpan w:val="2"/>
            <w:noWrap/>
            <w:hideMark/>
          </w:tcPr>
          <w:p w14:paraId="6449A3FC"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35</w:t>
            </w:r>
          </w:p>
        </w:tc>
        <w:tc>
          <w:tcPr>
            <w:tcW w:w="1347" w:type="dxa"/>
            <w:gridSpan w:val="2"/>
            <w:noWrap/>
            <w:hideMark/>
          </w:tcPr>
          <w:p w14:paraId="7824EC6F"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33</w:t>
            </w:r>
          </w:p>
        </w:tc>
        <w:tc>
          <w:tcPr>
            <w:tcW w:w="1102" w:type="dxa"/>
            <w:noWrap/>
            <w:hideMark/>
          </w:tcPr>
          <w:p w14:paraId="3B8F6220"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23</w:t>
            </w:r>
          </w:p>
        </w:tc>
        <w:tc>
          <w:tcPr>
            <w:tcW w:w="1048" w:type="dxa"/>
            <w:noWrap/>
            <w:hideMark/>
          </w:tcPr>
          <w:p w14:paraId="06B42C96"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27</w:t>
            </w:r>
          </w:p>
        </w:tc>
      </w:tr>
      <w:tr w:rsidR="00253EE9" w:rsidRPr="00253EE9" w14:paraId="09C2994B" w14:textId="77777777" w:rsidTr="006E78F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56" w:type="dxa"/>
            <w:noWrap/>
            <w:hideMark/>
          </w:tcPr>
          <w:p w14:paraId="4BADFFDC" w14:textId="77777777" w:rsidR="00F93E9C" w:rsidRPr="00253EE9" w:rsidRDefault="00F93E9C" w:rsidP="009058CC">
            <w:pPr>
              <w:rPr>
                <w:b w:val="0"/>
                <w:sz w:val="22"/>
                <w:szCs w:val="22"/>
                <w:lang w:eastAsia="en-AU"/>
              </w:rPr>
            </w:pPr>
            <w:r w:rsidRPr="00253EE9">
              <w:rPr>
                <w:b w:val="0"/>
                <w:sz w:val="22"/>
                <w:szCs w:val="22"/>
                <w:lang w:eastAsia="en-AU"/>
              </w:rPr>
              <w:t>South Australia</w:t>
            </w:r>
          </w:p>
        </w:tc>
        <w:tc>
          <w:tcPr>
            <w:tcW w:w="1348" w:type="dxa"/>
            <w:noWrap/>
            <w:hideMark/>
          </w:tcPr>
          <w:p w14:paraId="6D3D7DD3"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53</w:t>
            </w:r>
          </w:p>
        </w:tc>
        <w:tc>
          <w:tcPr>
            <w:tcW w:w="1101" w:type="dxa"/>
            <w:noWrap/>
            <w:hideMark/>
          </w:tcPr>
          <w:p w14:paraId="6B10FEDC"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64</w:t>
            </w:r>
          </w:p>
        </w:tc>
        <w:tc>
          <w:tcPr>
            <w:tcW w:w="1102" w:type="dxa"/>
            <w:gridSpan w:val="2"/>
            <w:noWrap/>
            <w:hideMark/>
          </w:tcPr>
          <w:p w14:paraId="060E3DD4"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47</w:t>
            </w:r>
          </w:p>
        </w:tc>
        <w:tc>
          <w:tcPr>
            <w:tcW w:w="1347" w:type="dxa"/>
            <w:gridSpan w:val="2"/>
            <w:noWrap/>
            <w:hideMark/>
          </w:tcPr>
          <w:p w14:paraId="6B66A3E3"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36</w:t>
            </w:r>
          </w:p>
        </w:tc>
        <w:tc>
          <w:tcPr>
            <w:tcW w:w="1102" w:type="dxa"/>
            <w:noWrap/>
            <w:hideMark/>
          </w:tcPr>
          <w:p w14:paraId="5BAA2C4E"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15</w:t>
            </w:r>
          </w:p>
        </w:tc>
        <w:tc>
          <w:tcPr>
            <w:tcW w:w="1048" w:type="dxa"/>
            <w:noWrap/>
            <w:hideMark/>
          </w:tcPr>
          <w:p w14:paraId="2A729B75"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14</w:t>
            </w:r>
          </w:p>
        </w:tc>
      </w:tr>
      <w:tr w:rsidR="00253EE9" w:rsidRPr="00253EE9" w14:paraId="20DE1EE8" w14:textId="77777777" w:rsidTr="006E78F5">
        <w:trPr>
          <w:trHeight w:val="292"/>
        </w:trPr>
        <w:tc>
          <w:tcPr>
            <w:cnfStyle w:val="001000000000" w:firstRow="0" w:lastRow="0" w:firstColumn="1" w:lastColumn="0" w:oddVBand="0" w:evenVBand="0" w:oddHBand="0" w:evenHBand="0" w:firstRowFirstColumn="0" w:firstRowLastColumn="0" w:lastRowFirstColumn="0" w:lastRowLastColumn="0"/>
            <w:tcW w:w="1956" w:type="dxa"/>
            <w:noWrap/>
            <w:hideMark/>
          </w:tcPr>
          <w:p w14:paraId="097F9828" w14:textId="77777777" w:rsidR="00F93E9C" w:rsidRPr="00253EE9" w:rsidRDefault="00F93E9C" w:rsidP="009058CC">
            <w:pPr>
              <w:rPr>
                <w:b w:val="0"/>
                <w:sz w:val="22"/>
                <w:szCs w:val="22"/>
                <w:lang w:eastAsia="en-AU"/>
              </w:rPr>
            </w:pPr>
            <w:r w:rsidRPr="00253EE9">
              <w:rPr>
                <w:b w:val="0"/>
                <w:sz w:val="22"/>
                <w:szCs w:val="22"/>
                <w:lang w:eastAsia="en-AU"/>
              </w:rPr>
              <w:t>Other states and territories</w:t>
            </w:r>
          </w:p>
        </w:tc>
        <w:tc>
          <w:tcPr>
            <w:tcW w:w="1348" w:type="dxa"/>
            <w:noWrap/>
            <w:hideMark/>
          </w:tcPr>
          <w:p w14:paraId="7EFCFC10"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N/A</w:t>
            </w:r>
          </w:p>
        </w:tc>
        <w:tc>
          <w:tcPr>
            <w:tcW w:w="1101" w:type="dxa"/>
            <w:noWrap/>
            <w:hideMark/>
          </w:tcPr>
          <w:p w14:paraId="4A5EE13B"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N/A</w:t>
            </w:r>
          </w:p>
        </w:tc>
        <w:tc>
          <w:tcPr>
            <w:tcW w:w="1102" w:type="dxa"/>
            <w:gridSpan w:val="2"/>
            <w:noWrap/>
            <w:hideMark/>
          </w:tcPr>
          <w:p w14:paraId="34F3722B"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N/A</w:t>
            </w:r>
          </w:p>
        </w:tc>
        <w:tc>
          <w:tcPr>
            <w:tcW w:w="1347" w:type="dxa"/>
            <w:gridSpan w:val="2"/>
            <w:noWrap/>
            <w:hideMark/>
          </w:tcPr>
          <w:p w14:paraId="7A6FBE60"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N/A</w:t>
            </w:r>
          </w:p>
        </w:tc>
        <w:tc>
          <w:tcPr>
            <w:tcW w:w="1102" w:type="dxa"/>
            <w:noWrap/>
            <w:hideMark/>
          </w:tcPr>
          <w:p w14:paraId="2BE75227"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9</w:t>
            </w:r>
          </w:p>
        </w:tc>
        <w:tc>
          <w:tcPr>
            <w:tcW w:w="1048" w:type="dxa"/>
            <w:noWrap/>
            <w:hideMark/>
          </w:tcPr>
          <w:p w14:paraId="64475D96" w14:textId="77777777" w:rsidR="00F93E9C" w:rsidRPr="00253EE9" w:rsidRDefault="00F93E9C" w:rsidP="004C7995">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19</w:t>
            </w:r>
          </w:p>
        </w:tc>
      </w:tr>
      <w:tr w:rsidR="00253EE9" w:rsidRPr="00253EE9" w14:paraId="7FA6C8B5" w14:textId="77777777" w:rsidTr="006E78F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56" w:type="dxa"/>
            <w:noWrap/>
            <w:hideMark/>
          </w:tcPr>
          <w:p w14:paraId="045474D7" w14:textId="6D4497C3" w:rsidR="00F93E9C" w:rsidRPr="00253EE9" w:rsidRDefault="00F93E9C" w:rsidP="009058CC">
            <w:pPr>
              <w:rPr>
                <w:b w:val="0"/>
                <w:sz w:val="22"/>
                <w:szCs w:val="22"/>
                <w:lang w:eastAsia="en-AU"/>
              </w:rPr>
            </w:pPr>
            <w:r w:rsidRPr="00253EE9">
              <w:rPr>
                <w:b w:val="0"/>
                <w:sz w:val="22"/>
                <w:szCs w:val="22"/>
                <w:lang w:eastAsia="en-AU"/>
              </w:rPr>
              <w:t>Total</w:t>
            </w:r>
          </w:p>
        </w:tc>
        <w:tc>
          <w:tcPr>
            <w:tcW w:w="1348" w:type="dxa"/>
            <w:noWrap/>
            <w:hideMark/>
          </w:tcPr>
          <w:p w14:paraId="37130551"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70</w:t>
            </w:r>
          </w:p>
        </w:tc>
        <w:tc>
          <w:tcPr>
            <w:tcW w:w="1101" w:type="dxa"/>
            <w:noWrap/>
            <w:hideMark/>
          </w:tcPr>
          <w:p w14:paraId="6FBFCA84"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65</w:t>
            </w:r>
          </w:p>
        </w:tc>
        <w:tc>
          <w:tcPr>
            <w:tcW w:w="1102" w:type="dxa"/>
            <w:gridSpan w:val="2"/>
            <w:noWrap/>
            <w:hideMark/>
          </w:tcPr>
          <w:p w14:paraId="2BC91ED8"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30</w:t>
            </w:r>
          </w:p>
        </w:tc>
        <w:tc>
          <w:tcPr>
            <w:tcW w:w="1347" w:type="dxa"/>
            <w:gridSpan w:val="2"/>
            <w:noWrap/>
            <w:hideMark/>
          </w:tcPr>
          <w:p w14:paraId="5DB105BB"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35</w:t>
            </w:r>
          </w:p>
        </w:tc>
        <w:tc>
          <w:tcPr>
            <w:tcW w:w="1102" w:type="dxa"/>
            <w:noWrap/>
            <w:hideMark/>
          </w:tcPr>
          <w:p w14:paraId="6B35B8CA"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128</w:t>
            </w:r>
          </w:p>
        </w:tc>
        <w:tc>
          <w:tcPr>
            <w:tcW w:w="1048" w:type="dxa"/>
            <w:noWrap/>
            <w:hideMark/>
          </w:tcPr>
          <w:p w14:paraId="06FEFFC4" w14:textId="77777777" w:rsidR="00F93E9C" w:rsidRPr="00253EE9" w:rsidRDefault="00F93E9C" w:rsidP="004C7995">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133</w:t>
            </w:r>
          </w:p>
        </w:tc>
      </w:tr>
    </w:tbl>
    <w:p w14:paraId="3C6EC509" w14:textId="77777777" w:rsidR="00F93E9C" w:rsidRPr="00253EE9" w:rsidRDefault="00F93E9C" w:rsidP="009058CC">
      <w:pPr>
        <w:rPr>
          <w:w w:val="85"/>
        </w:rPr>
      </w:pPr>
      <w:r w:rsidRPr="00253EE9">
        <w:rPr>
          <w:b/>
          <w:w w:val="85"/>
        </w:rPr>
        <w:t xml:space="preserve">Note: </w:t>
      </w:r>
      <w:r w:rsidRPr="00253EE9">
        <w:rPr>
          <w:w w:val="85"/>
        </w:rPr>
        <w:t>n is the number of organisations in the sample. A</w:t>
      </w:r>
      <w:r w:rsidRPr="00253EE9">
        <w:rPr>
          <w:spacing w:val="-11"/>
          <w:w w:val="85"/>
        </w:rPr>
        <w:t xml:space="preserve"> </w:t>
      </w:r>
      <w:r w:rsidRPr="00253EE9">
        <w:rPr>
          <w:w w:val="85"/>
        </w:rPr>
        <w:t>small</w:t>
      </w:r>
      <w:r w:rsidRPr="00253EE9">
        <w:rPr>
          <w:spacing w:val="-12"/>
          <w:w w:val="85"/>
        </w:rPr>
        <w:t xml:space="preserve"> </w:t>
      </w:r>
      <w:r w:rsidRPr="00253EE9">
        <w:rPr>
          <w:w w:val="85"/>
        </w:rPr>
        <w:t>proportion</w:t>
      </w:r>
      <w:r w:rsidRPr="00253EE9">
        <w:rPr>
          <w:spacing w:val="-12"/>
          <w:w w:val="85"/>
        </w:rPr>
        <w:t xml:space="preserve"> </w:t>
      </w:r>
      <w:r w:rsidRPr="00253EE9">
        <w:rPr>
          <w:w w:val="85"/>
        </w:rPr>
        <w:t>(7</w:t>
      </w:r>
      <w:r w:rsidRPr="00253EE9">
        <w:rPr>
          <w:spacing w:val="-12"/>
          <w:w w:val="85"/>
        </w:rPr>
        <w:t xml:space="preserve"> </w:t>
      </w:r>
      <w:r w:rsidRPr="00253EE9">
        <w:rPr>
          <w:w w:val="85"/>
        </w:rPr>
        <w:t>per</w:t>
      </w:r>
      <w:r w:rsidRPr="00253EE9">
        <w:rPr>
          <w:spacing w:val="-12"/>
          <w:w w:val="85"/>
        </w:rPr>
        <w:t xml:space="preserve"> </w:t>
      </w:r>
      <w:r w:rsidRPr="00253EE9">
        <w:rPr>
          <w:w w:val="85"/>
        </w:rPr>
        <w:t>cent)</w:t>
      </w:r>
      <w:r w:rsidRPr="00253EE9">
        <w:rPr>
          <w:spacing w:val="-12"/>
          <w:w w:val="85"/>
        </w:rPr>
        <w:t xml:space="preserve"> </w:t>
      </w:r>
      <w:r w:rsidRPr="00253EE9">
        <w:rPr>
          <w:w w:val="85"/>
        </w:rPr>
        <w:t>of</w:t>
      </w:r>
      <w:r w:rsidRPr="00253EE9">
        <w:rPr>
          <w:spacing w:val="22"/>
          <w:w w:val="84"/>
        </w:rPr>
        <w:t xml:space="preserve"> </w:t>
      </w:r>
      <w:r w:rsidRPr="00253EE9">
        <w:rPr>
          <w:w w:val="85"/>
        </w:rPr>
        <w:t>users</w:t>
      </w:r>
      <w:r w:rsidRPr="00253EE9">
        <w:rPr>
          <w:spacing w:val="-9"/>
          <w:w w:val="85"/>
        </w:rPr>
        <w:t xml:space="preserve"> </w:t>
      </w:r>
      <w:r w:rsidRPr="00253EE9">
        <w:rPr>
          <w:w w:val="85"/>
        </w:rPr>
        <w:t>did</w:t>
      </w:r>
      <w:r w:rsidRPr="00253EE9">
        <w:rPr>
          <w:spacing w:val="-10"/>
          <w:w w:val="85"/>
        </w:rPr>
        <w:t xml:space="preserve"> </w:t>
      </w:r>
      <w:r w:rsidRPr="00253EE9">
        <w:rPr>
          <w:w w:val="85"/>
        </w:rPr>
        <w:t>not</w:t>
      </w:r>
      <w:r w:rsidRPr="00253EE9">
        <w:rPr>
          <w:spacing w:val="-9"/>
          <w:w w:val="85"/>
        </w:rPr>
        <w:t xml:space="preserve"> </w:t>
      </w:r>
      <w:r w:rsidRPr="00253EE9">
        <w:rPr>
          <w:w w:val="85"/>
        </w:rPr>
        <w:t>answer</w:t>
      </w:r>
      <w:r w:rsidRPr="00253EE9">
        <w:rPr>
          <w:spacing w:val="-9"/>
          <w:w w:val="85"/>
        </w:rPr>
        <w:t xml:space="preserve"> </w:t>
      </w:r>
      <w:r w:rsidRPr="00253EE9">
        <w:rPr>
          <w:w w:val="85"/>
        </w:rPr>
        <w:t>whether</w:t>
      </w:r>
      <w:r w:rsidRPr="00253EE9">
        <w:rPr>
          <w:spacing w:val="-9"/>
          <w:w w:val="85"/>
        </w:rPr>
        <w:t xml:space="preserve"> </w:t>
      </w:r>
      <w:r w:rsidRPr="00253EE9">
        <w:rPr>
          <w:w w:val="85"/>
        </w:rPr>
        <w:t>or</w:t>
      </w:r>
      <w:r w:rsidRPr="00253EE9">
        <w:rPr>
          <w:spacing w:val="-9"/>
          <w:w w:val="85"/>
        </w:rPr>
        <w:t xml:space="preserve"> </w:t>
      </w:r>
      <w:r w:rsidRPr="00253EE9">
        <w:rPr>
          <w:w w:val="85"/>
        </w:rPr>
        <w:t>not</w:t>
      </w:r>
      <w:r w:rsidRPr="00253EE9">
        <w:rPr>
          <w:spacing w:val="-9"/>
          <w:w w:val="85"/>
        </w:rPr>
        <w:t xml:space="preserve"> </w:t>
      </w:r>
      <w:r w:rsidRPr="00253EE9">
        <w:rPr>
          <w:w w:val="85"/>
        </w:rPr>
        <w:t>their</w:t>
      </w:r>
      <w:r w:rsidRPr="00253EE9">
        <w:rPr>
          <w:spacing w:val="-9"/>
          <w:w w:val="85"/>
        </w:rPr>
        <w:t xml:space="preserve"> </w:t>
      </w:r>
      <w:r w:rsidRPr="00253EE9">
        <w:rPr>
          <w:w w:val="85"/>
        </w:rPr>
        <w:t>advertised</w:t>
      </w:r>
      <w:r w:rsidRPr="00253EE9">
        <w:rPr>
          <w:spacing w:val="-9"/>
          <w:w w:val="85"/>
        </w:rPr>
        <w:t xml:space="preserve"> </w:t>
      </w:r>
      <w:r w:rsidRPr="00253EE9">
        <w:rPr>
          <w:w w:val="85"/>
        </w:rPr>
        <w:t>positions</w:t>
      </w:r>
      <w:r w:rsidRPr="00253EE9">
        <w:rPr>
          <w:spacing w:val="-9"/>
          <w:w w:val="85"/>
        </w:rPr>
        <w:t xml:space="preserve"> </w:t>
      </w:r>
      <w:r w:rsidRPr="00253EE9">
        <w:rPr>
          <w:w w:val="85"/>
        </w:rPr>
        <w:t>were</w:t>
      </w:r>
      <w:r w:rsidRPr="00253EE9">
        <w:rPr>
          <w:spacing w:val="-9"/>
          <w:w w:val="85"/>
        </w:rPr>
        <w:t xml:space="preserve"> </w:t>
      </w:r>
      <w:r w:rsidRPr="00253EE9">
        <w:rPr>
          <w:w w:val="85"/>
        </w:rPr>
        <w:t>filled.</w:t>
      </w:r>
    </w:p>
    <w:p w14:paraId="7B7F0700" w14:textId="77777777" w:rsidR="004C7995" w:rsidRPr="00253EE9" w:rsidRDefault="004C7995" w:rsidP="009058CC">
      <w:pPr>
        <w:pStyle w:val="Heading3"/>
        <w:rPr>
          <w:rFonts w:ascii="Arial" w:eastAsia="Arial" w:hAnsi="Arial" w:cs="Arial"/>
          <w:color w:val="auto"/>
        </w:rPr>
      </w:pPr>
    </w:p>
    <w:p w14:paraId="77D85CCA" w14:textId="24316D23" w:rsidR="00F93E9C" w:rsidRPr="00253EE9" w:rsidRDefault="00F93E9C" w:rsidP="009058CC">
      <w:r w:rsidRPr="00253EE9">
        <w:t>The ratio of filled positions to unfilled vacancies in the March 2018 quarter w</w:t>
      </w:r>
      <w:r w:rsidR="004C7995" w:rsidRPr="00253EE9">
        <w:t xml:space="preserve">as 12.3. This was </w:t>
      </w:r>
      <w:r w:rsidRPr="00253EE9">
        <w:t>higher</w:t>
      </w:r>
      <w:r w:rsidR="004C7995" w:rsidRPr="00253EE9">
        <w:t xml:space="preserve"> than March 2017 quarter (11.4),</w:t>
      </w:r>
      <w:r w:rsidRPr="00253EE9">
        <w:t xml:space="preserve"> consistent with earlier results, </w:t>
      </w:r>
      <w:proofErr w:type="gramStart"/>
      <w:r w:rsidRPr="00253EE9">
        <w:t>suggesting</w:t>
      </w:r>
      <w:proofErr w:type="gramEnd"/>
      <w:r w:rsidRPr="00253EE9">
        <w:t xml:space="preserve"> organisations are now more able to </w:t>
      </w:r>
      <w:r w:rsidR="004C7995" w:rsidRPr="00253EE9">
        <w:t>fill their advertised positions</w:t>
      </w:r>
      <w:r w:rsidRPr="00253EE9">
        <w:t xml:space="preserve"> </w:t>
      </w:r>
      <w:r w:rsidR="004C7995" w:rsidRPr="00253EE9">
        <w:t>than</w:t>
      </w:r>
      <w:r w:rsidRPr="00253EE9">
        <w:t xml:space="preserve"> a year ago. Since there has not been a significant change in unemployment or underemployment rates, this result may reflect improved recruitment techniques learned through experience.</w:t>
      </w:r>
    </w:p>
    <w:p w14:paraId="0F59FCD3" w14:textId="77777777" w:rsidR="004C7995" w:rsidRPr="00253EE9" w:rsidRDefault="004C7995" w:rsidP="009058CC"/>
    <w:p w14:paraId="426C99AF" w14:textId="77777777" w:rsidR="00F93E9C" w:rsidRPr="00253EE9" w:rsidRDefault="00F93E9C" w:rsidP="004C7995">
      <w:pPr>
        <w:pStyle w:val="Heading2"/>
        <w:rPr>
          <w:rFonts w:eastAsia="Arial"/>
          <w:color w:val="auto"/>
        </w:rPr>
      </w:pPr>
      <w:bookmarkStart w:id="38" w:name="_Toc519585310"/>
      <w:r w:rsidRPr="00253EE9">
        <w:rPr>
          <w:rFonts w:eastAsia="Arial"/>
          <w:color w:val="auto"/>
        </w:rPr>
        <w:t>Reasons for unfilled vacancies</w:t>
      </w:r>
      <w:bookmarkEnd w:id="38"/>
    </w:p>
    <w:p w14:paraId="0A44E733" w14:textId="77777777" w:rsidR="004C7995" w:rsidRPr="00253EE9" w:rsidRDefault="004C7995" w:rsidP="004C7995"/>
    <w:p w14:paraId="0601753D" w14:textId="77777777" w:rsidR="004C7995" w:rsidRPr="00253EE9" w:rsidRDefault="00F93E9C" w:rsidP="009058CC">
      <w:r w:rsidRPr="00253EE9">
        <w:t>The reasons given for unfilled vacancies are similar in the March 2</w:t>
      </w:r>
      <w:r w:rsidR="004C7995" w:rsidRPr="00253EE9">
        <w:t>018 and the March 2017 quarters:</w:t>
      </w:r>
    </w:p>
    <w:p w14:paraId="460B50CF" w14:textId="77777777" w:rsidR="004C7995" w:rsidRPr="00253EE9" w:rsidRDefault="004C7995" w:rsidP="009058CC"/>
    <w:p w14:paraId="05B113C8" w14:textId="1C041368" w:rsidR="004C7995" w:rsidRPr="00253EE9" w:rsidRDefault="004C7995" w:rsidP="004C7995">
      <w:pPr>
        <w:pStyle w:val="ListParagraph"/>
        <w:numPr>
          <w:ilvl w:val="0"/>
          <w:numId w:val="13"/>
        </w:numPr>
      </w:pPr>
      <w:r w:rsidRPr="00253EE9">
        <w:t>t</w:t>
      </w:r>
      <w:r w:rsidR="00F93E9C" w:rsidRPr="00253EE9">
        <w:t xml:space="preserve">he lack of suitable or qualified candidates </w:t>
      </w:r>
      <w:r w:rsidRPr="00253EE9">
        <w:t>was</w:t>
      </w:r>
      <w:r w:rsidR="00F93E9C" w:rsidRPr="00253EE9">
        <w:t xml:space="preserve"> the most cited reason </w:t>
      </w:r>
      <w:r w:rsidRPr="00253EE9">
        <w:t>(43%), followed by</w:t>
      </w:r>
    </w:p>
    <w:p w14:paraId="1E7BC63F" w14:textId="0F8081A3" w:rsidR="004C7995" w:rsidRPr="00253EE9" w:rsidRDefault="00F93E9C" w:rsidP="004C7995">
      <w:pPr>
        <w:pStyle w:val="ListParagraph"/>
        <w:numPr>
          <w:ilvl w:val="0"/>
          <w:numId w:val="13"/>
        </w:numPr>
      </w:pPr>
      <w:proofErr w:type="gramStart"/>
      <w:r w:rsidRPr="00253EE9">
        <w:t>candidates</w:t>
      </w:r>
      <w:proofErr w:type="gramEnd"/>
      <w:r w:rsidRPr="00253EE9">
        <w:t xml:space="preserve"> being unable or unwilling to meet s</w:t>
      </w:r>
      <w:r w:rsidR="004C7995" w:rsidRPr="00253EE9">
        <w:t>pecific job requirements (29%)</w:t>
      </w:r>
    </w:p>
    <w:p w14:paraId="456190E4" w14:textId="3E41F480" w:rsidR="004C7995" w:rsidRPr="00253EE9" w:rsidRDefault="00F93E9C" w:rsidP="004C7995">
      <w:pPr>
        <w:pStyle w:val="ListParagraph"/>
        <w:numPr>
          <w:ilvl w:val="0"/>
          <w:numId w:val="13"/>
        </w:numPr>
      </w:pPr>
      <w:proofErr w:type="gramStart"/>
      <w:r w:rsidRPr="00253EE9">
        <w:t>geographical</w:t>
      </w:r>
      <w:proofErr w:type="gramEnd"/>
      <w:r w:rsidRPr="00253EE9">
        <w:t xml:space="preserve"> factors (13%) </w:t>
      </w:r>
    </w:p>
    <w:p w14:paraId="5B50A26B" w14:textId="4B00417C" w:rsidR="00F93E9C" w:rsidRPr="00253EE9" w:rsidRDefault="00F93E9C" w:rsidP="004C7995">
      <w:pPr>
        <w:pStyle w:val="ListParagraph"/>
        <w:numPr>
          <w:ilvl w:val="0"/>
          <w:numId w:val="13"/>
        </w:numPr>
      </w:pPr>
      <w:proofErr w:type="gramStart"/>
      <w:r w:rsidRPr="00253EE9">
        <w:t>poor</w:t>
      </w:r>
      <w:proofErr w:type="gramEnd"/>
      <w:r w:rsidRPr="00253EE9">
        <w:t xml:space="preserve"> employment conditions and/or job prospects (9%).</w:t>
      </w:r>
    </w:p>
    <w:p w14:paraId="10663A04" w14:textId="77777777" w:rsidR="004C7995" w:rsidRPr="00253EE9" w:rsidRDefault="004C7995" w:rsidP="009058CC"/>
    <w:p w14:paraId="3F73C687" w14:textId="57463A25" w:rsidR="00F93E9C" w:rsidRPr="00253EE9" w:rsidRDefault="00893F46" w:rsidP="009058CC">
      <w:r w:rsidRPr="00253EE9">
        <w:t xml:space="preserve">Similar to the results </w:t>
      </w:r>
      <w:r w:rsidR="00F93E9C" w:rsidRPr="00253EE9">
        <w:t xml:space="preserve">a year ago, a number of responses </w:t>
      </w:r>
      <w:r w:rsidRPr="00253EE9">
        <w:t>advised</w:t>
      </w:r>
      <w:r w:rsidR="004C7995" w:rsidRPr="00253EE9">
        <w:t xml:space="preserve"> </w:t>
      </w:r>
      <w:r w:rsidR="00F93E9C" w:rsidRPr="00253EE9">
        <w:t xml:space="preserve">that the advertised roles required one or more of the following: </w:t>
      </w:r>
    </w:p>
    <w:p w14:paraId="4FF9F200" w14:textId="77777777" w:rsidR="004C7995" w:rsidRPr="00253EE9" w:rsidRDefault="004C7995" w:rsidP="009058CC"/>
    <w:p w14:paraId="5793F2D9" w14:textId="77777777" w:rsidR="00F93E9C" w:rsidRPr="00253EE9" w:rsidRDefault="00F93E9C" w:rsidP="004C7995">
      <w:pPr>
        <w:pStyle w:val="ListParagraph"/>
        <w:numPr>
          <w:ilvl w:val="0"/>
          <w:numId w:val="13"/>
        </w:numPr>
      </w:pPr>
      <w:r w:rsidRPr="00253EE9">
        <w:t>specific job skills or experiences (e.g. behaviour support for clients with complex needs)</w:t>
      </w:r>
    </w:p>
    <w:p w14:paraId="61D84573" w14:textId="75903142" w:rsidR="00F93E9C" w:rsidRPr="00253EE9" w:rsidRDefault="00F93E9C" w:rsidP="004C7995">
      <w:pPr>
        <w:pStyle w:val="ListParagraph"/>
        <w:numPr>
          <w:ilvl w:val="0"/>
          <w:numId w:val="13"/>
        </w:numPr>
      </w:pPr>
      <w:r w:rsidRPr="00253EE9">
        <w:t xml:space="preserve">personality or demographic </w:t>
      </w:r>
      <w:r w:rsidR="004C7995" w:rsidRPr="00253EE9">
        <w:t xml:space="preserve">characteristics </w:t>
      </w:r>
      <w:r w:rsidR="00893F46" w:rsidRPr="00253EE9">
        <w:t>that</w:t>
      </w:r>
      <w:r w:rsidR="004C7995" w:rsidRPr="00253EE9">
        <w:t xml:space="preserve"> match </w:t>
      </w:r>
      <w:r w:rsidRPr="00253EE9">
        <w:t xml:space="preserve">customer </w:t>
      </w:r>
      <w:r w:rsidR="00893F46" w:rsidRPr="00253EE9">
        <w:t>preferences</w:t>
      </w:r>
    </w:p>
    <w:p w14:paraId="40ED25B8" w14:textId="7C36CA26" w:rsidR="00F93E9C" w:rsidRPr="00253EE9" w:rsidRDefault="00893F46" w:rsidP="004C7995">
      <w:pPr>
        <w:pStyle w:val="ListParagraph"/>
        <w:numPr>
          <w:ilvl w:val="0"/>
          <w:numId w:val="13"/>
        </w:numPr>
      </w:pPr>
      <w:proofErr w:type="gramStart"/>
      <w:r w:rsidRPr="00253EE9">
        <w:t>ability</w:t>
      </w:r>
      <w:proofErr w:type="gramEnd"/>
      <w:r w:rsidR="00F93E9C" w:rsidRPr="00253EE9">
        <w:t xml:space="preserve"> to work flexible hours in order to fit shifts that</w:t>
      </w:r>
      <w:r w:rsidRPr="00253EE9">
        <w:t xml:space="preserve"> align with client needs.</w:t>
      </w:r>
    </w:p>
    <w:p w14:paraId="42C5D526" w14:textId="77777777" w:rsidR="004C7995" w:rsidRPr="00253EE9" w:rsidRDefault="004C7995" w:rsidP="004C7995">
      <w:pPr>
        <w:pStyle w:val="ListParagraph"/>
      </w:pPr>
    </w:p>
    <w:p w14:paraId="20BA14FF" w14:textId="14A46BBD" w:rsidR="00094CDC" w:rsidRPr="00253EE9" w:rsidRDefault="0088669A" w:rsidP="00893F46">
      <w:r w:rsidRPr="00253EE9">
        <w:t>Some organisations (13% in 2017 and 9% in 2018</w:t>
      </w:r>
      <w:r w:rsidR="00F93E9C" w:rsidRPr="00253EE9">
        <w:t>) mentioned poor employment conditions, especially the lack of permanent full-time roles, short working hours and low rates of pay as possible reasons for unfilled</w:t>
      </w:r>
      <w:r w:rsidRPr="00253EE9">
        <w:t xml:space="preserve"> vacancies.</w:t>
      </w:r>
    </w:p>
    <w:p w14:paraId="59D7A0BC" w14:textId="77777777" w:rsidR="00E700D7" w:rsidRDefault="00E700D7" w:rsidP="00893F46">
      <w:pPr>
        <w:pStyle w:val="Caption"/>
      </w:pPr>
    </w:p>
    <w:p w14:paraId="47005091" w14:textId="67E68580" w:rsidR="00893F46" w:rsidRPr="00253EE9" w:rsidRDefault="000D118B" w:rsidP="00893F46">
      <w:pPr>
        <w:pStyle w:val="Caption"/>
        <w:rPr>
          <w:w w:val="85"/>
        </w:rPr>
      </w:pPr>
      <w:r w:rsidRPr="00253EE9">
        <w:t xml:space="preserve">Table </w:t>
      </w:r>
      <w:r w:rsidR="0059343A">
        <w:fldChar w:fldCharType="begin"/>
      </w:r>
      <w:r w:rsidR="0059343A">
        <w:instrText xml:space="preserve"> SEQ Table \* ARABIC </w:instrText>
      </w:r>
      <w:r w:rsidR="0059343A">
        <w:fldChar w:fldCharType="separate"/>
      </w:r>
      <w:r w:rsidR="00002566">
        <w:rPr>
          <w:noProof/>
        </w:rPr>
        <w:t>5</w:t>
      </w:r>
      <w:r w:rsidR="0059343A">
        <w:rPr>
          <w:noProof/>
        </w:rPr>
        <w:fldChar w:fldCharType="end"/>
      </w:r>
      <w:r w:rsidRPr="00253EE9">
        <w:t xml:space="preserve">: </w:t>
      </w:r>
      <w:r w:rsidR="00F93E9C" w:rsidRPr="00253EE9">
        <w:rPr>
          <w:w w:val="85"/>
        </w:rPr>
        <w:t>Reasons</w:t>
      </w:r>
      <w:r w:rsidR="00F93E9C" w:rsidRPr="00253EE9">
        <w:rPr>
          <w:spacing w:val="-12"/>
          <w:w w:val="85"/>
        </w:rPr>
        <w:t xml:space="preserve"> </w:t>
      </w:r>
      <w:r w:rsidR="00F93E9C" w:rsidRPr="00253EE9">
        <w:rPr>
          <w:w w:val="85"/>
        </w:rPr>
        <w:t>positions</w:t>
      </w:r>
      <w:r w:rsidR="00F93E9C" w:rsidRPr="00253EE9">
        <w:rPr>
          <w:spacing w:val="-12"/>
          <w:w w:val="85"/>
        </w:rPr>
        <w:t xml:space="preserve"> </w:t>
      </w:r>
      <w:r w:rsidR="00F93E9C" w:rsidRPr="00253EE9">
        <w:rPr>
          <w:w w:val="85"/>
        </w:rPr>
        <w:t>were</w:t>
      </w:r>
      <w:r w:rsidR="00F93E9C" w:rsidRPr="00253EE9">
        <w:rPr>
          <w:spacing w:val="-12"/>
          <w:w w:val="85"/>
        </w:rPr>
        <w:t xml:space="preserve"> </w:t>
      </w:r>
      <w:r w:rsidR="00F93E9C" w:rsidRPr="00253EE9">
        <w:rPr>
          <w:w w:val="85"/>
        </w:rPr>
        <w:t>unfilled</w:t>
      </w:r>
      <w:r w:rsidR="00F93E9C" w:rsidRPr="00253EE9">
        <w:rPr>
          <w:spacing w:val="-12"/>
          <w:w w:val="85"/>
        </w:rPr>
        <w:t xml:space="preserve"> </w:t>
      </w:r>
      <w:r w:rsidR="00F93E9C" w:rsidRPr="00253EE9">
        <w:rPr>
          <w:spacing w:val="1"/>
          <w:w w:val="85"/>
        </w:rPr>
        <w:t>a</w:t>
      </w:r>
      <w:r w:rsidR="00F93E9C" w:rsidRPr="00253EE9">
        <w:rPr>
          <w:w w:val="85"/>
        </w:rPr>
        <w:t>t</w:t>
      </w:r>
      <w:r w:rsidR="00F93E9C" w:rsidRPr="00253EE9">
        <w:rPr>
          <w:spacing w:val="-12"/>
          <w:w w:val="85"/>
        </w:rPr>
        <w:t xml:space="preserve"> </w:t>
      </w:r>
      <w:r w:rsidR="00F93E9C" w:rsidRPr="00253EE9">
        <w:rPr>
          <w:w w:val="85"/>
        </w:rPr>
        <w:t>the</w:t>
      </w:r>
      <w:r w:rsidR="00F93E9C" w:rsidRPr="00253EE9">
        <w:rPr>
          <w:spacing w:val="-12"/>
          <w:w w:val="85"/>
        </w:rPr>
        <w:t xml:space="preserve"> </w:t>
      </w:r>
      <w:r w:rsidR="00F93E9C" w:rsidRPr="00253EE9">
        <w:rPr>
          <w:w w:val="85"/>
        </w:rPr>
        <w:t>end</w:t>
      </w:r>
      <w:r w:rsidR="00F93E9C" w:rsidRPr="00253EE9">
        <w:rPr>
          <w:spacing w:val="-12"/>
          <w:w w:val="85"/>
        </w:rPr>
        <w:t xml:space="preserve"> </w:t>
      </w:r>
      <w:r w:rsidR="00F93E9C" w:rsidRPr="00253EE9">
        <w:rPr>
          <w:w w:val="85"/>
        </w:rPr>
        <w:t>of</w:t>
      </w:r>
      <w:r w:rsidR="00F93E9C" w:rsidRPr="00253EE9">
        <w:rPr>
          <w:spacing w:val="-12"/>
          <w:w w:val="85"/>
        </w:rPr>
        <w:t xml:space="preserve"> </w:t>
      </w:r>
      <w:r w:rsidR="00F93E9C" w:rsidRPr="00253EE9">
        <w:rPr>
          <w:w w:val="85"/>
        </w:rPr>
        <w:t>the</w:t>
      </w:r>
      <w:r w:rsidR="00F93E9C" w:rsidRPr="00253EE9">
        <w:rPr>
          <w:spacing w:val="-11"/>
          <w:w w:val="85"/>
        </w:rPr>
        <w:t xml:space="preserve"> </w:t>
      </w:r>
      <w:r w:rsidR="00F93E9C" w:rsidRPr="00253EE9">
        <w:rPr>
          <w:w w:val="85"/>
        </w:rPr>
        <w:t>recruitment round</w:t>
      </w:r>
    </w:p>
    <w:tbl>
      <w:tblPr>
        <w:tblStyle w:val="GridTable2-Accent61"/>
        <w:tblW w:w="8800" w:type="dxa"/>
        <w:tblLook w:val="04A0" w:firstRow="1" w:lastRow="0" w:firstColumn="1" w:lastColumn="0" w:noHBand="0" w:noVBand="1"/>
        <w:tblCaption w:val="Table 5: Reasons positions were unfilled at the end of the recruitment round"/>
      </w:tblPr>
      <w:tblGrid>
        <w:gridCol w:w="4940"/>
        <w:gridCol w:w="970"/>
        <w:gridCol w:w="970"/>
        <w:gridCol w:w="960"/>
        <w:gridCol w:w="960"/>
      </w:tblGrid>
      <w:tr w:rsidR="00253EE9" w:rsidRPr="00253EE9" w14:paraId="62D9692E" w14:textId="77777777" w:rsidTr="00E700D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4940" w:type="dxa"/>
            <w:noWrap/>
            <w:hideMark/>
          </w:tcPr>
          <w:p w14:paraId="158815D4" w14:textId="77777777" w:rsidR="00094CDC" w:rsidRPr="00253EE9" w:rsidRDefault="00094CDC" w:rsidP="009058CC">
            <w:pPr>
              <w:rPr>
                <w:lang w:eastAsia="en-AU"/>
              </w:rPr>
            </w:pPr>
          </w:p>
          <w:p w14:paraId="2FB04F43" w14:textId="77777777" w:rsidR="00F93E9C" w:rsidRPr="00253EE9" w:rsidRDefault="00F93E9C" w:rsidP="009058CC">
            <w:pPr>
              <w:rPr>
                <w:lang w:eastAsia="en-AU"/>
              </w:rPr>
            </w:pPr>
            <w:r w:rsidRPr="00253EE9">
              <w:rPr>
                <w:lang w:eastAsia="en-AU"/>
              </w:rPr>
              <w:t>Reason given</w:t>
            </w:r>
          </w:p>
        </w:tc>
        <w:tc>
          <w:tcPr>
            <w:tcW w:w="1940" w:type="dxa"/>
            <w:gridSpan w:val="2"/>
            <w:noWrap/>
            <w:hideMark/>
          </w:tcPr>
          <w:p w14:paraId="721FAB55" w14:textId="77777777" w:rsidR="00893F46" w:rsidRPr="00253EE9" w:rsidRDefault="00893F46" w:rsidP="0088669A">
            <w:pPr>
              <w:jc w:val="center"/>
              <w:cnfStyle w:val="100000000000" w:firstRow="1" w:lastRow="0" w:firstColumn="0" w:lastColumn="0" w:oddVBand="0" w:evenVBand="0" w:oddHBand="0" w:evenHBand="0" w:firstRowFirstColumn="0" w:firstRowLastColumn="0" w:lastRowFirstColumn="0" w:lastRowLastColumn="0"/>
              <w:rPr>
                <w:lang w:eastAsia="en-AU"/>
              </w:rPr>
            </w:pPr>
          </w:p>
          <w:p w14:paraId="19DD9A7A" w14:textId="77777777" w:rsidR="00F93E9C" w:rsidRPr="00253EE9" w:rsidRDefault="00F93E9C" w:rsidP="0088669A">
            <w:pPr>
              <w:jc w:val="center"/>
              <w:cnfStyle w:val="100000000000" w:firstRow="1" w:lastRow="0" w:firstColumn="0" w:lastColumn="0" w:oddVBand="0" w:evenVBand="0" w:oddHBand="0" w:evenHBand="0" w:firstRowFirstColumn="0" w:firstRowLastColumn="0" w:lastRowFirstColumn="0" w:lastRowLastColumn="0"/>
              <w:rPr>
                <w:lang w:eastAsia="en-AU"/>
              </w:rPr>
            </w:pPr>
            <w:r w:rsidRPr="00253EE9">
              <w:rPr>
                <w:lang w:eastAsia="en-AU"/>
              </w:rPr>
              <w:t>%</w:t>
            </w:r>
          </w:p>
        </w:tc>
        <w:tc>
          <w:tcPr>
            <w:tcW w:w="1920" w:type="dxa"/>
            <w:gridSpan w:val="2"/>
            <w:noWrap/>
            <w:hideMark/>
          </w:tcPr>
          <w:p w14:paraId="43FCC1DB" w14:textId="77777777" w:rsidR="00893F46" w:rsidRPr="00253EE9" w:rsidRDefault="00893F46" w:rsidP="0088669A">
            <w:pPr>
              <w:jc w:val="center"/>
              <w:cnfStyle w:val="100000000000" w:firstRow="1" w:lastRow="0" w:firstColumn="0" w:lastColumn="0" w:oddVBand="0" w:evenVBand="0" w:oddHBand="0" w:evenHBand="0" w:firstRowFirstColumn="0" w:firstRowLastColumn="0" w:lastRowFirstColumn="0" w:lastRowLastColumn="0"/>
              <w:rPr>
                <w:lang w:eastAsia="en-AU"/>
              </w:rPr>
            </w:pPr>
          </w:p>
          <w:p w14:paraId="657C0BB1" w14:textId="77777777" w:rsidR="00F93E9C" w:rsidRPr="00253EE9" w:rsidRDefault="00F93E9C" w:rsidP="0088669A">
            <w:pPr>
              <w:jc w:val="center"/>
              <w:cnfStyle w:val="100000000000" w:firstRow="1" w:lastRow="0" w:firstColumn="0" w:lastColumn="0" w:oddVBand="0" w:evenVBand="0" w:oddHBand="0" w:evenHBand="0" w:firstRowFirstColumn="0" w:firstRowLastColumn="0" w:lastRowFirstColumn="0" w:lastRowLastColumn="0"/>
              <w:rPr>
                <w:lang w:eastAsia="en-AU"/>
              </w:rPr>
            </w:pPr>
            <w:r w:rsidRPr="00253EE9">
              <w:rPr>
                <w:lang w:eastAsia="en-AU"/>
              </w:rPr>
              <w:t>n</w:t>
            </w:r>
          </w:p>
        </w:tc>
      </w:tr>
      <w:tr w:rsidR="00253EE9" w:rsidRPr="00253EE9" w14:paraId="7AEE0753" w14:textId="77777777" w:rsidTr="008866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40" w:type="dxa"/>
            <w:noWrap/>
            <w:hideMark/>
          </w:tcPr>
          <w:p w14:paraId="49A4E86C" w14:textId="77777777" w:rsidR="00F93E9C" w:rsidRPr="00253EE9" w:rsidRDefault="00F93E9C" w:rsidP="009058CC">
            <w:pPr>
              <w:rPr>
                <w:sz w:val="22"/>
                <w:szCs w:val="22"/>
                <w:lang w:eastAsia="en-AU"/>
              </w:rPr>
            </w:pPr>
          </w:p>
        </w:tc>
        <w:tc>
          <w:tcPr>
            <w:tcW w:w="970" w:type="dxa"/>
            <w:noWrap/>
            <w:hideMark/>
          </w:tcPr>
          <w:p w14:paraId="5675417D"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Mar-18</w:t>
            </w:r>
          </w:p>
        </w:tc>
        <w:tc>
          <w:tcPr>
            <w:tcW w:w="970" w:type="dxa"/>
            <w:noWrap/>
            <w:hideMark/>
          </w:tcPr>
          <w:p w14:paraId="6B5E3279"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Mar-17</w:t>
            </w:r>
          </w:p>
        </w:tc>
        <w:tc>
          <w:tcPr>
            <w:tcW w:w="960" w:type="dxa"/>
            <w:noWrap/>
            <w:hideMark/>
          </w:tcPr>
          <w:p w14:paraId="17C33289"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Mar-18</w:t>
            </w:r>
          </w:p>
        </w:tc>
        <w:tc>
          <w:tcPr>
            <w:tcW w:w="960" w:type="dxa"/>
            <w:noWrap/>
            <w:hideMark/>
          </w:tcPr>
          <w:p w14:paraId="36767EDF"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Mar-17</w:t>
            </w:r>
          </w:p>
        </w:tc>
      </w:tr>
      <w:tr w:rsidR="00253EE9" w:rsidRPr="00253EE9" w14:paraId="5EF6C7A5" w14:textId="77777777" w:rsidTr="0088669A">
        <w:trPr>
          <w:trHeight w:val="315"/>
        </w:trPr>
        <w:tc>
          <w:tcPr>
            <w:cnfStyle w:val="001000000000" w:firstRow="0" w:lastRow="0" w:firstColumn="1" w:lastColumn="0" w:oddVBand="0" w:evenVBand="0" w:oddHBand="0" w:evenHBand="0" w:firstRowFirstColumn="0" w:firstRowLastColumn="0" w:lastRowFirstColumn="0" w:lastRowLastColumn="0"/>
            <w:tcW w:w="4940" w:type="dxa"/>
            <w:noWrap/>
            <w:hideMark/>
          </w:tcPr>
          <w:p w14:paraId="189C04F3" w14:textId="77777777" w:rsidR="00F93E9C" w:rsidRPr="00253EE9" w:rsidRDefault="00F93E9C" w:rsidP="009058CC">
            <w:pPr>
              <w:rPr>
                <w:b w:val="0"/>
                <w:sz w:val="22"/>
                <w:szCs w:val="22"/>
                <w:lang w:eastAsia="en-AU"/>
              </w:rPr>
            </w:pPr>
            <w:r w:rsidRPr="00253EE9">
              <w:rPr>
                <w:b w:val="0"/>
                <w:sz w:val="22"/>
                <w:szCs w:val="22"/>
                <w:lang w:eastAsia="en-AU"/>
              </w:rPr>
              <w:t>Lack of suitable/qualified candidates</w:t>
            </w:r>
          </w:p>
        </w:tc>
        <w:tc>
          <w:tcPr>
            <w:tcW w:w="970" w:type="dxa"/>
            <w:noWrap/>
            <w:hideMark/>
          </w:tcPr>
          <w:p w14:paraId="34769341"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43</w:t>
            </w:r>
          </w:p>
        </w:tc>
        <w:tc>
          <w:tcPr>
            <w:tcW w:w="970" w:type="dxa"/>
            <w:noWrap/>
            <w:hideMark/>
          </w:tcPr>
          <w:p w14:paraId="43FBE833"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29</w:t>
            </w:r>
          </w:p>
        </w:tc>
        <w:tc>
          <w:tcPr>
            <w:tcW w:w="960" w:type="dxa"/>
            <w:noWrap/>
            <w:hideMark/>
          </w:tcPr>
          <w:p w14:paraId="3207C039"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24</w:t>
            </w:r>
          </w:p>
        </w:tc>
        <w:tc>
          <w:tcPr>
            <w:tcW w:w="960" w:type="dxa"/>
            <w:noWrap/>
            <w:hideMark/>
          </w:tcPr>
          <w:p w14:paraId="6E66206C"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20</w:t>
            </w:r>
          </w:p>
        </w:tc>
      </w:tr>
      <w:tr w:rsidR="00253EE9" w:rsidRPr="00253EE9" w14:paraId="47A07D1A" w14:textId="77777777" w:rsidTr="008866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40" w:type="dxa"/>
            <w:noWrap/>
            <w:hideMark/>
          </w:tcPr>
          <w:p w14:paraId="3C55DAE2" w14:textId="77777777" w:rsidR="00F93E9C" w:rsidRPr="00253EE9" w:rsidRDefault="00F93E9C" w:rsidP="009058CC">
            <w:pPr>
              <w:rPr>
                <w:b w:val="0"/>
                <w:sz w:val="22"/>
                <w:szCs w:val="22"/>
                <w:lang w:eastAsia="en-AU"/>
              </w:rPr>
            </w:pPr>
            <w:r w:rsidRPr="00253EE9">
              <w:rPr>
                <w:b w:val="0"/>
                <w:sz w:val="22"/>
                <w:szCs w:val="22"/>
                <w:lang w:eastAsia="en-AU"/>
              </w:rPr>
              <w:t>Candidates unable/unwilling to meet job requirements</w:t>
            </w:r>
          </w:p>
        </w:tc>
        <w:tc>
          <w:tcPr>
            <w:tcW w:w="970" w:type="dxa"/>
            <w:noWrap/>
            <w:hideMark/>
          </w:tcPr>
          <w:p w14:paraId="44BAF70E"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29</w:t>
            </w:r>
          </w:p>
        </w:tc>
        <w:tc>
          <w:tcPr>
            <w:tcW w:w="970" w:type="dxa"/>
            <w:noWrap/>
            <w:hideMark/>
          </w:tcPr>
          <w:p w14:paraId="53A49D97"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22</w:t>
            </w:r>
          </w:p>
        </w:tc>
        <w:tc>
          <w:tcPr>
            <w:tcW w:w="960" w:type="dxa"/>
            <w:noWrap/>
            <w:hideMark/>
          </w:tcPr>
          <w:p w14:paraId="6D3E8AF6"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16</w:t>
            </w:r>
          </w:p>
        </w:tc>
        <w:tc>
          <w:tcPr>
            <w:tcW w:w="960" w:type="dxa"/>
            <w:noWrap/>
            <w:hideMark/>
          </w:tcPr>
          <w:p w14:paraId="1365E8CB"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15</w:t>
            </w:r>
          </w:p>
        </w:tc>
      </w:tr>
      <w:tr w:rsidR="00253EE9" w:rsidRPr="00253EE9" w14:paraId="71EFEA1D" w14:textId="77777777" w:rsidTr="0088669A">
        <w:trPr>
          <w:trHeight w:val="315"/>
        </w:trPr>
        <w:tc>
          <w:tcPr>
            <w:cnfStyle w:val="001000000000" w:firstRow="0" w:lastRow="0" w:firstColumn="1" w:lastColumn="0" w:oddVBand="0" w:evenVBand="0" w:oddHBand="0" w:evenHBand="0" w:firstRowFirstColumn="0" w:firstRowLastColumn="0" w:lastRowFirstColumn="0" w:lastRowLastColumn="0"/>
            <w:tcW w:w="4940" w:type="dxa"/>
            <w:noWrap/>
            <w:hideMark/>
          </w:tcPr>
          <w:p w14:paraId="72EC219D" w14:textId="77777777" w:rsidR="00F93E9C" w:rsidRPr="00253EE9" w:rsidRDefault="00F93E9C" w:rsidP="009058CC">
            <w:pPr>
              <w:rPr>
                <w:b w:val="0"/>
                <w:sz w:val="22"/>
                <w:szCs w:val="22"/>
                <w:lang w:eastAsia="en-AU"/>
              </w:rPr>
            </w:pPr>
            <w:r w:rsidRPr="00253EE9">
              <w:rPr>
                <w:b w:val="0"/>
                <w:sz w:val="22"/>
                <w:szCs w:val="22"/>
                <w:lang w:eastAsia="en-AU"/>
              </w:rPr>
              <w:t>Geographical factors</w:t>
            </w:r>
          </w:p>
        </w:tc>
        <w:tc>
          <w:tcPr>
            <w:tcW w:w="970" w:type="dxa"/>
            <w:noWrap/>
            <w:hideMark/>
          </w:tcPr>
          <w:p w14:paraId="67D275B3"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13</w:t>
            </w:r>
          </w:p>
        </w:tc>
        <w:tc>
          <w:tcPr>
            <w:tcW w:w="970" w:type="dxa"/>
            <w:noWrap/>
            <w:hideMark/>
          </w:tcPr>
          <w:p w14:paraId="0FFA4300"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13</w:t>
            </w:r>
          </w:p>
        </w:tc>
        <w:tc>
          <w:tcPr>
            <w:tcW w:w="960" w:type="dxa"/>
            <w:noWrap/>
            <w:hideMark/>
          </w:tcPr>
          <w:p w14:paraId="0EE90ADB"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7</w:t>
            </w:r>
          </w:p>
        </w:tc>
        <w:tc>
          <w:tcPr>
            <w:tcW w:w="960" w:type="dxa"/>
            <w:noWrap/>
            <w:hideMark/>
          </w:tcPr>
          <w:p w14:paraId="1D521B59"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9</w:t>
            </w:r>
          </w:p>
        </w:tc>
      </w:tr>
      <w:tr w:rsidR="00253EE9" w:rsidRPr="00253EE9" w14:paraId="5A4C9FA8" w14:textId="77777777" w:rsidTr="008866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40" w:type="dxa"/>
            <w:noWrap/>
            <w:hideMark/>
          </w:tcPr>
          <w:p w14:paraId="1BF55100" w14:textId="77777777" w:rsidR="00F93E9C" w:rsidRPr="00253EE9" w:rsidRDefault="00F93E9C" w:rsidP="009058CC">
            <w:pPr>
              <w:rPr>
                <w:b w:val="0"/>
                <w:sz w:val="22"/>
                <w:szCs w:val="22"/>
                <w:lang w:eastAsia="en-AU"/>
              </w:rPr>
            </w:pPr>
            <w:r w:rsidRPr="00253EE9">
              <w:rPr>
                <w:b w:val="0"/>
                <w:sz w:val="22"/>
                <w:szCs w:val="22"/>
                <w:lang w:eastAsia="en-AU"/>
              </w:rPr>
              <w:t>Poor employment conditions and/or job prospects</w:t>
            </w:r>
          </w:p>
        </w:tc>
        <w:tc>
          <w:tcPr>
            <w:tcW w:w="970" w:type="dxa"/>
            <w:noWrap/>
            <w:hideMark/>
          </w:tcPr>
          <w:p w14:paraId="2D312739"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9</w:t>
            </w:r>
          </w:p>
        </w:tc>
        <w:tc>
          <w:tcPr>
            <w:tcW w:w="970" w:type="dxa"/>
            <w:noWrap/>
            <w:hideMark/>
          </w:tcPr>
          <w:p w14:paraId="51BA6E5A"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13</w:t>
            </w:r>
          </w:p>
        </w:tc>
        <w:tc>
          <w:tcPr>
            <w:tcW w:w="960" w:type="dxa"/>
            <w:noWrap/>
            <w:hideMark/>
          </w:tcPr>
          <w:p w14:paraId="782858D2"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5</w:t>
            </w:r>
          </w:p>
        </w:tc>
        <w:tc>
          <w:tcPr>
            <w:tcW w:w="960" w:type="dxa"/>
            <w:noWrap/>
            <w:hideMark/>
          </w:tcPr>
          <w:p w14:paraId="3EE4603B"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9</w:t>
            </w:r>
          </w:p>
        </w:tc>
      </w:tr>
      <w:tr w:rsidR="00253EE9" w:rsidRPr="00253EE9" w14:paraId="444435E3" w14:textId="77777777" w:rsidTr="0088669A">
        <w:trPr>
          <w:trHeight w:val="315"/>
        </w:trPr>
        <w:tc>
          <w:tcPr>
            <w:cnfStyle w:val="001000000000" w:firstRow="0" w:lastRow="0" w:firstColumn="1" w:lastColumn="0" w:oddVBand="0" w:evenVBand="0" w:oddHBand="0" w:evenHBand="0" w:firstRowFirstColumn="0" w:firstRowLastColumn="0" w:lastRowFirstColumn="0" w:lastRowLastColumn="0"/>
            <w:tcW w:w="4940" w:type="dxa"/>
            <w:noWrap/>
            <w:hideMark/>
          </w:tcPr>
          <w:p w14:paraId="4895E345" w14:textId="77777777" w:rsidR="00F93E9C" w:rsidRPr="00253EE9" w:rsidRDefault="00F93E9C" w:rsidP="009058CC">
            <w:pPr>
              <w:rPr>
                <w:b w:val="0"/>
                <w:sz w:val="22"/>
                <w:szCs w:val="22"/>
                <w:lang w:eastAsia="en-AU"/>
              </w:rPr>
            </w:pPr>
            <w:r w:rsidRPr="00253EE9">
              <w:rPr>
                <w:b w:val="0"/>
                <w:sz w:val="22"/>
                <w:szCs w:val="22"/>
                <w:lang w:eastAsia="en-AU"/>
              </w:rPr>
              <w:t>Organisational  factors</w:t>
            </w:r>
          </w:p>
        </w:tc>
        <w:tc>
          <w:tcPr>
            <w:tcW w:w="970" w:type="dxa"/>
            <w:noWrap/>
            <w:hideMark/>
          </w:tcPr>
          <w:p w14:paraId="393CB5D8"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w:t>
            </w:r>
          </w:p>
        </w:tc>
        <w:tc>
          <w:tcPr>
            <w:tcW w:w="970" w:type="dxa"/>
            <w:noWrap/>
            <w:hideMark/>
          </w:tcPr>
          <w:p w14:paraId="6918E8E5"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9</w:t>
            </w:r>
          </w:p>
        </w:tc>
        <w:tc>
          <w:tcPr>
            <w:tcW w:w="960" w:type="dxa"/>
            <w:noWrap/>
            <w:hideMark/>
          </w:tcPr>
          <w:p w14:paraId="7BAB99B1"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1</w:t>
            </w:r>
          </w:p>
        </w:tc>
        <w:tc>
          <w:tcPr>
            <w:tcW w:w="960" w:type="dxa"/>
            <w:noWrap/>
            <w:hideMark/>
          </w:tcPr>
          <w:p w14:paraId="013408DA"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6</w:t>
            </w:r>
          </w:p>
        </w:tc>
      </w:tr>
      <w:tr w:rsidR="00253EE9" w:rsidRPr="00253EE9" w14:paraId="49878DA9" w14:textId="77777777" w:rsidTr="008866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40" w:type="dxa"/>
            <w:noWrap/>
            <w:hideMark/>
          </w:tcPr>
          <w:p w14:paraId="07D42321" w14:textId="77777777" w:rsidR="00F93E9C" w:rsidRPr="00253EE9" w:rsidRDefault="00F93E9C" w:rsidP="009058CC">
            <w:pPr>
              <w:rPr>
                <w:b w:val="0"/>
                <w:sz w:val="22"/>
                <w:szCs w:val="22"/>
                <w:lang w:eastAsia="en-AU"/>
              </w:rPr>
            </w:pPr>
            <w:r w:rsidRPr="00253EE9">
              <w:rPr>
                <w:b w:val="0"/>
                <w:sz w:val="22"/>
                <w:szCs w:val="22"/>
                <w:lang w:eastAsia="en-AU"/>
              </w:rPr>
              <w:t>Limited labour supply for the expanding vacancies</w:t>
            </w:r>
          </w:p>
        </w:tc>
        <w:tc>
          <w:tcPr>
            <w:tcW w:w="970" w:type="dxa"/>
            <w:noWrap/>
            <w:hideMark/>
          </w:tcPr>
          <w:p w14:paraId="705469E0"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2</w:t>
            </w:r>
          </w:p>
        </w:tc>
        <w:tc>
          <w:tcPr>
            <w:tcW w:w="970" w:type="dxa"/>
            <w:noWrap/>
            <w:hideMark/>
          </w:tcPr>
          <w:p w14:paraId="716E9BC0"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7</w:t>
            </w:r>
          </w:p>
        </w:tc>
        <w:tc>
          <w:tcPr>
            <w:tcW w:w="960" w:type="dxa"/>
            <w:noWrap/>
            <w:hideMark/>
          </w:tcPr>
          <w:p w14:paraId="3B5A0BD0"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w:t>
            </w:r>
          </w:p>
        </w:tc>
        <w:tc>
          <w:tcPr>
            <w:tcW w:w="960" w:type="dxa"/>
            <w:noWrap/>
            <w:hideMark/>
          </w:tcPr>
          <w:p w14:paraId="0883F62B"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5</w:t>
            </w:r>
          </w:p>
        </w:tc>
      </w:tr>
      <w:tr w:rsidR="00253EE9" w:rsidRPr="00253EE9" w14:paraId="4D969BDF" w14:textId="77777777" w:rsidTr="0088669A">
        <w:trPr>
          <w:trHeight w:val="315"/>
        </w:trPr>
        <w:tc>
          <w:tcPr>
            <w:cnfStyle w:val="001000000000" w:firstRow="0" w:lastRow="0" w:firstColumn="1" w:lastColumn="0" w:oddVBand="0" w:evenVBand="0" w:oddHBand="0" w:evenHBand="0" w:firstRowFirstColumn="0" w:firstRowLastColumn="0" w:lastRowFirstColumn="0" w:lastRowLastColumn="0"/>
            <w:tcW w:w="4940" w:type="dxa"/>
            <w:noWrap/>
            <w:hideMark/>
          </w:tcPr>
          <w:p w14:paraId="70527584" w14:textId="77777777" w:rsidR="00F93E9C" w:rsidRPr="00253EE9" w:rsidRDefault="00F93E9C" w:rsidP="009058CC">
            <w:pPr>
              <w:rPr>
                <w:b w:val="0"/>
                <w:sz w:val="22"/>
                <w:szCs w:val="22"/>
                <w:lang w:eastAsia="en-AU"/>
              </w:rPr>
            </w:pPr>
            <w:r w:rsidRPr="00253EE9">
              <w:rPr>
                <w:b w:val="0"/>
                <w:sz w:val="22"/>
                <w:szCs w:val="22"/>
                <w:lang w:eastAsia="en-AU"/>
              </w:rPr>
              <w:t>Seasonal factors</w:t>
            </w:r>
          </w:p>
        </w:tc>
        <w:tc>
          <w:tcPr>
            <w:tcW w:w="970" w:type="dxa"/>
            <w:noWrap/>
            <w:hideMark/>
          </w:tcPr>
          <w:p w14:paraId="26734317"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0</w:t>
            </w:r>
          </w:p>
        </w:tc>
        <w:tc>
          <w:tcPr>
            <w:tcW w:w="970" w:type="dxa"/>
            <w:noWrap/>
            <w:hideMark/>
          </w:tcPr>
          <w:p w14:paraId="2EE17FD4"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3</w:t>
            </w:r>
          </w:p>
        </w:tc>
        <w:tc>
          <w:tcPr>
            <w:tcW w:w="960" w:type="dxa"/>
            <w:noWrap/>
            <w:hideMark/>
          </w:tcPr>
          <w:p w14:paraId="1BF1C3E1"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0</w:t>
            </w:r>
          </w:p>
        </w:tc>
        <w:tc>
          <w:tcPr>
            <w:tcW w:w="960" w:type="dxa"/>
            <w:noWrap/>
            <w:hideMark/>
          </w:tcPr>
          <w:p w14:paraId="24F45CBE" w14:textId="77777777" w:rsidR="00F93E9C" w:rsidRPr="00253EE9" w:rsidRDefault="00F93E9C" w:rsidP="0088669A">
            <w:pPr>
              <w:jc w:val="right"/>
              <w:cnfStyle w:val="000000000000" w:firstRow="0" w:lastRow="0" w:firstColumn="0" w:lastColumn="0" w:oddVBand="0" w:evenVBand="0" w:oddHBand="0" w:evenHBand="0" w:firstRowFirstColumn="0" w:firstRowLastColumn="0" w:lastRowFirstColumn="0" w:lastRowLastColumn="0"/>
              <w:rPr>
                <w:sz w:val="22"/>
                <w:szCs w:val="22"/>
                <w:lang w:eastAsia="en-AU"/>
              </w:rPr>
            </w:pPr>
            <w:r w:rsidRPr="00253EE9">
              <w:rPr>
                <w:sz w:val="22"/>
                <w:szCs w:val="22"/>
                <w:lang w:eastAsia="en-AU"/>
              </w:rPr>
              <w:t>2</w:t>
            </w:r>
          </w:p>
        </w:tc>
      </w:tr>
      <w:tr w:rsidR="00253EE9" w:rsidRPr="00253EE9" w14:paraId="7895B3B1" w14:textId="77777777" w:rsidTr="008866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40" w:type="dxa"/>
            <w:noWrap/>
            <w:hideMark/>
          </w:tcPr>
          <w:p w14:paraId="25E6925B" w14:textId="77777777" w:rsidR="00F93E9C" w:rsidRPr="00253EE9" w:rsidRDefault="00F93E9C" w:rsidP="009058CC">
            <w:pPr>
              <w:rPr>
                <w:b w:val="0"/>
                <w:sz w:val="22"/>
                <w:szCs w:val="22"/>
                <w:lang w:eastAsia="en-AU"/>
              </w:rPr>
            </w:pPr>
            <w:r w:rsidRPr="00253EE9">
              <w:rPr>
                <w:b w:val="0"/>
                <w:sz w:val="22"/>
                <w:szCs w:val="22"/>
                <w:lang w:eastAsia="en-AU"/>
              </w:rPr>
              <w:t>Total (including other)</w:t>
            </w:r>
          </w:p>
        </w:tc>
        <w:tc>
          <w:tcPr>
            <w:tcW w:w="970" w:type="dxa"/>
            <w:noWrap/>
            <w:hideMark/>
          </w:tcPr>
          <w:p w14:paraId="19896675"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100</w:t>
            </w:r>
          </w:p>
        </w:tc>
        <w:tc>
          <w:tcPr>
            <w:tcW w:w="970" w:type="dxa"/>
            <w:noWrap/>
            <w:hideMark/>
          </w:tcPr>
          <w:p w14:paraId="472C4F39"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100</w:t>
            </w:r>
          </w:p>
        </w:tc>
        <w:tc>
          <w:tcPr>
            <w:tcW w:w="960" w:type="dxa"/>
            <w:noWrap/>
            <w:hideMark/>
          </w:tcPr>
          <w:p w14:paraId="09E82ACE"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57</w:t>
            </w:r>
          </w:p>
        </w:tc>
        <w:tc>
          <w:tcPr>
            <w:tcW w:w="960" w:type="dxa"/>
            <w:noWrap/>
            <w:hideMark/>
          </w:tcPr>
          <w:p w14:paraId="2ABEE64C" w14:textId="77777777" w:rsidR="00F93E9C" w:rsidRPr="00253EE9" w:rsidRDefault="00F93E9C" w:rsidP="0088669A">
            <w:pPr>
              <w:jc w:val="right"/>
              <w:cnfStyle w:val="000000100000" w:firstRow="0" w:lastRow="0" w:firstColumn="0" w:lastColumn="0" w:oddVBand="0" w:evenVBand="0" w:oddHBand="1" w:evenHBand="0" w:firstRowFirstColumn="0" w:firstRowLastColumn="0" w:lastRowFirstColumn="0" w:lastRowLastColumn="0"/>
              <w:rPr>
                <w:sz w:val="22"/>
                <w:szCs w:val="22"/>
                <w:lang w:eastAsia="en-AU"/>
              </w:rPr>
            </w:pPr>
            <w:r w:rsidRPr="00253EE9">
              <w:rPr>
                <w:sz w:val="22"/>
                <w:szCs w:val="22"/>
                <w:lang w:eastAsia="en-AU"/>
              </w:rPr>
              <w:t>69</w:t>
            </w:r>
          </w:p>
        </w:tc>
      </w:tr>
    </w:tbl>
    <w:p w14:paraId="221B9573" w14:textId="457656A3" w:rsidR="00F93E9C" w:rsidRPr="00253EE9" w:rsidRDefault="00F93E9C" w:rsidP="009058CC">
      <w:pPr>
        <w:rPr>
          <w:spacing w:val="-3"/>
          <w:w w:val="85"/>
        </w:rPr>
      </w:pPr>
      <w:r w:rsidRPr="00253EE9">
        <w:rPr>
          <w:b/>
          <w:w w:val="85"/>
        </w:rPr>
        <w:t>Notes:</w:t>
      </w:r>
      <w:r w:rsidRPr="00253EE9">
        <w:rPr>
          <w:b/>
          <w:spacing w:val="-13"/>
          <w:w w:val="85"/>
        </w:rPr>
        <w:t xml:space="preserve"> </w:t>
      </w:r>
      <w:r w:rsidRPr="00253EE9">
        <w:rPr>
          <w:w w:val="85"/>
        </w:rPr>
        <w:t>n</w:t>
      </w:r>
      <w:r w:rsidRPr="00253EE9">
        <w:rPr>
          <w:spacing w:val="-13"/>
          <w:w w:val="85"/>
        </w:rPr>
        <w:t xml:space="preserve"> </w:t>
      </w:r>
      <w:r w:rsidRPr="00253EE9">
        <w:rPr>
          <w:w w:val="85"/>
        </w:rPr>
        <w:t>is</w:t>
      </w:r>
      <w:r w:rsidRPr="00253EE9">
        <w:rPr>
          <w:spacing w:val="-13"/>
          <w:w w:val="85"/>
        </w:rPr>
        <w:t xml:space="preserve"> </w:t>
      </w:r>
      <w:r w:rsidRPr="00253EE9">
        <w:rPr>
          <w:w w:val="85"/>
        </w:rPr>
        <w:t>the number of time</w:t>
      </w:r>
      <w:r w:rsidR="00115E7F" w:rsidRPr="00253EE9">
        <w:rPr>
          <w:w w:val="85"/>
        </w:rPr>
        <w:t>s the reason was cited</w:t>
      </w:r>
      <w:r w:rsidRPr="00253EE9">
        <w:rPr>
          <w:w w:val="85"/>
        </w:rPr>
        <w:t>.</w:t>
      </w:r>
      <w:r w:rsidRPr="00253EE9">
        <w:rPr>
          <w:spacing w:val="-25"/>
          <w:w w:val="85"/>
        </w:rPr>
        <w:t xml:space="preserve"> </w:t>
      </w:r>
      <w:r w:rsidRPr="00253EE9">
        <w:rPr>
          <w:w w:val="85"/>
        </w:rPr>
        <w:t>This</w:t>
      </w:r>
      <w:r w:rsidRPr="00253EE9">
        <w:rPr>
          <w:spacing w:val="-13"/>
          <w:w w:val="85"/>
        </w:rPr>
        <w:t xml:space="preserve"> </w:t>
      </w:r>
      <w:r w:rsidRPr="00253EE9">
        <w:rPr>
          <w:w w:val="85"/>
        </w:rPr>
        <w:t>was</w:t>
      </w:r>
      <w:r w:rsidRPr="00253EE9">
        <w:rPr>
          <w:spacing w:val="-13"/>
          <w:w w:val="85"/>
        </w:rPr>
        <w:t xml:space="preserve"> </w:t>
      </w:r>
      <w:r w:rsidRPr="00253EE9">
        <w:rPr>
          <w:w w:val="85"/>
        </w:rPr>
        <w:t>an</w:t>
      </w:r>
      <w:r w:rsidRPr="00253EE9">
        <w:rPr>
          <w:spacing w:val="-13"/>
          <w:w w:val="85"/>
        </w:rPr>
        <w:t xml:space="preserve"> </w:t>
      </w:r>
      <w:r w:rsidRPr="00253EE9">
        <w:rPr>
          <w:w w:val="85"/>
        </w:rPr>
        <w:t>open-ended</w:t>
      </w:r>
      <w:r w:rsidRPr="00253EE9">
        <w:rPr>
          <w:spacing w:val="-12"/>
          <w:w w:val="85"/>
        </w:rPr>
        <w:t xml:space="preserve"> </w:t>
      </w:r>
      <w:r w:rsidRPr="00253EE9">
        <w:rPr>
          <w:w w:val="85"/>
        </w:rPr>
        <w:t>question</w:t>
      </w:r>
      <w:r w:rsidRPr="00253EE9">
        <w:rPr>
          <w:spacing w:val="-13"/>
          <w:w w:val="85"/>
        </w:rPr>
        <w:t xml:space="preserve"> </w:t>
      </w:r>
      <w:r w:rsidRPr="00253EE9">
        <w:rPr>
          <w:w w:val="85"/>
        </w:rPr>
        <w:t>so</w:t>
      </w:r>
      <w:r w:rsidRPr="00253EE9">
        <w:rPr>
          <w:spacing w:val="-13"/>
          <w:w w:val="85"/>
        </w:rPr>
        <w:t xml:space="preserve"> </w:t>
      </w:r>
      <w:r w:rsidRPr="00253EE9">
        <w:rPr>
          <w:w w:val="85"/>
        </w:rPr>
        <w:t>a</w:t>
      </w:r>
      <w:r w:rsidRPr="00253EE9">
        <w:rPr>
          <w:spacing w:val="-12"/>
          <w:w w:val="85"/>
        </w:rPr>
        <w:t xml:space="preserve"> </w:t>
      </w:r>
      <w:r w:rsidRPr="00253EE9">
        <w:rPr>
          <w:w w:val="85"/>
        </w:rPr>
        <w:t>respondent</w:t>
      </w:r>
      <w:r w:rsidRPr="00253EE9">
        <w:rPr>
          <w:spacing w:val="-13"/>
          <w:w w:val="85"/>
        </w:rPr>
        <w:t xml:space="preserve"> </w:t>
      </w:r>
      <w:r w:rsidRPr="00253EE9">
        <w:rPr>
          <w:w w:val="85"/>
        </w:rPr>
        <w:t>could</w:t>
      </w:r>
      <w:r w:rsidRPr="00253EE9">
        <w:rPr>
          <w:spacing w:val="-13"/>
          <w:w w:val="85"/>
        </w:rPr>
        <w:t xml:space="preserve"> </w:t>
      </w:r>
      <w:r w:rsidRPr="00253EE9">
        <w:rPr>
          <w:w w:val="85"/>
        </w:rPr>
        <w:t>mention</w:t>
      </w:r>
      <w:r w:rsidRPr="00253EE9">
        <w:rPr>
          <w:spacing w:val="-12"/>
          <w:w w:val="85"/>
        </w:rPr>
        <w:t xml:space="preserve"> </w:t>
      </w:r>
      <w:r w:rsidRPr="00253EE9">
        <w:rPr>
          <w:w w:val="85"/>
        </w:rPr>
        <w:t>more</w:t>
      </w:r>
      <w:r w:rsidRPr="00253EE9">
        <w:rPr>
          <w:spacing w:val="-13"/>
          <w:w w:val="85"/>
        </w:rPr>
        <w:t xml:space="preserve"> </w:t>
      </w:r>
      <w:r w:rsidRPr="00253EE9">
        <w:rPr>
          <w:w w:val="85"/>
        </w:rPr>
        <w:t>than</w:t>
      </w:r>
      <w:r w:rsidRPr="00253EE9">
        <w:rPr>
          <w:w w:val="83"/>
        </w:rPr>
        <w:t xml:space="preserve"> </w:t>
      </w:r>
      <w:r w:rsidRPr="00253EE9">
        <w:rPr>
          <w:w w:val="85"/>
        </w:rPr>
        <w:t>one</w:t>
      </w:r>
      <w:r w:rsidRPr="00253EE9">
        <w:rPr>
          <w:spacing w:val="-20"/>
          <w:w w:val="85"/>
        </w:rPr>
        <w:t xml:space="preserve"> </w:t>
      </w:r>
      <w:r w:rsidRPr="00253EE9">
        <w:rPr>
          <w:spacing w:val="-3"/>
          <w:w w:val="85"/>
        </w:rPr>
        <w:t>factor.</w:t>
      </w:r>
    </w:p>
    <w:p w14:paraId="2C360BB7" w14:textId="77777777" w:rsidR="0088669A" w:rsidRPr="00253EE9" w:rsidRDefault="0088669A" w:rsidP="009058CC"/>
    <w:p w14:paraId="174111E8" w14:textId="0E44D738" w:rsidR="00F93E9C" w:rsidRPr="00253EE9" w:rsidRDefault="00F93E9C" w:rsidP="009058CC">
      <w:r w:rsidRPr="00253EE9">
        <w:t xml:space="preserve">It is important to note that the success rate of filled vacancies is only one way of measuring recruitment difficulty. Indeed, a number of organisations remarked that even though they were successful in filling all advertised positions, they did </w:t>
      </w:r>
      <w:r w:rsidR="0088669A" w:rsidRPr="00253EE9">
        <w:t>so</w:t>
      </w:r>
      <w:r w:rsidRPr="00253EE9">
        <w:t xml:space="preserve"> reluctantly by recruiting unqualified staff just to meet the growing demand. In other words, there are ‘hidden recruitment difficulties’ not picked up through this data.</w:t>
      </w:r>
    </w:p>
    <w:p w14:paraId="306C3B6E" w14:textId="77777777" w:rsidR="0088669A" w:rsidRPr="00253EE9" w:rsidRDefault="0088669A" w:rsidP="009058CC">
      <w:pPr>
        <w:pStyle w:val="Heading2"/>
        <w:rPr>
          <w:rFonts w:eastAsia="Arial"/>
          <w:color w:val="auto"/>
        </w:rPr>
      </w:pPr>
    </w:p>
    <w:p w14:paraId="36589C71" w14:textId="249ECB5C" w:rsidR="00F93E9C" w:rsidRPr="00253EE9" w:rsidRDefault="00CE6950" w:rsidP="009058CC">
      <w:pPr>
        <w:pStyle w:val="Heading2"/>
        <w:rPr>
          <w:rFonts w:eastAsia="Arial"/>
          <w:color w:val="auto"/>
        </w:rPr>
      </w:pPr>
      <w:bookmarkStart w:id="39" w:name="_Toc519585311"/>
      <w:r w:rsidRPr="00253EE9">
        <w:rPr>
          <w:rFonts w:eastAsia="Arial"/>
          <w:color w:val="auto"/>
        </w:rPr>
        <w:t>Recruiting a</w:t>
      </w:r>
      <w:r w:rsidR="00F93E9C" w:rsidRPr="00253EE9">
        <w:rPr>
          <w:rFonts w:eastAsia="Arial"/>
          <w:color w:val="auto"/>
        </w:rPr>
        <w:t>llied health professionals</w:t>
      </w:r>
      <w:bookmarkEnd w:id="39"/>
    </w:p>
    <w:p w14:paraId="4330BD88" w14:textId="77777777" w:rsidR="0088669A" w:rsidRPr="00253EE9" w:rsidRDefault="0088669A" w:rsidP="009058CC"/>
    <w:p w14:paraId="00766682" w14:textId="4C53A504" w:rsidR="00F93E9C" w:rsidRPr="00253EE9" w:rsidRDefault="00F93E9C" w:rsidP="009058CC">
      <w:r w:rsidRPr="00253EE9">
        <w:t xml:space="preserve">Twenty five out of 26 organisations which entered data on allied health professionals responded to the </w:t>
      </w:r>
      <w:r w:rsidR="00115E7F" w:rsidRPr="00253EE9">
        <w:t>Spotlight Topics</w:t>
      </w:r>
      <w:r w:rsidRPr="00253EE9">
        <w:t xml:space="preserve"> on recruitment difficulty (96 per cent). Of these, </w:t>
      </w:r>
      <w:r w:rsidR="00115E7F" w:rsidRPr="00253EE9">
        <w:t>20</w:t>
      </w:r>
      <w:r w:rsidRPr="00253EE9">
        <w:t xml:space="preserve"> respondents indicated that they advertised to fill an allied health professional position in the March 2018 quarter (80%). </w:t>
      </w:r>
      <w:r w:rsidR="00115E7F" w:rsidRPr="00253EE9">
        <w:t>This was more than in</w:t>
      </w:r>
      <w:r w:rsidRPr="00253EE9">
        <w:t xml:space="preserve"> the March 2017 quarter, </w:t>
      </w:r>
      <w:r w:rsidR="00115E7F" w:rsidRPr="00253EE9">
        <w:t xml:space="preserve">when </w:t>
      </w:r>
      <w:r w:rsidRPr="00253EE9">
        <w:t>only 62 per cent of organisations did so.</w:t>
      </w:r>
    </w:p>
    <w:p w14:paraId="3FE3EAB0" w14:textId="77777777" w:rsidR="0088669A" w:rsidRPr="00253EE9" w:rsidRDefault="0088669A" w:rsidP="009058CC"/>
    <w:p w14:paraId="59473954" w14:textId="3FEE675D" w:rsidR="00F93E9C" w:rsidRPr="00253EE9" w:rsidRDefault="00F93E9C" w:rsidP="009058CC">
      <w:r w:rsidRPr="00253EE9">
        <w:t xml:space="preserve">While more organisations advertised, a smaller proportion of them were successful in filling all the vacancies. Only eight out of eighteen organisations (44%) were able to fill all advertised positions, compared to 64% in the March 2017 quarter. </w:t>
      </w:r>
    </w:p>
    <w:p w14:paraId="25AF4B70" w14:textId="77777777" w:rsidR="0088669A" w:rsidRPr="00253EE9" w:rsidRDefault="0088669A" w:rsidP="009058CC"/>
    <w:p w14:paraId="02013106" w14:textId="3A5E4F84" w:rsidR="0088669A" w:rsidRPr="00253EE9" w:rsidRDefault="00F93E9C" w:rsidP="009058CC">
      <w:r w:rsidRPr="00253EE9">
        <w:t xml:space="preserve">An estimated 27 allied health professional positions were unfilled (from 9 organisations reporting unfilled vacancies) in the March 2018 quarter, while 88 permanent and casual allied health positions were filled. In the March 2017, an estimated 10 positions were unfilled (from 4 organisations reporting unfilled vacancies), while 64 permanent and casual positions were filled. Note the sample size of allied health workforces is small in both quarters, hence, a direct comparison on the number of filled and unfilled positions between these the quarters is not recommended. </w:t>
      </w:r>
    </w:p>
    <w:p w14:paraId="727F8895" w14:textId="77777777" w:rsidR="00F93E9C" w:rsidRPr="00253EE9" w:rsidRDefault="00F93E9C" w:rsidP="009058CC">
      <w:r w:rsidRPr="00253EE9">
        <w:lastRenderedPageBreak/>
        <w:t>Some of the challenges in recruiting allied health professionals are similar to those faced by organisations recruiting disability support workers. They include the lack of suitable/qualified candidates, poor pay and rural and remote locations. A number of responses mentioned that the salary they can offer is unattractive when compared with the private sector or the adjacent aged care sector.</w:t>
      </w:r>
    </w:p>
    <w:p w14:paraId="50EDD7EF" w14:textId="77777777" w:rsidR="0088669A" w:rsidRPr="00253EE9" w:rsidRDefault="0088669A" w:rsidP="009058CC"/>
    <w:p w14:paraId="21A7BE35" w14:textId="1F27F3CC" w:rsidR="00F93E9C" w:rsidRPr="00253EE9" w:rsidRDefault="00F93E9C" w:rsidP="009058CC">
      <w:r w:rsidRPr="00253EE9">
        <w:t xml:space="preserve">Unlike disability support workers, increasing specificity in job requirements was not mentioned as a problem for organisations employing allied health professionals. A number of organisations did look for allied health professionals with specific </w:t>
      </w:r>
      <w:r w:rsidR="00115E7F" w:rsidRPr="00253EE9">
        <w:t xml:space="preserve">professional skills which were </w:t>
      </w:r>
      <w:r w:rsidRPr="00253EE9">
        <w:t xml:space="preserve">an ongoing problem for them to </w:t>
      </w:r>
      <w:r w:rsidR="00115E7F" w:rsidRPr="00253EE9">
        <w:t>locate.</w:t>
      </w:r>
    </w:p>
    <w:p w14:paraId="7095D420" w14:textId="77777777" w:rsidR="00115E7F" w:rsidRPr="00253EE9" w:rsidRDefault="00115E7F" w:rsidP="009058CC"/>
    <w:p w14:paraId="5E56187A" w14:textId="77777777" w:rsidR="00C8280E" w:rsidRPr="00253EE9" w:rsidRDefault="00C8280E" w:rsidP="00400224">
      <w:pPr>
        <w:pStyle w:val="Heading2"/>
        <w:rPr>
          <w:color w:val="auto"/>
        </w:rPr>
      </w:pPr>
      <w:bookmarkStart w:id="40" w:name="_Toc519585312"/>
      <w:r w:rsidRPr="00253EE9">
        <w:rPr>
          <w:color w:val="auto"/>
        </w:rPr>
        <w:t>Summary</w:t>
      </w:r>
      <w:bookmarkEnd w:id="40"/>
    </w:p>
    <w:p w14:paraId="34D7EFCA" w14:textId="77777777" w:rsidR="00400224" w:rsidRPr="00253EE9" w:rsidRDefault="00400224" w:rsidP="00400224"/>
    <w:p w14:paraId="1F06092D" w14:textId="77777777" w:rsidR="00400224" w:rsidRPr="00253EE9" w:rsidRDefault="00115E7F" w:rsidP="009058CC">
      <w:r w:rsidRPr="00253EE9">
        <w:t>The</w:t>
      </w:r>
      <w:r w:rsidR="00F93E9C" w:rsidRPr="00253EE9">
        <w:t xml:space="preserve"> results </w:t>
      </w:r>
      <w:r w:rsidR="00400224" w:rsidRPr="00253EE9">
        <w:t>indicate</w:t>
      </w:r>
      <w:r w:rsidR="00F93E9C" w:rsidRPr="00253EE9">
        <w:t xml:space="preserve"> the difficulty </w:t>
      </w:r>
      <w:r w:rsidR="00400224" w:rsidRPr="00253EE9">
        <w:t xml:space="preserve">experienced by organisations in the disability sector </w:t>
      </w:r>
      <w:r w:rsidR="00F93E9C" w:rsidRPr="00253EE9">
        <w:t>in employin</w:t>
      </w:r>
      <w:r w:rsidR="00400224" w:rsidRPr="00253EE9">
        <w:t>g allied health professionals</w:t>
      </w:r>
      <w:r w:rsidR="00F93E9C" w:rsidRPr="00253EE9">
        <w:t xml:space="preserve">. </w:t>
      </w:r>
    </w:p>
    <w:p w14:paraId="5F69A006" w14:textId="77777777" w:rsidR="00400224" w:rsidRPr="00253EE9" w:rsidRDefault="00400224" w:rsidP="009058CC"/>
    <w:p w14:paraId="03FFA437" w14:textId="35E3391F" w:rsidR="00400224" w:rsidRPr="00253EE9" w:rsidRDefault="00F93E9C" w:rsidP="009058CC">
      <w:r w:rsidRPr="00253EE9">
        <w:t xml:space="preserve">This result echoes the NDS Market Survey 2017, which found that </w:t>
      </w:r>
      <w:r w:rsidR="00400224" w:rsidRPr="00253EE9">
        <w:t xml:space="preserve">organisations ranked </w:t>
      </w:r>
      <w:r w:rsidRPr="00253EE9">
        <w:t>allied health employees</w:t>
      </w:r>
      <w:r w:rsidR="00400224" w:rsidRPr="00253EE9">
        <w:t xml:space="preserve"> as the most difficult group to recruit</w:t>
      </w:r>
      <w:r w:rsidRPr="00253EE9">
        <w:t>.</w:t>
      </w:r>
      <w:r w:rsidR="00400224" w:rsidRPr="00253EE9">
        <w:rPr>
          <w:rStyle w:val="FootnoteReference"/>
        </w:rPr>
        <w:footnoteReference w:id="11"/>
      </w:r>
      <w:r w:rsidRPr="00253EE9">
        <w:t xml:space="preserve"> </w:t>
      </w:r>
      <w:r w:rsidR="00400224" w:rsidRPr="00253EE9">
        <w:t xml:space="preserve">Providers reported ‘extreme difficulty’ in recruiting specific allied health professions, with the following </w:t>
      </w:r>
      <w:r w:rsidR="00350F58" w:rsidRPr="00253EE9">
        <w:t xml:space="preserve">percentages </w:t>
      </w:r>
      <w:r w:rsidR="00400224" w:rsidRPr="00253EE9">
        <w:t>saying this about:</w:t>
      </w:r>
    </w:p>
    <w:p w14:paraId="24ADBDB6" w14:textId="77777777" w:rsidR="00400224" w:rsidRPr="00253EE9" w:rsidRDefault="00400224" w:rsidP="009058CC"/>
    <w:p w14:paraId="621B8FCF" w14:textId="3139D4AD" w:rsidR="00400224" w:rsidRPr="00253EE9" w:rsidRDefault="00400224" w:rsidP="00400224">
      <w:pPr>
        <w:pStyle w:val="ListParagraph"/>
        <w:numPr>
          <w:ilvl w:val="0"/>
          <w:numId w:val="16"/>
        </w:numPr>
      </w:pPr>
      <w:proofErr w:type="gramStart"/>
      <w:r w:rsidRPr="00253EE9">
        <w:t>psychologists</w:t>
      </w:r>
      <w:proofErr w:type="gramEnd"/>
      <w:r w:rsidRPr="00253EE9">
        <w:t xml:space="preserve"> </w:t>
      </w:r>
      <w:r w:rsidR="00736244" w:rsidRPr="00253EE9">
        <w:t>(</w:t>
      </w:r>
      <w:r w:rsidRPr="00253EE9">
        <w:t>41%</w:t>
      </w:r>
      <w:r w:rsidR="00736244" w:rsidRPr="00253EE9">
        <w:t>)</w:t>
      </w:r>
    </w:p>
    <w:p w14:paraId="1076827A" w14:textId="3CD49BE3" w:rsidR="00400224" w:rsidRPr="00253EE9" w:rsidRDefault="00400224" w:rsidP="00400224">
      <w:pPr>
        <w:pStyle w:val="ListParagraph"/>
        <w:numPr>
          <w:ilvl w:val="0"/>
          <w:numId w:val="16"/>
        </w:numPr>
      </w:pPr>
      <w:proofErr w:type="gramStart"/>
      <w:r w:rsidRPr="00253EE9">
        <w:t>physiotherapists</w:t>
      </w:r>
      <w:proofErr w:type="gramEnd"/>
      <w:r w:rsidRPr="00253EE9">
        <w:t xml:space="preserve"> </w:t>
      </w:r>
      <w:r w:rsidR="00736244" w:rsidRPr="00253EE9">
        <w:t>(</w:t>
      </w:r>
      <w:r w:rsidRPr="00253EE9">
        <w:t>36%</w:t>
      </w:r>
      <w:r w:rsidR="00736244" w:rsidRPr="00253EE9">
        <w:t>)</w:t>
      </w:r>
    </w:p>
    <w:p w14:paraId="2FFE078A" w14:textId="4DA6A40F" w:rsidR="00400224" w:rsidRPr="00253EE9" w:rsidRDefault="00400224" w:rsidP="00400224">
      <w:pPr>
        <w:pStyle w:val="ListParagraph"/>
        <w:numPr>
          <w:ilvl w:val="0"/>
          <w:numId w:val="16"/>
        </w:numPr>
      </w:pPr>
      <w:proofErr w:type="gramStart"/>
      <w:r w:rsidRPr="00253EE9">
        <w:t>occupational</w:t>
      </w:r>
      <w:proofErr w:type="gramEnd"/>
      <w:r w:rsidRPr="00253EE9">
        <w:t xml:space="preserve"> therapists </w:t>
      </w:r>
      <w:r w:rsidR="00736244" w:rsidRPr="00253EE9">
        <w:t>(</w:t>
      </w:r>
      <w:r w:rsidRPr="00253EE9">
        <w:t>27%</w:t>
      </w:r>
      <w:r w:rsidR="00736244" w:rsidRPr="00253EE9">
        <w:t>)</w:t>
      </w:r>
    </w:p>
    <w:p w14:paraId="5050A42E" w14:textId="0B201FEF" w:rsidR="00400224" w:rsidRPr="00253EE9" w:rsidRDefault="00400224" w:rsidP="00400224">
      <w:pPr>
        <w:pStyle w:val="ListParagraph"/>
        <w:numPr>
          <w:ilvl w:val="0"/>
          <w:numId w:val="16"/>
        </w:numPr>
      </w:pPr>
      <w:proofErr w:type="gramStart"/>
      <w:r w:rsidRPr="00253EE9">
        <w:t>speech</w:t>
      </w:r>
      <w:proofErr w:type="gramEnd"/>
      <w:r w:rsidRPr="00253EE9">
        <w:t xml:space="preserve"> therapists </w:t>
      </w:r>
      <w:r w:rsidR="00736244" w:rsidRPr="00253EE9">
        <w:t>(</w:t>
      </w:r>
      <w:r w:rsidRPr="00253EE9">
        <w:t>25%</w:t>
      </w:r>
      <w:r w:rsidR="00736244" w:rsidRPr="00253EE9">
        <w:t>)</w:t>
      </w:r>
    </w:p>
    <w:p w14:paraId="1E641668" w14:textId="77777777" w:rsidR="00350F58" w:rsidRPr="00253EE9" w:rsidRDefault="00350F58">
      <w:pPr>
        <w:spacing w:after="160"/>
      </w:pPr>
    </w:p>
    <w:p w14:paraId="299A1767" w14:textId="66F7C105" w:rsidR="00A70361" w:rsidRPr="00253EE9" w:rsidRDefault="00A70361">
      <w:pPr>
        <w:spacing w:after="160"/>
      </w:pPr>
      <w:r w:rsidRPr="00253EE9">
        <w:t>The NDIS rollout and state government divestment of services previously provided by public sector agencies means the disability sector is an industry growing quickly, rich with new jobs. It is not surprising that recruitment is a key focus for most services, with many experimenting with new ways to creatively source and attract workers.</w:t>
      </w:r>
    </w:p>
    <w:p w14:paraId="49B4CDA8" w14:textId="1259DA40" w:rsidR="00A70361" w:rsidRPr="00253EE9" w:rsidRDefault="00A70361">
      <w:pPr>
        <w:spacing w:after="160"/>
      </w:pPr>
      <w:r w:rsidRPr="00253EE9">
        <w:t xml:space="preserve">Workforce Wizard Spotlight Topic data </w:t>
      </w:r>
      <w:r w:rsidR="0071769F" w:rsidRPr="00253EE9">
        <w:t xml:space="preserve">highlights the volume of recruitment activity occurring, and the relative success providers are having with front line workers. </w:t>
      </w:r>
      <w:r w:rsidR="008112D8" w:rsidRPr="00253EE9">
        <w:t>Attracting</w:t>
      </w:r>
      <w:r w:rsidR="0071769F" w:rsidRPr="00253EE9">
        <w:t xml:space="preserve"> allied health professionals </w:t>
      </w:r>
      <w:r w:rsidR="008112D8" w:rsidRPr="00253EE9">
        <w:t xml:space="preserve">to the sector </w:t>
      </w:r>
      <w:r w:rsidR="0071769F" w:rsidRPr="00253EE9">
        <w:t>is a different story, despite the fact that the number of registered professionals in Australia has been growing at a healthy rate in recent years.</w:t>
      </w:r>
    </w:p>
    <w:p w14:paraId="1C168B6A" w14:textId="3027B0CA" w:rsidR="008112D8" w:rsidRPr="00253EE9" w:rsidRDefault="008112D8">
      <w:pPr>
        <w:spacing w:after="160"/>
      </w:pPr>
      <w:r w:rsidRPr="00253EE9">
        <w:t>As disability providers become more used to the NDIS and the pace of change eases, it will be important for them to focus as strongly on techniques to</w:t>
      </w:r>
      <w:r w:rsidRPr="00253EE9">
        <w:rPr>
          <w:b/>
        </w:rPr>
        <w:t xml:space="preserve"> keep</w:t>
      </w:r>
      <w:r w:rsidRPr="00253EE9">
        <w:t xml:space="preserve"> workers as to recruit them. The next Australian Disability Workforce Report will address this issue in more depth.</w:t>
      </w:r>
    </w:p>
    <w:p w14:paraId="7CADC538" w14:textId="3E688845" w:rsidR="00F93E9C" w:rsidRPr="00253EE9" w:rsidRDefault="0005346E" w:rsidP="0005346E">
      <w:pPr>
        <w:pStyle w:val="Heading1"/>
        <w:rPr>
          <w:rFonts w:ascii="Arial" w:hAnsi="Arial" w:cs="Arial"/>
          <w:color w:val="auto"/>
        </w:rPr>
      </w:pPr>
      <w:bookmarkStart w:id="41" w:name="_Toc519585313"/>
      <w:r w:rsidRPr="00253EE9">
        <w:rPr>
          <w:rFonts w:ascii="Arial" w:hAnsi="Arial" w:cs="Arial"/>
          <w:color w:val="auto"/>
        </w:rPr>
        <w:lastRenderedPageBreak/>
        <w:t>Appendix:</w:t>
      </w:r>
      <w:r w:rsidR="008F4F0C" w:rsidRPr="00253EE9">
        <w:rPr>
          <w:rFonts w:ascii="Arial" w:hAnsi="Arial" w:cs="Arial"/>
          <w:color w:val="auto"/>
        </w:rPr>
        <w:t xml:space="preserve"> Sample </w:t>
      </w:r>
      <w:r w:rsidR="00350F58" w:rsidRPr="00253EE9">
        <w:rPr>
          <w:rFonts w:ascii="Arial" w:hAnsi="Arial" w:cs="Arial"/>
          <w:color w:val="auto"/>
        </w:rPr>
        <w:t>s</w:t>
      </w:r>
      <w:r w:rsidR="008F4F0C" w:rsidRPr="00253EE9">
        <w:rPr>
          <w:rFonts w:ascii="Arial" w:hAnsi="Arial" w:cs="Arial"/>
          <w:color w:val="auto"/>
        </w:rPr>
        <w:t>ize</w:t>
      </w:r>
      <w:r w:rsidR="00350F58" w:rsidRPr="00253EE9">
        <w:rPr>
          <w:rFonts w:ascii="Arial" w:hAnsi="Arial" w:cs="Arial"/>
          <w:color w:val="auto"/>
        </w:rPr>
        <w:t>, Workforce Wizard users each quarter</w:t>
      </w:r>
      <w:bookmarkEnd w:id="41"/>
    </w:p>
    <w:p w14:paraId="7B008164" w14:textId="77777777" w:rsidR="0005346E" w:rsidRPr="00253EE9" w:rsidRDefault="0005346E" w:rsidP="0005346E"/>
    <w:p w14:paraId="37D0623A" w14:textId="5E290075" w:rsidR="008F4F0C" w:rsidRPr="00253EE9" w:rsidRDefault="008F4F0C" w:rsidP="0005346E">
      <w:r w:rsidRPr="00253EE9">
        <w:t xml:space="preserve">Table A: Number of organisations (direct support workforce), by state </w:t>
      </w:r>
    </w:p>
    <w:tbl>
      <w:tblPr>
        <w:tblW w:w="7822" w:type="dxa"/>
        <w:tblLook w:val="04A0" w:firstRow="1" w:lastRow="0" w:firstColumn="1" w:lastColumn="0" w:noHBand="0" w:noVBand="1"/>
      </w:tblPr>
      <w:tblGrid>
        <w:gridCol w:w="942"/>
        <w:gridCol w:w="1205"/>
        <w:gridCol w:w="941"/>
        <w:gridCol w:w="1373"/>
        <w:gridCol w:w="941"/>
        <w:gridCol w:w="1050"/>
        <w:gridCol w:w="1157"/>
        <w:gridCol w:w="941"/>
      </w:tblGrid>
      <w:tr w:rsidR="00253EE9" w:rsidRPr="00253EE9" w14:paraId="76682432" w14:textId="77777777" w:rsidTr="008F4F0C">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7C218766"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 </w:t>
            </w:r>
          </w:p>
        </w:tc>
        <w:tc>
          <w:tcPr>
            <w:tcW w:w="960" w:type="dxa"/>
            <w:tcBorders>
              <w:top w:val="single" w:sz="4" w:space="0" w:color="auto"/>
              <w:left w:val="nil"/>
              <w:bottom w:val="single" w:sz="4" w:space="0" w:color="auto"/>
              <w:right w:val="nil"/>
            </w:tcBorders>
            <w:shd w:val="clear" w:color="auto" w:fill="auto"/>
            <w:noWrap/>
            <w:vAlign w:val="bottom"/>
            <w:hideMark/>
          </w:tcPr>
          <w:p w14:paraId="2D54463F" w14:textId="4EEC086F"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NSW</w:t>
            </w:r>
            <w:r w:rsidR="004D08D2" w:rsidRPr="00253EE9">
              <w:rPr>
                <w:rFonts w:eastAsia="Times New Roman"/>
                <w:sz w:val="22"/>
                <w:szCs w:val="22"/>
                <w:lang w:eastAsia="en-AU"/>
              </w:rPr>
              <w:t>/ACT</w:t>
            </w:r>
          </w:p>
        </w:tc>
        <w:tc>
          <w:tcPr>
            <w:tcW w:w="960" w:type="dxa"/>
            <w:tcBorders>
              <w:top w:val="single" w:sz="4" w:space="0" w:color="auto"/>
              <w:left w:val="nil"/>
              <w:bottom w:val="single" w:sz="4" w:space="0" w:color="auto"/>
              <w:right w:val="nil"/>
            </w:tcBorders>
            <w:shd w:val="clear" w:color="auto" w:fill="auto"/>
            <w:noWrap/>
            <w:vAlign w:val="bottom"/>
            <w:hideMark/>
          </w:tcPr>
          <w:p w14:paraId="1517B1D6"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NT/SA</w:t>
            </w:r>
          </w:p>
        </w:tc>
        <w:tc>
          <w:tcPr>
            <w:tcW w:w="1102" w:type="dxa"/>
            <w:tcBorders>
              <w:top w:val="single" w:sz="4" w:space="0" w:color="auto"/>
              <w:left w:val="nil"/>
              <w:bottom w:val="single" w:sz="4" w:space="0" w:color="auto"/>
              <w:right w:val="nil"/>
            </w:tcBorders>
            <w:shd w:val="clear" w:color="auto" w:fill="auto"/>
            <w:noWrap/>
            <w:vAlign w:val="bottom"/>
            <w:hideMark/>
          </w:tcPr>
          <w:p w14:paraId="490E1524"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Queensland</w:t>
            </w:r>
          </w:p>
        </w:tc>
        <w:tc>
          <w:tcPr>
            <w:tcW w:w="960" w:type="dxa"/>
            <w:tcBorders>
              <w:top w:val="single" w:sz="4" w:space="0" w:color="auto"/>
              <w:left w:val="nil"/>
              <w:bottom w:val="single" w:sz="4" w:space="0" w:color="auto"/>
              <w:right w:val="nil"/>
            </w:tcBorders>
            <w:shd w:val="clear" w:color="auto" w:fill="auto"/>
            <w:noWrap/>
            <w:vAlign w:val="bottom"/>
            <w:hideMark/>
          </w:tcPr>
          <w:p w14:paraId="3C4DDAF9"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Victoria</w:t>
            </w:r>
          </w:p>
        </w:tc>
        <w:tc>
          <w:tcPr>
            <w:tcW w:w="960" w:type="dxa"/>
            <w:tcBorders>
              <w:top w:val="single" w:sz="4" w:space="0" w:color="auto"/>
              <w:left w:val="nil"/>
              <w:bottom w:val="single" w:sz="4" w:space="0" w:color="auto"/>
              <w:right w:val="nil"/>
            </w:tcBorders>
            <w:shd w:val="clear" w:color="auto" w:fill="auto"/>
            <w:noWrap/>
            <w:vAlign w:val="bottom"/>
            <w:hideMark/>
          </w:tcPr>
          <w:p w14:paraId="11D65495"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Western Australia</w:t>
            </w:r>
          </w:p>
        </w:tc>
        <w:tc>
          <w:tcPr>
            <w:tcW w:w="960" w:type="dxa"/>
            <w:tcBorders>
              <w:top w:val="single" w:sz="4" w:space="0" w:color="auto"/>
              <w:left w:val="nil"/>
              <w:bottom w:val="single" w:sz="4" w:space="0" w:color="auto"/>
              <w:right w:val="nil"/>
            </w:tcBorders>
            <w:shd w:val="clear" w:color="auto" w:fill="auto"/>
            <w:noWrap/>
            <w:vAlign w:val="bottom"/>
            <w:hideMark/>
          </w:tcPr>
          <w:p w14:paraId="66778E9A"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Tasmania</w:t>
            </w:r>
          </w:p>
        </w:tc>
        <w:tc>
          <w:tcPr>
            <w:tcW w:w="960" w:type="dxa"/>
            <w:tcBorders>
              <w:top w:val="single" w:sz="4" w:space="0" w:color="auto"/>
              <w:left w:val="nil"/>
              <w:bottom w:val="single" w:sz="4" w:space="0" w:color="auto"/>
              <w:right w:val="nil"/>
            </w:tcBorders>
            <w:shd w:val="clear" w:color="auto" w:fill="auto"/>
            <w:noWrap/>
            <w:vAlign w:val="bottom"/>
            <w:hideMark/>
          </w:tcPr>
          <w:p w14:paraId="13A685CF"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Total</w:t>
            </w:r>
          </w:p>
        </w:tc>
      </w:tr>
      <w:tr w:rsidR="00253EE9" w:rsidRPr="00253EE9" w14:paraId="0D8152AA" w14:textId="77777777" w:rsidTr="008F4F0C">
        <w:trPr>
          <w:trHeight w:val="300"/>
        </w:trPr>
        <w:tc>
          <w:tcPr>
            <w:tcW w:w="960" w:type="dxa"/>
            <w:tcBorders>
              <w:top w:val="nil"/>
              <w:left w:val="nil"/>
              <w:bottom w:val="nil"/>
              <w:right w:val="nil"/>
            </w:tcBorders>
            <w:shd w:val="clear" w:color="auto" w:fill="auto"/>
            <w:noWrap/>
            <w:vAlign w:val="bottom"/>
            <w:hideMark/>
          </w:tcPr>
          <w:p w14:paraId="144195BE"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Sep 15</w:t>
            </w:r>
          </w:p>
        </w:tc>
        <w:tc>
          <w:tcPr>
            <w:tcW w:w="960" w:type="dxa"/>
            <w:tcBorders>
              <w:top w:val="nil"/>
              <w:left w:val="nil"/>
              <w:bottom w:val="nil"/>
              <w:right w:val="nil"/>
            </w:tcBorders>
            <w:shd w:val="clear" w:color="auto" w:fill="auto"/>
            <w:noWrap/>
            <w:vAlign w:val="bottom"/>
            <w:hideMark/>
          </w:tcPr>
          <w:p w14:paraId="331A4C00"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47</w:t>
            </w:r>
          </w:p>
        </w:tc>
        <w:tc>
          <w:tcPr>
            <w:tcW w:w="960" w:type="dxa"/>
            <w:tcBorders>
              <w:top w:val="nil"/>
              <w:left w:val="nil"/>
              <w:bottom w:val="nil"/>
              <w:right w:val="nil"/>
            </w:tcBorders>
            <w:shd w:val="clear" w:color="auto" w:fill="auto"/>
            <w:noWrap/>
            <w:vAlign w:val="bottom"/>
            <w:hideMark/>
          </w:tcPr>
          <w:p w14:paraId="12E27BC3"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10</w:t>
            </w:r>
          </w:p>
        </w:tc>
        <w:tc>
          <w:tcPr>
            <w:tcW w:w="1102" w:type="dxa"/>
            <w:tcBorders>
              <w:top w:val="nil"/>
              <w:left w:val="nil"/>
              <w:bottom w:val="nil"/>
              <w:right w:val="nil"/>
            </w:tcBorders>
            <w:shd w:val="clear" w:color="auto" w:fill="auto"/>
            <w:noWrap/>
            <w:vAlign w:val="bottom"/>
            <w:hideMark/>
          </w:tcPr>
          <w:p w14:paraId="15B2A090"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16</w:t>
            </w:r>
          </w:p>
        </w:tc>
        <w:tc>
          <w:tcPr>
            <w:tcW w:w="960" w:type="dxa"/>
            <w:tcBorders>
              <w:top w:val="nil"/>
              <w:left w:val="nil"/>
              <w:bottom w:val="nil"/>
              <w:right w:val="nil"/>
            </w:tcBorders>
            <w:shd w:val="clear" w:color="auto" w:fill="auto"/>
            <w:noWrap/>
            <w:vAlign w:val="bottom"/>
            <w:hideMark/>
          </w:tcPr>
          <w:p w14:paraId="00C67B0D"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20</w:t>
            </w:r>
          </w:p>
        </w:tc>
        <w:tc>
          <w:tcPr>
            <w:tcW w:w="960" w:type="dxa"/>
            <w:tcBorders>
              <w:top w:val="nil"/>
              <w:left w:val="nil"/>
              <w:bottom w:val="nil"/>
              <w:right w:val="nil"/>
            </w:tcBorders>
            <w:shd w:val="clear" w:color="auto" w:fill="auto"/>
            <w:noWrap/>
            <w:vAlign w:val="bottom"/>
            <w:hideMark/>
          </w:tcPr>
          <w:p w14:paraId="596B40D1"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9</w:t>
            </w:r>
          </w:p>
        </w:tc>
        <w:tc>
          <w:tcPr>
            <w:tcW w:w="960" w:type="dxa"/>
            <w:tcBorders>
              <w:top w:val="nil"/>
              <w:left w:val="nil"/>
              <w:bottom w:val="nil"/>
              <w:right w:val="nil"/>
            </w:tcBorders>
            <w:shd w:val="clear" w:color="auto" w:fill="auto"/>
            <w:noWrap/>
            <w:vAlign w:val="bottom"/>
            <w:hideMark/>
          </w:tcPr>
          <w:p w14:paraId="02A27A62"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8</w:t>
            </w:r>
          </w:p>
        </w:tc>
        <w:tc>
          <w:tcPr>
            <w:tcW w:w="960" w:type="dxa"/>
            <w:tcBorders>
              <w:top w:val="nil"/>
              <w:left w:val="nil"/>
              <w:bottom w:val="nil"/>
              <w:right w:val="nil"/>
            </w:tcBorders>
            <w:shd w:val="clear" w:color="auto" w:fill="auto"/>
            <w:noWrap/>
            <w:vAlign w:val="bottom"/>
            <w:hideMark/>
          </w:tcPr>
          <w:p w14:paraId="2E3DA21F"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110</w:t>
            </w:r>
          </w:p>
        </w:tc>
      </w:tr>
      <w:tr w:rsidR="00253EE9" w:rsidRPr="00253EE9" w14:paraId="305D296C" w14:textId="77777777" w:rsidTr="008F4F0C">
        <w:trPr>
          <w:trHeight w:val="300"/>
        </w:trPr>
        <w:tc>
          <w:tcPr>
            <w:tcW w:w="960" w:type="dxa"/>
            <w:tcBorders>
              <w:top w:val="nil"/>
              <w:left w:val="nil"/>
              <w:bottom w:val="nil"/>
              <w:right w:val="nil"/>
            </w:tcBorders>
            <w:shd w:val="clear" w:color="auto" w:fill="auto"/>
            <w:noWrap/>
            <w:vAlign w:val="bottom"/>
            <w:hideMark/>
          </w:tcPr>
          <w:p w14:paraId="354CEE3E"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Dec 15</w:t>
            </w:r>
          </w:p>
        </w:tc>
        <w:tc>
          <w:tcPr>
            <w:tcW w:w="960" w:type="dxa"/>
            <w:tcBorders>
              <w:top w:val="nil"/>
              <w:left w:val="nil"/>
              <w:bottom w:val="nil"/>
              <w:right w:val="nil"/>
            </w:tcBorders>
            <w:shd w:val="clear" w:color="auto" w:fill="auto"/>
            <w:noWrap/>
            <w:vAlign w:val="bottom"/>
            <w:hideMark/>
          </w:tcPr>
          <w:p w14:paraId="635C99FC"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39</w:t>
            </w:r>
          </w:p>
        </w:tc>
        <w:tc>
          <w:tcPr>
            <w:tcW w:w="960" w:type="dxa"/>
            <w:tcBorders>
              <w:top w:val="nil"/>
              <w:left w:val="nil"/>
              <w:bottom w:val="nil"/>
              <w:right w:val="nil"/>
            </w:tcBorders>
            <w:shd w:val="clear" w:color="auto" w:fill="auto"/>
            <w:noWrap/>
            <w:vAlign w:val="bottom"/>
            <w:hideMark/>
          </w:tcPr>
          <w:p w14:paraId="728C541A"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16</w:t>
            </w:r>
          </w:p>
        </w:tc>
        <w:tc>
          <w:tcPr>
            <w:tcW w:w="1102" w:type="dxa"/>
            <w:tcBorders>
              <w:top w:val="nil"/>
              <w:left w:val="nil"/>
              <w:bottom w:val="nil"/>
              <w:right w:val="nil"/>
            </w:tcBorders>
            <w:shd w:val="clear" w:color="auto" w:fill="auto"/>
            <w:noWrap/>
            <w:vAlign w:val="bottom"/>
            <w:hideMark/>
          </w:tcPr>
          <w:p w14:paraId="0C835772"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26</w:t>
            </w:r>
          </w:p>
        </w:tc>
        <w:tc>
          <w:tcPr>
            <w:tcW w:w="960" w:type="dxa"/>
            <w:tcBorders>
              <w:top w:val="nil"/>
              <w:left w:val="nil"/>
              <w:bottom w:val="nil"/>
              <w:right w:val="nil"/>
            </w:tcBorders>
            <w:shd w:val="clear" w:color="auto" w:fill="auto"/>
            <w:noWrap/>
            <w:vAlign w:val="bottom"/>
            <w:hideMark/>
          </w:tcPr>
          <w:p w14:paraId="25BE5668"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21</w:t>
            </w:r>
          </w:p>
        </w:tc>
        <w:tc>
          <w:tcPr>
            <w:tcW w:w="960" w:type="dxa"/>
            <w:tcBorders>
              <w:top w:val="nil"/>
              <w:left w:val="nil"/>
              <w:bottom w:val="nil"/>
              <w:right w:val="nil"/>
            </w:tcBorders>
            <w:shd w:val="clear" w:color="auto" w:fill="auto"/>
            <w:noWrap/>
            <w:vAlign w:val="bottom"/>
            <w:hideMark/>
          </w:tcPr>
          <w:p w14:paraId="12058AC8"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15</w:t>
            </w:r>
          </w:p>
        </w:tc>
        <w:tc>
          <w:tcPr>
            <w:tcW w:w="960" w:type="dxa"/>
            <w:tcBorders>
              <w:top w:val="nil"/>
              <w:left w:val="nil"/>
              <w:bottom w:val="nil"/>
              <w:right w:val="nil"/>
            </w:tcBorders>
            <w:shd w:val="clear" w:color="auto" w:fill="auto"/>
            <w:noWrap/>
            <w:vAlign w:val="bottom"/>
            <w:hideMark/>
          </w:tcPr>
          <w:p w14:paraId="79A9DA91"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5</w:t>
            </w:r>
          </w:p>
        </w:tc>
        <w:tc>
          <w:tcPr>
            <w:tcW w:w="960" w:type="dxa"/>
            <w:tcBorders>
              <w:top w:val="nil"/>
              <w:left w:val="nil"/>
              <w:bottom w:val="nil"/>
              <w:right w:val="nil"/>
            </w:tcBorders>
            <w:shd w:val="clear" w:color="auto" w:fill="auto"/>
            <w:noWrap/>
            <w:vAlign w:val="bottom"/>
            <w:hideMark/>
          </w:tcPr>
          <w:p w14:paraId="0432EA8F"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122</w:t>
            </w:r>
          </w:p>
        </w:tc>
      </w:tr>
      <w:tr w:rsidR="00253EE9" w:rsidRPr="00253EE9" w14:paraId="04AB1285" w14:textId="77777777" w:rsidTr="008F4F0C">
        <w:trPr>
          <w:trHeight w:val="300"/>
        </w:trPr>
        <w:tc>
          <w:tcPr>
            <w:tcW w:w="960" w:type="dxa"/>
            <w:tcBorders>
              <w:top w:val="nil"/>
              <w:left w:val="nil"/>
              <w:bottom w:val="nil"/>
              <w:right w:val="nil"/>
            </w:tcBorders>
            <w:shd w:val="clear" w:color="auto" w:fill="auto"/>
            <w:noWrap/>
            <w:vAlign w:val="bottom"/>
            <w:hideMark/>
          </w:tcPr>
          <w:p w14:paraId="010AD3ED"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Mar 16</w:t>
            </w:r>
          </w:p>
        </w:tc>
        <w:tc>
          <w:tcPr>
            <w:tcW w:w="960" w:type="dxa"/>
            <w:tcBorders>
              <w:top w:val="nil"/>
              <w:left w:val="nil"/>
              <w:bottom w:val="nil"/>
              <w:right w:val="nil"/>
            </w:tcBorders>
            <w:shd w:val="clear" w:color="auto" w:fill="auto"/>
            <w:noWrap/>
            <w:vAlign w:val="bottom"/>
            <w:hideMark/>
          </w:tcPr>
          <w:p w14:paraId="1770EDB6"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47</w:t>
            </w:r>
          </w:p>
        </w:tc>
        <w:tc>
          <w:tcPr>
            <w:tcW w:w="960" w:type="dxa"/>
            <w:tcBorders>
              <w:top w:val="nil"/>
              <w:left w:val="nil"/>
              <w:bottom w:val="nil"/>
              <w:right w:val="nil"/>
            </w:tcBorders>
            <w:shd w:val="clear" w:color="auto" w:fill="auto"/>
            <w:noWrap/>
            <w:vAlign w:val="bottom"/>
            <w:hideMark/>
          </w:tcPr>
          <w:p w14:paraId="625C24F3"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14</w:t>
            </w:r>
          </w:p>
        </w:tc>
        <w:tc>
          <w:tcPr>
            <w:tcW w:w="1102" w:type="dxa"/>
            <w:tcBorders>
              <w:top w:val="nil"/>
              <w:left w:val="nil"/>
              <w:bottom w:val="nil"/>
              <w:right w:val="nil"/>
            </w:tcBorders>
            <w:shd w:val="clear" w:color="auto" w:fill="auto"/>
            <w:noWrap/>
            <w:vAlign w:val="bottom"/>
            <w:hideMark/>
          </w:tcPr>
          <w:p w14:paraId="04026EB6"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28</w:t>
            </w:r>
          </w:p>
        </w:tc>
        <w:tc>
          <w:tcPr>
            <w:tcW w:w="960" w:type="dxa"/>
            <w:tcBorders>
              <w:top w:val="nil"/>
              <w:left w:val="nil"/>
              <w:bottom w:val="nil"/>
              <w:right w:val="nil"/>
            </w:tcBorders>
            <w:shd w:val="clear" w:color="auto" w:fill="auto"/>
            <w:noWrap/>
            <w:vAlign w:val="bottom"/>
            <w:hideMark/>
          </w:tcPr>
          <w:p w14:paraId="6C5DF19D"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26</w:t>
            </w:r>
          </w:p>
        </w:tc>
        <w:tc>
          <w:tcPr>
            <w:tcW w:w="960" w:type="dxa"/>
            <w:tcBorders>
              <w:top w:val="nil"/>
              <w:left w:val="nil"/>
              <w:bottom w:val="nil"/>
              <w:right w:val="nil"/>
            </w:tcBorders>
            <w:shd w:val="clear" w:color="auto" w:fill="auto"/>
            <w:noWrap/>
            <w:vAlign w:val="bottom"/>
            <w:hideMark/>
          </w:tcPr>
          <w:p w14:paraId="6B0B0866"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24</w:t>
            </w:r>
          </w:p>
        </w:tc>
        <w:tc>
          <w:tcPr>
            <w:tcW w:w="960" w:type="dxa"/>
            <w:tcBorders>
              <w:top w:val="nil"/>
              <w:left w:val="nil"/>
              <w:bottom w:val="nil"/>
              <w:right w:val="nil"/>
            </w:tcBorders>
            <w:shd w:val="clear" w:color="auto" w:fill="auto"/>
            <w:noWrap/>
            <w:vAlign w:val="bottom"/>
            <w:hideMark/>
          </w:tcPr>
          <w:p w14:paraId="214E0E58"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5</w:t>
            </w:r>
          </w:p>
        </w:tc>
        <w:tc>
          <w:tcPr>
            <w:tcW w:w="960" w:type="dxa"/>
            <w:tcBorders>
              <w:top w:val="nil"/>
              <w:left w:val="nil"/>
              <w:bottom w:val="nil"/>
              <w:right w:val="nil"/>
            </w:tcBorders>
            <w:shd w:val="clear" w:color="auto" w:fill="auto"/>
            <w:noWrap/>
            <w:vAlign w:val="bottom"/>
            <w:hideMark/>
          </w:tcPr>
          <w:p w14:paraId="4A88FEFD"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144</w:t>
            </w:r>
          </w:p>
        </w:tc>
      </w:tr>
      <w:tr w:rsidR="00253EE9" w:rsidRPr="00253EE9" w14:paraId="62208B0C" w14:textId="77777777" w:rsidTr="008F4F0C">
        <w:trPr>
          <w:trHeight w:val="300"/>
        </w:trPr>
        <w:tc>
          <w:tcPr>
            <w:tcW w:w="960" w:type="dxa"/>
            <w:tcBorders>
              <w:top w:val="nil"/>
              <w:left w:val="nil"/>
              <w:bottom w:val="nil"/>
              <w:right w:val="nil"/>
            </w:tcBorders>
            <w:shd w:val="clear" w:color="auto" w:fill="auto"/>
            <w:noWrap/>
            <w:vAlign w:val="bottom"/>
            <w:hideMark/>
          </w:tcPr>
          <w:p w14:paraId="31F22D4B"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Jun 16</w:t>
            </w:r>
          </w:p>
        </w:tc>
        <w:tc>
          <w:tcPr>
            <w:tcW w:w="960" w:type="dxa"/>
            <w:tcBorders>
              <w:top w:val="nil"/>
              <w:left w:val="nil"/>
              <w:bottom w:val="nil"/>
              <w:right w:val="nil"/>
            </w:tcBorders>
            <w:shd w:val="clear" w:color="auto" w:fill="auto"/>
            <w:noWrap/>
            <w:vAlign w:val="bottom"/>
            <w:hideMark/>
          </w:tcPr>
          <w:p w14:paraId="32C059D5"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52</w:t>
            </w:r>
          </w:p>
        </w:tc>
        <w:tc>
          <w:tcPr>
            <w:tcW w:w="960" w:type="dxa"/>
            <w:tcBorders>
              <w:top w:val="nil"/>
              <w:left w:val="nil"/>
              <w:bottom w:val="nil"/>
              <w:right w:val="nil"/>
            </w:tcBorders>
            <w:shd w:val="clear" w:color="auto" w:fill="auto"/>
            <w:noWrap/>
            <w:vAlign w:val="bottom"/>
            <w:hideMark/>
          </w:tcPr>
          <w:p w14:paraId="18431414"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22</w:t>
            </w:r>
          </w:p>
        </w:tc>
        <w:tc>
          <w:tcPr>
            <w:tcW w:w="1102" w:type="dxa"/>
            <w:tcBorders>
              <w:top w:val="nil"/>
              <w:left w:val="nil"/>
              <w:bottom w:val="nil"/>
              <w:right w:val="nil"/>
            </w:tcBorders>
            <w:shd w:val="clear" w:color="auto" w:fill="auto"/>
            <w:noWrap/>
            <w:vAlign w:val="bottom"/>
            <w:hideMark/>
          </w:tcPr>
          <w:p w14:paraId="6065F29E"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35</w:t>
            </w:r>
          </w:p>
        </w:tc>
        <w:tc>
          <w:tcPr>
            <w:tcW w:w="960" w:type="dxa"/>
            <w:tcBorders>
              <w:top w:val="nil"/>
              <w:left w:val="nil"/>
              <w:bottom w:val="nil"/>
              <w:right w:val="nil"/>
            </w:tcBorders>
            <w:shd w:val="clear" w:color="auto" w:fill="auto"/>
            <w:noWrap/>
            <w:vAlign w:val="bottom"/>
            <w:hideMark/>
          </w:tcPr>
          <w:p w14:paraId="42198FCF"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30</w:t>
            </w:r>
          </w:p>
        </w:tc>
        <w:tc>
          <w:tcPr>
            <w:tcW w:w="960" w:type="dxa"/>
            <w:tcBorders>
              <w:top w:val="nil"/>
              <w:left w:val="nil"/>
              <w:bottom w:val="nil"/>
              <w:right w:val="nil"/>
            </w:tcBorders>
            <w:shd w:val="clear" w:color="auto" w:fill="auto"/>
            <w:noWrap/>
            <w:vAlign w:val="bottom"/>
            <w:hideMark/>
          </w:tcPr>
          <w:p w14:paraId="69AECE11"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16</w:t>
            </w:r>
          </w:p>
        </w:tc>
        <w:tc>
          <w:tcPr>
            <w:tcW w:w="960" w:type="dxa"/>
            <w:tcBorders>
              <w:top w:val="nil"/>
              <w:left w:val="nil"/>
              <w:bottom w:val="nil"/>
              <w:right w:val="nil"/>
            </w:tcBorders>
            <w:shd w:val="clear" w:color="auto" w:fill="auto"/>
            <w:noWrap/>
            <w:vAlign w:val="bottom"/>
            <w:hideMark/>
          </w:tcPr>
          <w:p w14:paraId="72244228"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10</w:t>
            </w:r>
          </w:p>
        </w:tc>
        <w:tc>
          <w:tcPr>
            <w:tcW w:w="960" w:type="dxa"/>
            <w:tcBorders>
              <w:top w:val="nil"/>
              <w:left w:val="nil"/>
              <w:bottom w:val="nil"/>
              <w:right w:val="nil"/>
            </w:tcBorders>
            <w:shd w:val="clear" w:color="auto" w:fill="auto"/>
            <w:noWrap/>
            <w:vAlign w:val="bottom"/>
            <w:hideMark/>
          </w:tcPr>
          <w:p w14:paraId="740AEC84"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165</w:t>
            </w:r>
          </w:p>
        </w:tc>
      </w:tr>
      <w:tr w:rsidR="00253EE9" w:rsidRPr="00253EE9" w14:paraId="1588FDBF" w14:textId="77777777" w:rsidTr="008F4F0C">
        <w:trPr>
          <w:trHeight w:val="300"/>
        </w:trPr>
        <w:tc>
          <w:tcPr>
            <w:tcW w:w="960" w:type="dxa"/>
            <w:tcBorders>
              <w:top w:val="nil"/>
              <w:left w:val="nil"/>
              <w:bottom w:val="nil"/>
              <w:right w:val="nil"/>
            </w:tcBorders>
            <w:shd w:val="clear" w:color="auto" w:fill="auto"/>
            <w:noWrap/>
            <w:vAlign w:val="bottom"/>
            <w:hideMark/>
          </w:tcPr>
          <w:p w14:paraId="15833862"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Sep 16</w:t>
            </w:r>
          </w:p>
        </w:tc>
        <w:tc>
          <w:tcPr>
            <w:tcW w:w="960" w:type="dxa"/>
            <w:tcBorders>
              <w:top w:val="nil"/>
              <w:left w:val="nil"/>
              <w:bottom w:val="nil"/>
              <w:right w:val="nil"/>
            </w:tcBorders>
            <w:shd w:val="clear" w:color="auto" w:fill="auto"/>
            <w:noWrap/>
            <w:vAlign w:val="bottom"/>
            <w:hideMark/>
          </w:tcPr>
          <w:p w14:paraId="6616C617"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49</w:t>
            </w:r>
          </w:p>
        </w:tc>
        <w:tc>
          <w:tcPr>
            <w:tcW w:w="960" w:type="dxa"/>
            <w:tcBorders>
              <w:top w:val="nil"/>
              <w:left w:val="nil"/>
              <w:bottom w:val="nil"/>
              <w:right w:val="nil"/>
            </w:tcBorders>
            <w:shd w:val="clear" w:color="auto" w:fill="auto"/>
            <w:noWrap/>
            <w:vAlign w:val="bottom"/>
            <w:hideMark/>
          </w:tcPr>
          <w:p w14:paraId="12BA4CEE"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23</w:t>
            </w:r>
          </w:p>
        </w:tc>
        <w:tc>
          <w:tcPr>
            <w:tcW w:w="1102" w:type="dxa"/>
            <w:tcBorders>
              <w:top w:val="nil"/>
              <w:left w:val="nil"/>
              <w:bottom w:val="nil"/>
              <w:right w:val="nil"/>
            </w:tcBorders>
            <w:shd w:val="clear" w:color="auto" w:fill="auto"/>
            <w:noWrap/>
            <w:vAlign w:val="bottom"/>
            <w:hideMark/>
          </w:tcPr>
          <w:p w14:paraId="10260182"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37</w:t>
            </w:r>
          </w:p>
        </w:tc>
        <w:tc>
          <w:tcPr>
            <w:tcW w:w="960" w:type="dxa"/>
            <w:tcBorders>
              <w:top w:val="nil"/>
              <w:left w:val="nil"/>
              <w:bottom w:val="nil"/>
              <w:right w:val="nil"/>
            </w:tcBorders>
            <w:shd w:val="clear" w:color="auto" w:fill="auto"/>
            <w:noWrap/>
            <w:vAlign w:val="bottom"/>
            <w:hideMark/>
          </w:tcPr>
          <w:p w14:paraId="1D1490CD"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38</w:t>
            </w:r>
          </w:p>
        </w:tc>
        <w:tc>
          <w:tcPr>
            <w:tcW w:w="960" w:type="dxa"/>
            <w:tcBorders>
              <w:top w:val="nil"/>
              <w:left w:val="nil"/>
              <w:bottom w:val="nil"/>
              <w:right w:val="nil"/>
            </w:tcBorders>
            <w:shd w:val="clear" w:color="auto" w:fill="auto"/>
            <w:noWrap/>
            <w:vAlign w:val="bottom"/>
            <w:hideMark/>
          </w:tcPr>
          <w:p w14:paraId="3903C145"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21</w:t>
            </w:r>
          </w:p>
        </w:tc>
        <w:tc>
          <w:tcPr>
            <w:tcW w:w="960" w:type="dxa"/>
            <w:tcBorders>
              <w:top w:val="nil"/>
              <w:left w:val="nil"/>
              <w:bottom w:val="nil"/>
              <w:right w:val="nil"/>
            </w:tcBorders>
            <w:shd w:val="clear" w:color="auto" w:fill="auto"/>
            <w:noWrap/>
            <w:vAlign w:val="bottom"/>
            <w:hideMark/>
          </w:tcPr>
          <w:p w14:paraId="601A41C4"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7</w:t>
            </w:r>
          </w:p>
        </w:tc>
        <w:tc>
          <w:tcPr>
            <w:tcW w:w="960" w:type="dxa"/>
            <w:tcBorders>
              <w:top w:val="nil"/>
              <w:left w:val="nil"/>
              <w:bottom w:val="nil"/>
              <w:right w:val="nil"/>
            </w:tcBorders>
            <w:shd w:val="clear" w:color="auto" w:fill="auto"/>
            <w:noWrap/>
            <w:vAlign w:val="bottom"/>
            <w:hideMark/>
          </w:tcPr>
          <w:p w14:paraId="6A59E3E7"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175</w:t>
            </w:r>
          </w:p>
        </w:tc>
      </w:tr>
      <w:tr w:rsidR="00253EE9" w:rsidRPr="00253EE9" w14:paraId="7792425F" w14:textId="77777777" w:rsidTr="008F4F0C">
        <w:trPr>
          <w:trHeight w:val="300"/>
        </w:trPr>
        <w:tc>
          <w:tcPr>
            <w:tcW w:w="960" w:type="dxa"/>
            <w:tcBorders>
              <w:top w:val="nil"/>
              <w:left w:val="nil"/>
              <w:bottom w:val="nil"/>
              <w:right w:val="nil"/>
            </w:tcBorders>
            <w:shd w:val="clear" w:color="auto" w:fill="auto"/>
            <w:noWrap/>
            <w:vAlign w:val="bottom"/>
            <w:hideMark/>
          </w:tcPr>
          <w:p w14:paraId="437B4049"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Dec 16</w:t>
            </w:r>
          </w:p>
        </w:tc>
        <w:tc>
          <w:tcPr>
            <w:tcW w:w="960" w:type="dxa"/>
            <w:tcBorders>
              <w:top w:val="nil"/>
              <w:left w:val="nil"/>
              <w:bottom w:val="nil"/>
              <w:right w:val="nil"/>
            </w:tcBorders>
            <w:shd w:val="clear" w:color="auto" w:fill="auto"/>
            <w:noWrap/>
            <w:vAlign w:val="bottom"/>
            <w:hideMark/>
          </w:tcPr>
          <w:p w14:paraId="6A5DF753"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40</w:t>
            </w:r>
          </w:p>
        </w:tc>
        <w:tc>
          <w:tcPr>
            <w:tcW w:w="960" w:type="dxa"/>
            <w:tcBorders>
              <w:top w:val="nil"/>
              <w:left w:val="nil"/>
              <w:bottom w:val="nil"/>
              <w:right w:val="nil"/>
            </w:tcBorders>
            <w:shd w:val="clear" w:color="auto" w:fill="auto"/>
            <w:noWrap/>
            <w:vAlign w:val="bottom"/>
            <w:hideMark/>
          </w:tcPr>
          <w:p w14:paraId="31E61DF2"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26</w:t>
            </w:r>
          </w:p>
        </w:tc>
        <w:tc>
          <w:tcPr>
            <w:tcW w:w="1102" w:type="dxa"/>
            <w:tcBorders>
              <w:top w:val="nil"/>
              <w:left w:val="nil"/>
              <w:bottom w:val="nil"/>
              <w:right w:val="nil"/>
            </w:tcBorders>
            <w:shd w:val="clear" w:color="auto" w:fill="auto"/>
            <w:noWrap/>
            <w:vAlign w:val="bottom"/>
            <w:hideMark/>
          </w:tcPr>
          <w:p w14:paraId="64178AE1"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36</w:t>
            </w:r>
          </w:p>
        </w:tc>
        <w:tc>
          <w:tcPr>
            <w:tcW w:w="960" w:type="dxa"/>
            <w:tcBorders>
              <w:top w:val="nil"/>
              <w:left w:val="nil"/>
              <w:bottom w:val="nil"/>
              <w:right w:val="nil"/>
            </w:tcBorders>
            <w:shd w:val="clear" w:color="auto" w:fill="auto"/>
            <w:noWrap/>
            <w:vAlign w:val="bottom"/>
            <w:hideMark/>
          </w:tcPr>
          <w:p w14:paraId="7637BBE4"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38</w:t>
            </w:r>
          </w:p>
        </w:tc>
        <w:tc>
          <w:tcPr>
            <w:tcW w:w="960" w:type="dxa"/>
            <w:tcBorders>
              <w:top w:val="nil"/>
              <w:left w:val="nil"/>
              <w:bottom w:val="nil"/>
              <w:right w:val="nil"/>
            </w:tcBorders>
            <w:shd w:val="clear" w:color="auto" w:fill="auto"/>
            <w:noWrap/>
            <w:vAlign w:val="bottom"/>
            <w:hideMark/>
          </w:tcPr>
          <w:p w14:paraId="53301815"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28</w:t>
            </w:r>
          </w:p>
        </w:tc>
        <w:tc>
          <w:tcPr>
            <w:tcW w:w="960" w:type="dxa"/>
            <w:tcBorders>
              <w:top w:val="nil"/>
              <w:left w:val="nil"/>
              <w:bottom w:val="nil"/>
              <w:right w:val="nil"/>
            </w:tcBorders>
            <w:shd w:val="clear" w:color="auto" w:fill="auto"/>
            <w:noWrap/>
            <w:vAlign w:val="bottom"/>
            <w:hideMark/>
          </w:tcPr>
          <w:p w14:paraId="7718BA03"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10</w:t>
            </w:r>
          </w:p>
        </w:tc>
        <w:tc>
          <w:tcPr>
            <w:tcW w:w="960" w:type="dxa"/>
            <w:tcBorders>
              <w:top w:val="nil"/>
              <w:left w:val="nil"/>
              <w:bottom w:val="nil"/>
              <w:right w:val="nil"/>
            </w:tcBorders>
            <w:shd w:val="clear" w:color="auto" w:fill="auto"/>
            <w:noWrap/>
            <w:vAlign w:val="bottom"/>
            <w:hideMark/>
          </w:tcPr>
          <w:p w14:paraId="0AA503DF"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178</w:t>
            </w:r>
          </w:p>
        </w:tc>
      </w:tr>
      <w:tr w:rsidR="00253EE9" w:rsidRPr="00253EE9" w14:paraId="4D306654" w14:textId="77777777" w:rsidTr="008F4F0C">
        <w:trPr>
          <w:trHeight w:val="300"/>
        </w:trPr>
        <w:tc>
          <w:tcPr>
            <w:tcW w:w="960" w:type="dxa"/>
            <w:tcBorders>
              <w:top w:val="nil"/>
              <w:left w:val="nil"/>
              <w:bottom w:val="nil"/>
              <w:right w:val="nil"/>
            </w:tcBorders>
            <w:shd w:val="clear" w:color="auto" w:fill="auto"/>
            <w:noWrap/>
            <w:vAlign w:val="bottom"/>
            <w:hideMark/>
          </w:tcPr>
          <w:p w14:paraId="410937D7"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Mar 17</w:t>
            </w:r>
          </w:p>
        </w:tc>
        <w:tc>
          <w:tcPr>
            <w:tcW w:w="960" w:type="dxa"/>
            <w:tcBorders>
              <w:top w:val="nil"/>
              <w:left w:val="nil"/>
              <w:bottom w:val="nil"/>
              <w:right w:val="nil"/>
            </w:tcBorders>
            <w:shd w:val="clear" w:color="auto" w:fill="auto"/>
            <w:noWrap/>
            <w:vAlign w:val="bottom"/>
            <w:hideMark/>
          </w:tcPr>
          <w:p w14:paraId="19AFFA5D"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34</w:t>
            </w:r>
          </w:p>
        </w:tc>
        <w:tc>
          <w:tcPr>
            <w:tcW w:w="960" w:type="dxa"/>
            <w:tcBorders>
              <w:top w:val="nil"/>
              <w:left w:val="nil"/>
              <w:bottom w:val="nil"/>
              <w:right w:val="nil"/>
            </w:tcBorders>
            <w:shd w:val="clear" w:color="auto" w:fill="auto"/>
            <w:noWrap/>
            <w:vAlign w:val="bottom"/>
            <w:hideMark/>
          </w:tcPr>
          <w:p w14:paraId="0F2491A9"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26</w:t>
            </w:r>
          </w:p>
        </w:tc>
        <w:tc>
          <w:tcPr>
            <w:tcW w:w="1102" w:type="dxa"/>
            <w:tcBorders>
              <w:top w:val="nil"/>
              <w:left w:val="nil"/>
              <w:bottom w:val="nil"/>
              <w:right w:val="nil"/>
            </w:tcBorders>
            <w:shd w:val="clear" w:color="auto" w:fill="auto"/>
            <w:noWrap/>
            <w:vAlign w:val="bottom"/>
            <w:hideMark/>
          </w:tcPr>
          <w:p w14:paraId="08F4CC00"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34</w:t>
            </w:r>
          </w:p>
        </w:tc>
        <w:tc>
          <w:tcPr>
            <w:tcW w:w="960" w:type="dxa"/>
            <w:tcBorders>
              <w:top w:val="nil"/>
              <w:left w:val="nil"/>
              <w:bottom w:val="nil"/>
              <w:right w:val="nil"/>
            </w:tcBorders>
            <w:shd w:val="clear" w:color="auto" w:fill="auto"/>
            <w:noWrap/>
            <w:vAlign w:val="bottom"/>
            <w:hideMark/>
          </w:tcPr>
          <w:p w14:paraId="3242DA0B"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46</w:t>
            </w:r>
          </w:p>
        </w:tc>
        <w:tc>
          <w:tcPr>
            <w:tcW w:w="960" w:type="dxa"/>
            <w:tcBorders>
              <w:top w:val="nil"/>
              <w:left w:val="nil"/>
              <w:bottom w:val="nil"/>
              <w:right w:val="nil"/>
            </w:tcBorders>
            <w:shd w:val="clear" w:color="auto" w:fill="auto"/>
            <w:noWrap/>
            <w:vAlign w:val="bottom"/>
            <w:hideMark/>
          </w:tcPr>
          <w:p w14:paraId="49B39AC2"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31</w:t>
            </w:r>
          </w:p>
        </w:tc>
        <w:tc>
          <w:tcPr>
            <w:tcW w:w="960" w:type="dxa"/>
            <w:tcBorders>
              <w:top w:val="nil"/>
              <w:left w:val="nil"/>
              <w:bottom w:val="nil"/>
              <w:right w:val="nil"/>
            </w:tcBorders>
            <w:shd w:val="clear" w:color="auto" w:fill="auto"/>
            <w:noWrap/>
            <w:vAlign w:val="bottom"/>
            <w:hideMark/>
          </w:tcPr>
          <w:p w14:paraId="0A44D840"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8</w:t>
            </w:r>
          </w:p>
        </w:tc>
        <w:tc>
          <w:tcPr>
            <w:tcW w:w="960" w:type="dxa"/>
            <w:tcBorders>
              <w:top w:val="nil"/>
              <w:left w:val="nil"/>
              <w:bottom w:val="nil"/>
              <w:right w:val="nil"/>
            </w:tcBorders>
            <w:shd w:val="clear" w:color="auto" w:fill="auto"/>
            <w:noWrap/>
            <w:vAlign w:val="bottom"/>
            <w:hideMark/>
          </w:tcPr>
          <w:p w14:paraId="0E28C594"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179</w:t>
            </w:r>
          </w:p>
        </w:tc>
      </w:tr>
      <w:tr w:rsidR="00253EE9" w:rsidRPr="00253EE9" w14:paraId="4240ED5C" w14:textId="77777777" w:rsidTr="008F4F0C">
        <w:trPr>
          <w:trHeight w:val="300"/>
        </w:trPr>
        <w:tc>
          <w:tcPr>
            <w:tcW w:w="960" w:type="dxa"/>
            <w:tcBorders>
              <w:top w:val="nil"/>
              <w:left w:val="nil"/>
              <w:bottom w:val="nil"/>
              <w:right w:val="nil"/>
            </w:tcBorders>
            <w:shd w:val="clear" w:color="auto" w:fill="auto"/>
            <w:noWrap/>
            <w:vAlign w:val="bottom"/>
            <w:hideMark/>
          </w:tcPr>
          <w:p w14:paraId="54D27AC2"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Jun 17</w:t>
            </w:r>
          </w:p>
        </w:tc>
        <w:tc>
          <w:tcPr>
            <w:tcW w:w="960" w:type="dxa"/>
            <w:tcBorders>
              <w:top w:val="nil"/>
              <w:left w:val="nil"/>
              <w:bottom w:val="nil"/>
              <w:right w:val="nil"/>
            </w:tcBorders>
            <w:shd w:val="clear" w:color="auto" w:fill="auto"/>
            <w:noWrap/>
            <w:vAlign w:val="bottom"/>
            <w:hideMark/>
          </w:tcPr>
          <w:p w14:paraId="29BC40F1"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37</w:t>
            </w:r>
          </w:p>
        </w:tc>
        <w:tc>
          <w:tcPr>
            <w:tcW w:w="960" w:type="dxa"/>
            <w:tcBorders>
              <w:top w:val="nil"/>
              <w:left w:val="nil"/>
              <w:bottom w:val="nil"/>
              <w:right w:val="nil"/>
            </w:tcBorders>
            <w:shd w:val="clear" w:color="auto" w:fill="auto"/>
            <w:noWrap/>
            <w:vAlign w:val="bottom"/>
            <w:hideMark/>
          </w:tcPr>
          <w:p w14:paraId="36141692"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30</w:t>
            </w:r>
          </w:p>
        </w:tc>
        <w:tc>
          <w:tcPr>
            <w:tcW w:w="1102" w:type="dxa"/>
            <w:tcBorders>
              <w:top w:val="nil"/>
              <w:left w:val="nil"/>
              <w:bottom w:val="nil"/>
              <w:right w:val="nil"/>
            </w:tcBorders>
            <w:shd w:val="clear" w:color="auto" w:fill="auto"/>
            <w:noWrap/>
            <w:vAlign w:val="bottom"/>
            <w:hideMark/>
          </w:tcPr>
          <w:p w14:paraId="3BB2C1A5"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32</w:t>
            </w:r>
          </w:p>
        </w:tc>
        <w:tc>
          <w:tcPr>
            <w:tcW w:w="960" w:type="dxa"/>
            <w:tcBorders>
              <w:top w:val="nil"/>
              <w:left w:val="nil"/>
              <w:bottom w:val="nil"/>
              <w:right w:val="nil"/>
            </w:tcBorders>
            <w:shd w:val="clear" w:color="auto" w:fill="auto"/>
            <w:noWrap/>
            <w:vAlign w:val="bottom"/>
            <w:hideMark/>
          </w:tcPr>
          <w:p w14:paraId="53BBB247"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41</w:t>
            </w:r>
          </w:p>
        </w:tc>
        <w:tc>
          <w:tcPr>
            <w:tcW w:w="960" w:type="dxa"/>
            <w:tcBorders>
              <w:top w:val="nil"/>
              <w:left w:val="nil"/>
              <w:bottom w:val="nil"/>
              <w:right w:val="nil"/>
            </w:tcBorders>
            <w:shd w:val="clear" w:color="auto" w:fill="auto"/>
            <w:noWrap/>
            <w:vAlign w:val="bottom"/>
            <w:hideMark/>
          </w:tcPr>
          <w:p w14:paraId="62B337BD"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33</w:t>
            </w:r>
          </w:p>
        </w:tc>
        <w:tc>
          <w:tcPr>
            <w:tcW w:w="960" w:type="dxa"/>
            <w:tcBorders>
              <w:top w:val="nil"/>
              <w:left w:val="nil"/>
              <w:bottom w:val="nil"/>
              <w:right w:val="nil"/>
            </w:tcBorders>
            <w:shd w:val="clear" w:color="auto" w:fill="auto"/>
            <w:noWrap/>
            <w:vAlign w:val="bottom"/>
            <w:hideMark/>
          </w:tcPr>
          <w:p w14:paraId="106E47B9"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11</w:t>
            </w:r>
          </w:p>
        </w:tc>
        <w:tc>
          <w:tcPr>
            <w:tcW w:w="960" w:type="dxa"/>
            <w:tcBorders>
              <w:top w:val="nil"/>
              <w:left w:val="nil"/>
              <w:bottom w:val="nil"/>
              <w:right w:val="nil"/>
            </w:tcBorders>
            <w:shd w:val="clear" w:color="auto" w:fill="auto"/>
            <w:noWrap/>
            <w:vAlign w:val="bottom"/>
            <w:hideMark/>
          </w:tcPr>
          <w:p w14:paraId="71C2338F"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184</w:t>
            </w:r>
          </w:p>
        </w:tc>
      </w:tr>
      <w:tr w:rsidR="00253EE9" w:rsidRPr="00253EE9" w14:paraId="35640513" w14:textId="77777777" w:rsidTr="008F4F0C">
        <w:trPr>
          <w:trHeight w:val="300"/>
        </w:trPr>
        <w:tc>
          <w:tcPr>
            <w:tcW w:w="960" w:type="dxa"/>
            <w:tcBorders>
              <w:top w:val="nil"/>
              <w:left w:val="nil"/>
              <w:bottom w:val="nil"/>
              <w:right w:val="nil"/>
            </w:tcBorders>
            <w:shd w:val="clear" w:color="auto" w:fill="auto"/>
            <w:noWrap/>
            <w:vAlign w:val="bottom"/>
            <w:hideMark/>
          </w:tcPr>
          <w:p w14:paraId="4FDEB85D"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Sep 17</w:t>
            </w:r>
          </w:p>
        </w:tc>
        <w:tc>
          <w:tcPr>
            <w:tcW w:w="960" w:type="dxa"/>
            <w:tcBorders>
              <w:top w:val="nil"/>
              <w:left w:val="nil"/>
              <w:bottom w:val="nil"/>
              <w:right w:val="nil"/>
            </w:tcBorders>
            <w:shd w:val="clear" w:color="auto" w:fill="auto"/>
            <w:noWrap/>
            <w:vAlign w:val="bottom"/>
            <w:hideMark/>
          </w:tcPr>
          <w:p w14:paraId="2E53AEBD"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33</w:t>
            </w:r>
          </w:p>
        </w:tc>
        <w:tc>
          <w:tcPr>
            <w:tcW w:w="960" w:type="dxa"/>
            <w:tcBorders>
              <w:top w:val="nil"/>
              <w:left w:val="nil"/>
              <w:bottom w:val="nil"/>
              <w:right w:val="nil"/>
            </w:tcBorders>
            <w:shd w:val="clear" w:color="auto" w:fill="auto"/>
            <w:noWrap/>
            <w:vAlign w:val="bottom"/>
            <w:hideMark/>
          </w:tcPr>
          <w:p w14:paraId="5B63522A"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23</w:t>
            </w:r>
          </w:p>
        </w:tc>
        <w:tc>
          <w:tcPr>
            <w:tcW w:w="1102" w:type="dxa"/>
            <w:tcBorders>
              <w:top w:val="nil"/>
              <w:left w:val="nil"/>
              <w:bottom w:val="nil"/>
              <w:right w:val="nil"/>
            </w:tcBorders>
            <w:shd w:val="clear" w:color="auto" w:fill="auto"/>
            <w:noWrap/>
            <w:vAlign w:val="bottom"/>
            <w:hideMark/>
          </w:tcPr>
          <w:p w14:paraId="0C53F65E"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29</w:t>
            </w:r>
          </w:p>
        </w:tc>
        <w:tc>
          <w:tcPr>
            <w:tcW w:w="960" w:type="dxa"/>
            <w:tcBorders>
              <w:top w:val="nil"/>
              <w:left w:val="nil"/>
              <w:bottom w:val="nil"/>
              <w:right w:val="nil"/>
            </w:tcBorders>
            <w:shd w:val="clear" w:color="auto" w:fill="auto"/>
            <w:noWrap/>
            <w:vAlign w:val="bottom"/>
            <w:hideMark/>
          </w:tcPr>
          <w:p w14:paraId="0C1F3736"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40</w:t>
            </w:r>
          </w:p>
        </w:tc>
        <w:tc>
          <w:tcPr>
            <w:tcW w:w="960" w:type="dxa"/>
            <w:tcBorders>
              <w:top w:val="nil"/>
              <w:left w:val="nil"/>
              <w:bottom w:val="nil"/>
              <w:right w:val="nil"/>
            </w:tcBorders>
            <w:shd w:val="clear" w:color="auto" w:fill="auto"/>
            <w:noWrap/>
            <w:vAlign w:val="bottom"/>
            <w:hideMark/>
          </w:tcPr>
          <w:p w14:paraId="2495DBE6"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29</w:t>
            </w:r>
          </w:p>
        </w:tc>
        <w:tc>
          <w:tcPr>
            <w:tcW w:w="960" w:type="dxa"/>
            <w:tcBorders>
              <w:top w:val="nil"/>
              <w:left w:val="nil"/>
              <w:bottom w:val="nil"/>
              <w:right w:val="nil"/>
            </w:tcBorders>
            <w:shd w:val="clear" w:color="auto" w:fill="auto"/>
            <w:noWrap/>
            <w:vAlign w:val="bottom"/>
            <w:hideMark/>
          </w:tcPr>
          <w:p w14:paraId="2421D2C2"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9</w:t>
            </w:r>
          </w:p>
        </w:tc>
        <w:tc>
          <w:tcPr>
            <w:tcW w:w="960" w:type="dxa"/>
            <w:tcBorders>
              <w:top w:val="nil"/>
              <w:left w:val="nil"/>
              <w:bottom w:val="nil"/>
              <w:right w:val="nil"/>
            </w:tcBorders>
            <w:shd w:val="clear" w:color="auto" w:fill="auto"/>
            <w:noWrap/>
            <w:vAlign w:val="bottom"/>
            <w:hideMark/>
          </w:tcPr>
          <w:p w14:paraId="409F2BE7"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163</w:t>
            </w:r>
          </w:p>
        </w:tc>
      </w:tr>
      <w:tr w:rsidR="00253EE9" w:rsidRPr="00253EE9" w14:paraId="5CB62134" w14:textId="77777777" w:rsidTr="008F4F0C">
        <w:trPr>
          <w:trHeight w:val="300"/>
        </w:trPr>
        <w:tc>
          <w:tcPr>
            <w:tcW w:w="960" w:type="dxa"/>
            <w:tcBorders>
              <w:top w:val="nil"/>
              <w:left w:val="nil"/>
              <w:bottom w:val="nil"/>
              <w:right w:val="nil"/>
            </w:tcBorders>
            <w:shd w:val="clear" w:color="auto" w:fill="auto"/>
            <w:noWrap/>
            <w:vAlign w:val="bottom"/>
            <w:hideMark/>
          </w:tcPr>
          <w:p w14:paraId="592380AB"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Dec 17</w:t>
            </w:r>
          </w:p>
        </w:tc>
        <w:tc>
          <w:tcPr>
            <w:tcW w:w="960" w:type="dxa"/>
            <w:tcBorders>
              <w:top w:val="nil"/>
              <w:left w:val="nil"/>
              <w:bottom w:val="nil"/>
              <w:right w:val="nil"/>
            </w:tcBorders>
            <w:shd w:val="clear" w:color="auto" w:fill="auto"/>
            <w:noWrap/>
            <w:vAlign w:val="bottom"/>
            <w:hideMark/>
          </w:tcPr>
          <w:p w14:paraId="420C06FF"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37</w:t>
            </w:r>
          </w:p>
        </w:tc>
        <w:tc>
          <w:tcPr>
            <w:tcW w:w="960" w:type="dxa"/>
            <w:tcBorders>
              <w:top w:val="nil"/>
              <w:left w:val="nil"/>
              <w:bottom w:val="nil"/>
              <w:right w:val="nil"/>
            </w:tcBorders>
            <w:shd w:val="clear" w:color="auto" w:fill="auto"/>
            <w:noWrap/>
            <w:vAlign w:val="bottom"/>
            <w:hideMark/>
          </w:tcPr>
          <w:p w14:paraId="62754D89"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25</w:t>
            </w:r>
          </w:p>
        </w:tc>
        <w:tc>
          <w:tcPr>
            <w:tcW w:w="1102" w:type="dxa"/>
            <w:tcBorders>
              <w:top w:val="nil"/>
              <w:left w:val="nil"/>
              <w:bottom w:val="nil"/>
              <w:right w:val="nil"/>
            </w:tcBorders>
            <w:shd w:val="clear" w:color="auto" w:fill="auto"/>
            <w:noWrap/>
            <w:vAlign w:val="bottom"/>
            <w:hideMark/>
          </w:tcPr>
          <w:p w14:paraId="492C65FF"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35</w:t>
            </w:r>
          </w:p>
        </w:tc>
        <w:tc>
          <w:tcPr>
            <w:tcW w:w="960" w:type="dxa"/>
            <w:tcBorders>
              <w:top w:val="nil"/>
              <w:left w:val="nil"/>
              <w:bottom w:val="nil"/>
              <w:right w:val="nil"/>
            </w:tcBorders>
            <w:shd w:val="clear" w:color="auto" w:fill="auto"/>
            <w:noWrap/>
            <w:vAlign w:val="bottom"/>
            <w:hideMark/>
          </w:tcPr>
          <w:p w14:paraId="4751D0B0"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39</w:t>
            </w:r>
          </w:p>
        </w:tc>
        <w:tc>
          <w:tcPr>
            <w:tcW w:w="960" w:type="dxa"/>
            <w:tcBorders>
              <w:top w:val="nil"/>
              <w:left w:val="nil"/>
              <w:bottom w:val="nil"/>
              <w:right w:val="nil"/>
            </w:tcBorders>
            <w:shd w:val="clear" w:color="auto" w:fill="auto"/>
            <w:noWrap/>
            <w:vAlign w:val="bottom"/>
            <w:hideMark/>
          </w:tcPr>
          <w:p w14:paraId="28BFBCBE"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29</w:t>
            </w:r>
          </w:p>
        </w:tc>
        <w:tc>
          <w:tcPr>
            <w:tcW w:w="960" w:type="dxa"/>
            <w:tcBorders>
              <w:top w:val="nil"/>
              <w:left w:val="nil"/>
              <w:bottom w:val="nil"/>
              <w:right w:val="nil"/>
            </w:tcBorders>
            <w:shd w:val="clear" w:color="auto" w:fill="auto"/>
            <w:noWrap/>
            <w:vAlign w:val="bottom"/>
            <w:hideMark/>
          </w:tcPr>
          <w:p w14:paraId="5EB87F77"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8</w:t>
            </w:r>
          </w:p>
        </w:tc>
        <w:tc>
          <w:tcPr>
            <w:tcW w:w="960" w:type="dxa"/>
            <w:tcBorders>
              <w:top w:val="nil"/>
              <w:left w:val="nil"/>
              <w:bottom w:val="nil"/>
              <w:right w:val="nil"/>
            </w:tcBorders>
            <w:shd w:val="clear" w:color="auto" w:fill="auto"/>
            <w:noWrap/>
            <w:vAlign w:val="bottom"/>
            <w:hideMark/>
          </w:tcPr>
          <w:p w14:paraId="66FEEC24"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173</w:t>
            </w:r>
          </w:p>
        </w:tc>
      </w:tr>
      <w:tr w:rsidR="008F4F0C" w:rsidRPr="00253EE9" w14:paraId="5F0B885B" w14:textId="77777777" w:rsidTr="008F4F0C">
        <w:trPr>
          <w:trHeight w:val="300"/>
        </w:trPr>
        <w:tc>
          <w:tcPr>
            <w:tcW w:w="960" w:type="dxa"/>
            <w:tcBorders>
              <w:top w:val="nil"/>
              <w:left w:val="nil"/>
              <w:bottom w:val="single" w:sz="4" w:space="0" w:color="auto"/>
              <w:right w:val="nil"/>
            </w:tcBorders>
            <w:shd w:val="clear" w:color="auto" w:fill="auto"/>
            <w:noWrap/>
            <w:vAlign w:val="bottom"/>
            <w:hideMark/>
          </w:tcPr>
          <w:p w14:paraId="5224B8F5"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Mar 18</w:t>
            </w:r>
          </w:p>
        </w:tc>
        <w:tc>
          <w:tcPr>
            <w:tcW w:w="960" w:type="dxa"/>
            <w:tcBorders>
              <w:top w:val="nil"/>
              <w:left w:val="nil"/>
              <w:bottom w:val="single" w:sz="4" w:space="0" w:color="auto"/>
              <w:right w:val="nil"/>
            </w:tcBorders>
            <w:shd w:val="clear" w:color="auto" w:fill="auto"/>
            <w:noWrap/>
            <w:vAlign w:val="bottom"/>
            <w:hideMark/>
          </w:tcPr>
          <w:p w14:paraId="65D86C83"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43</w:t>
            </w:r>
          </w:p>
        </w:tc>
        <w:tc>
          <w:tcPr>
            <w:tcW w:w="960" w:type="dxa"/>
            <w:tcBorders>
              <w:top w:val="nil"/>
              <w:left w:val="nil"/>
              <w:bottom w:val="single" w:sz="4" w:space="0" w:color="auto"/>
              <w:right w:val="nil"/>
            </w:tcBorders>
            <w:shd w:val="clear" w:color="auto" w:fill="auto"/>
            <w:noWrap/>
            <w:vAlign w:val="bottom"/>
            <w:hideMark/>
          </w:tcPr>
          <w:p w14:paraId="3AC7D1CE"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24</w:t>
            </w:r>
          </w:p>
        </w:tc>
        <w:tc>
          <w:tcPr>
            <w:tcW w:w="1102" w:type="dxa"/>
            <w:tcBorders>
              <w:top w:val="nil"/>
              <w:left w:val="nil"/>
              <w:bottom w:val="single" w:sz="4" w:space="0" w:color="auto"/>
              <w:right w:val="nil"/>
            </w:tcBorders>
            <w:shd w:val="clear" w:color="auto" w:fill="auto"/>
            <w:noWrap/>
            <w:vAlign w:val="bottom"/>
            <w:hideMark/>
          </w:tcPr>
          <w:p w14:paraId="1EC89B1D"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28</w:t>
            </w:r>
          </w:p>
        </w:tc>
        <w:tc>
          <w:tcPr>
            <w:tcW w:w="960" w:type="dxa"/>
            <w:tcBorders>
              <w:top w:val="nil"/>
              <w:left w:val="nil"/>
              <w:bottom w:val="single" w:sz="4" w:space="0" w:color="auto"/>
              <w:right w:val="nil"/>
            </w:tcBorders>
            <w:shd w:val="clear" w:color="auto" w:fill="auto"/>
            <w:noWrap/>
            <w:vAlign w:val="bottom"/>
            <w:hideMark/>
          </w:tcPr>
          <w:p w14:paraId="10F361C2"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41</w:t>
            </w:r>
          </w:p>
        </w:tc>
        <w:tc>
          <w:tcPr>
            <w:tcW w:w="960" w:type="dxa"/>
            <w:tcBorders>
              <w:top w:val="nil"/>
              <w:left w:val="nil"/>
              <w:bottom w:val="single" w:sz="4" w:space="0" w:color="auto"/>
              <w:right w:val="nil"/>
            </w:tcBorders>
            <w:shd w:val="clear" w:color="auto" w:fill="auto"/>
            <w:noWrap/>
            <w:vAlign w:val="bottom"/>
            <w:hideMark/>
          </w:tcPr>
          <w:p w14:paraId="63FA081F"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32</w:t>
            </w:r>
          </w:p>
        </w:tc>
        <w:tc>
          <w:tcPr>
            <w:tcW w:w="960" w:type="dxa"/>
            <w:tcBorders>
              <w:top w:val="nil"/>
              <w:left w:val="nil"/>
              <w:bottom w:val="single" w:sz="4" w:space="0" w:color="auto"/>
              <w:right w:val="nil"/>
            </w:tcBorders>
            <w:shd w:val="clear" w:color="auto" w:fill="auto"/>
            <w:noWrap/>
            <w:vAlign w:val="bottom"/>
            <w:hideMark/>
          </w:tcPr>
          <w:p w14:paraId="0A167365"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8</w:t>
            </w:r>
          </w:p>
        </w:tc>
        <w:tc>
          <w:tcPr>
            <w:tcW w:w="960" w:type="dxa"/>
            <w:tcBorders>
              <w:top w:val="nil"/>
              <w:left w:val="nil"/>
              <w:bottom w:val="single" w:sz="4" w:space="0" w:color="auto"/>
              <w:right w:val="nil"/>
            </w:tcBorders>
            <w:shd w:val="clear" w:color="auto" w:fill="auto"/>
            <w:noWrap/>
            <w:vAlign w:val="bottom"/>
            <w:hideMark/>
          </w:tcPr>
          <w:p w14:paraId="1A558CE9"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176</w:t>
            </w:r>
          </w:p>
        </w:tc>
      </w:tr>
    </w:tbl>
    <w:p w14:paraId="5D70E48B" w14:textId="77777777" w:rsidR="0005346E" w:rsidRPr="00253EE9" w:rsidRDefault="0005346E" w:rsidP="0005346E"/>
    <w:p w14:paraId="6F0EA4F5" w14:textId="66036484" w:rsidR="008F4F0C" w:rsidRPr="00253EE9" w:rsidRDefault="008F4F0C" w:rsidP="0005346E">
      <w:r w:rsidRPr="00253EE9">
        <w:t>Table B: Number of organisations (allied health workforce)</w:t>
      </w:r>
    </w:p>
    <w:tbl>
      <w:tblPr>
        <w:tblW w:w="1920" w:type="dxa"/>
        <w:tblLook w:val="04A0" w:firstRow="1" w:lastRow="0" w:firstColumn="1" w:lastColumn="0" w:noHBand="0" w:noVBand="1"/>
      </w:tblPr>
      <w:tblGrid>
        <w:gridCol w:w="960"/>
        <w:gridCol w:w="1072"/>
      </w:tblGrid>
      <w:tr w:rsidR="00253EE9" w:rsidRPr="00253EE9" w14:paraId="2CDAB95B" w14:textId="77777777" w:rsidTr="008F4F0C">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304E5E3F"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 </w:t>
            </w:r>
          </w:p>
        </w:tc>
        <w:tc>
          <w:tcPr>
            <w:tcW w:w="960" w:type="dxa"/>
            <w:tcBorders>
              <w:top w:val="single" w:sz="4" w:space="0" w:color="auto"/>
              <w:left w:val="nil"/>
              <w:bottom w:val="single" w:sz="4" w:space="0" w:color="auto"/>
              <w:right w:val="nil"/>
            </w:tcBorders>
            <w:shd w:val="clear" w:color="auto" w:fill="auto"/>
            <w:noWrap/>
            <w:vAlign w:val="bottom"/>
            <w:hideMark/>
          </w:tcPr>
          <w:p w14:paraId="4982754C"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Australia</w:t>
            </w:r>
          </w:p>
        </w:tc>
      </w:tr>
      <w:tr w:rsidR="00253EE9" w:rsidRPr="00253EE9" w14:paraId="17C07E10" w14:textId="77777777" w:rsidTr="008F4F0C">
        <w:trPr>
          <w:trHeight w:val="300"/>
        </w:trPr>
        <w:tc>
          <w:tcPr>
            <w:tcW w:w="960" w:type="dxa"/>
            <w:tcBorders>
              <w:top w:val="nil"/>
              <w:left w:val="nil"/>
              <w:bottom w:val="nil"/>
              <w:right w:val="nil"/>
            </w:tcBorders>
            <w:shd w:val="clear" w:color="auto" w:fill="auto"/>
            <w:noWrap/>
            <w:vAlign w:val="bottom"/>
            <w:hideMark/>
          </w:tcPr>
          <w:p w14:paraId="5E059C3E"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Sep 15</w:t>
            </w:r>
          </w:p>
        </w:tc>
        <w:tc>
          <w:tcPr>
            <w:tcW w:w="960" w:type="dxa"/>
            <w:tcBorders>
              <w:top w:val="nil"/>
              <w:left w:val="nil"/>
              <w:bottom w:val="nil"/>
              <w:right w:val="nil"/>
            </w:tcBorders>
            <w:shd w:val="clear" w:color="auto" w:fill="auto"/>
            <w:noWrap/>
            <w:vAlign w:val="bottom"/>
            <w:hideMark/>
          </w:tcPr>
          <w:p w14:paraId="1847DB9B"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10</w:t>
            </w:r>
          </w:p>
        </w:tc>
      </w:tr>
      <w:tr w:rsidR="00253EE9" w:rsidRPr="00253EE9" w14:paraId="2C2906F9" w14:textId="77777777" w:rsidTr="008F4F0C">
        <w:trPr>
          <w:trHeight w:val="300"/>
        </w:trPr>
        <w:tc>
          <w:tcPr>
            <w:tcW w:w="960" w:type="dxa"/>
            <w:tcBorders>
              <w:top w:val="nil"/>
              <w:left w:val="nil"/>
              <w:bottom w:val="nil"/>
              <w:right w:val="nil"/>
            </w:tcBorders>
            <w:shd w:val="clear" w:color="auto" w:fill="auto"/>
            <w:noWrap/>
            <w:vAlign w:val="bottom"/>
            <w:hideMark/>
          </w:tcPr>
          <w:p w14:paraId="4EB0DA7E"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Dec 15</w:t>
            </w:r>
          </w:p>
        </w:tc>
        <w:tc>
          <w:tcPr>
            <w:tcW w:w="960" w:type="dxa"/>
            <w:tcBorders>
              <w:top w:val="nil"/>
              <w:left w:val="nil"/>
              <w:bottom w:val="nil"/>
              <w:right w:val="nil"/>
            </w:tcBorders>
            <w:shd w:val="clear" w:color="auto" w:fill="auto"/>
            <w:noWrap/>
            <w:vAlign w:val="bottom"/>
            <w:hideMark/>
          </w:tcPr>
          <w:p w14:paraId="71BAF3D4"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9</w:t>
            </w:r>
          </w:p>
        </w:tc>
      </w:tr>
      <w:tr w:rsidR="00253EE9" w:rsidRPr="00253EE9" w14:paraId="7E16B463" w14:textId="77777777" w:rsidTr="008F4F0C">
        <w:trPr>
          <w:trHeight w:val="300"/>
        </w:trPr>
        <w:tc>
          <w:tcPr>
            <w:tcW w:w="960" w:type="dxa"/>
            <w:tcBorders>
              <w:top w:val="nil"/>
              <w:left w:val="nil"/>
              <w:bottom w:val="nil"/>
              <w:right w:val="nil"/>
            </w:tcBorders>
            <w:shd w:val="clear" w:color="auto" w:fill="auto"/>
            <w:noWrap/>
            <w:vAlign w:val="bottom"/>
            <w:hideMark/>
          </w:tcPr>
          <w:p w14:paraId="3CFD5B25"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Mar 16</w:t>
            </w:r>
          </w:p>
        </w:tc>
        <w:tc>
          <w:tcPr>
            <w:tcW w:w="960" w:type="dxa"/>
            <w:tcBorders>
              <w:top w:val="nil"/>
              <w:left w:val="nil"/>
              <w:bottom w:val="nil"/>
              <w:right w:val="nil"/>
            </w:tcBorders>
            <w:shd w:val="clear" w:color="auto" w:fill="auto"/>
            <w:noWrap/>
            <w:vAlign w:val="bottom"/>
            <w:hideMark/>
          </w:tcPr>
          <w:p w14:paraId="5E9E685E"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11</w:t>
            </w:r>
          </w:p>
        </w:tc>
      </w:tr>
      <w:tr w:rsidR="00253EE9" w:rsidRPr="00253EE9" w14:paraId="6F9A318C" w14:textId="77777777" w:rsidTr="008F4F0C">
        <w:trPr>
          <w:trHeight w:val="300"/>
        </w:trPr>
        <w:tc>
          <w:tcPr>
            <w:tcW w:w="960" w:type="dxa"/>
            <w:tcBorders>
              <w:top w:val="nil"/>
              <w:left w:val="nil"/>
              <w:bottom w:val="nil"/>
              <w:right w:val="nil"/>
            </w:tcBorders>
            <w:shd w:val="clear" w:color="auto" w:fill="auto"/>
            <w:noWrap/>
            <w:vAlign w:val="bottom"/>
            <w:hideMark/>
          </w:tcPr>
          <w:p w14:paraId="48133CCA"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Jun 16</w:t>
            </w:r>
          </w:p>
        </w:tc>
        <w:tc>
          <w:tcPr>
            <w:tcW w:w="960" w:type="dxa"/>
            <w:tcBorders>
              <w:top w:val="nil"/>
              <w:left w:val="nil"/>
              <w:bottom w:val="nil"/>
              <w:right w:val="nil"/>
            </w:tcBorders>
            <w:shd w:val="clear" w:color="auto" w:fill="auto"/>
            <w:noWrap/>
            <w:vAlign w:val="bottom"/>
            <w:hideMark/>
          </w:tcPr>
          <w:p w14:paraId="250FF0EB"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9</w:t>
            </w:r>
          </w:p>
        </w:tc>
      </w:tr>
      <w:tr w:rsidR="00253EE9" w:rsidRPr="00253EE9" w14:paraId="1D5A1726" w14:textId="77777777" w:rsidTr="008F4F0C">
        <w:trPr>
          <w:trHeight w:val="300"/>
        </w:trPr>
        <w:tc>
          <w:tcPr>
            <w:tcW w:w="960" w:type="dxa"/>
            <w:tcBorders>
              <w:top w:val="nil"/>
              <w:left w:val="nil"/>
              <w:bottom w:val="nil"/>
              <w:right w:val="nil"/>
            </w:tcBorders>
            <w:shd w:val="clear" w:color="auto" w:fill="auto"/>
            <w:noWrap/>
            <w:vAlign w:val="bottom"/>
            <w:hideMark/>
          </w:tcPr>
          <w:p w14:paraId="096BC152"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Sep 16</w:t>
            </w:r>
          </w:p>
        </w:tc>
        <w:tc>
          <w:tcPr>
            <w:tcW w:w="960" w:type="dxa"/>
            <w:tcBorders>
              <w:top w:val="nil"/>
              <w:left w:val="nil"/>
              <w:bottom w:val="nil"/>
              <w:right w:val="nil"/>
            </w:tcBorders>
            <w:shd w:val="clear" w:color="auto" w:fill="auto"/>
            <w:noWrap/>
            <w:vAlign w:val="bottom"/>
            <w:hideMark/>
          </w:tcPr>
          <w:p w14:paraId="05E42B34"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10</w:t>
            </w:r>
          </w:p>
        </w:tc>
      </w:tr>
      <w:tr w:rsidR="00253EE9" w:rsidRPr="00253EE9" w14:paraId="5A9D3D9B" w14:textId="77777777" w:rsidTr="008F4F0C">
        <w:trPr>
          <w:trHeight w:val="300"/>
        </w:trPr>
        <w:tc>
          <w:tcPr>
            <w:tcW w:w="960" w:type="dxa"/>
            <w:tcBorders>
              <w:top w:val="nil"/>
              <w:left w:val="nil"/>
              <w:bottom w:val="nil"/>
              <w:right w:val="nil"/>
            </w:tcBorders>
            <w:shd w:val="clear" w:color="auto" w:fill="auto"/>
            <w:noWrap/>
            <w:vAlign w:val="bottom"/>
            <w:hideMark/>
          </w:tcPr>
          <w:p w14:paraId="2436DB8E"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Dec 16</w:t>
            </w:r>
          </w:p>
        </w:tc>
        <w:tc>
          <w:tcPr>
            <w:tcW w:w="960" w:type="dxa"/>
            <w:tcBorders>
              <w:top w:val="nil"/>
              <w:left w:val="nil"/>
              <w:bottom w:val="nil"/>
              <w:right w:val="nil"/>
            </w:tcBorders>
            <w:shd w:val="clear" w:color="auto" w:fill="auto"/>
            <w:noWrap/>
            <w:vAlign w:val="bottom"/>
            <w:hideMark/>
          </w:tcPr>
          <w:p w14:paraId="6791ACC0"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10</w:t>
            </w:r>
          </w:p>
        </w:tc>
      </w:tr>
      <w:tr w:rsidR="00253EE9" w:rsidRPr="00253EE9" w14:paraId="0397F99C" w14:textId="77777777" w:rsidTr="008F4F0C">
        <w:trPr>
          <w:trHeight w:val="300"/>
        </w:trPr>
        <w:tc>
          <w:tcPr>
            <w:tcW w:w="960" w:type="dxa"/>
            <w:tcBorders>
              <w:top w:val="nil"/>
              <w:left w:val="nil"/>
              <w:bottom w:val="nil"/>
              <w:right w:val="nil"/>
            </w:tcBorders>
            <w:shd w:val="clear" w:color="auto" w:fill="auto"/>
            <w:noWrap/>
            <w:vAlign w:val="bottom"/>
            <w:hideMark/>
          </w:tcPr>
          <w:p w14:paraId="5D5146D0"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Mar 17</w:t>
            </w:r>
          </w:p>
        </w:tc>
        <w:tc>
          <w:tcPr>
            <w:tcW w:w="960" w:type="dxa"/>
            <w:tcBorders>
              <w:top w:val="nil"/>
              <w:left w:val="nil"/>
              <w:bottom w:val="nil"/>
              <w:right w:val="nil"/>
            </w:tcBorders>
            <w:shd w:val="clear" w:color="auto" w:fill="auto"/>
            <w:noWrap/>
            <w:vAlign w:val="bottom"/>
            <w:hideMark/>
          </w:tcPr>
          <w:p w14:paraId="12167BCC"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11</w:t>
            </w:r>
          </w:p>
        </w:tc>
      </w:tr>
      <w:tr w:rsidR="00253EE9" w:rsidRPr="00253EE9" w14:paraId="1BD5301E" w14:textId="77777777" w:rsidTr="008F4F0C">
        <w:trPr>
          <w:trHeight w:val="300"/>
        </w:trPr>
        <w:tc>
          <w:tcPr>
            <w:tcW w:w="960" w:type="dxa"/>
            <w:tcBorders>
              <w:top w:val="nil"/>
              <w:left w:val="nil"/>
              <w:bottom w:val="nil"/>
              <w:right w:val="nil"/>
            </w:tcBorders>
            <w:shd w:val="clear" w:color="auto" w:fill="auto"/>
            <w:noWrap/>
            <w:vAlign w:val="bottom"/>
            <w:hideMark/>
          </w:tcPr>
          <w:p w14:paraId="784F877F"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Jun 17</w:t>
            </w:r>
          </w:p>
        </w:tc>
        <w:tc>
          <w:tcPr>
            <w:tcW w:w="960" w:type="dxa"/>
            <w:tcBorders>
              <w:top w:val="nil"/>
              <w:left w:val="nil"/>
              <w:bottom w:val="nil"/>
              <w:right w:val="nil"/>
            </w:tcBorders>
            <w:shd w:val="clear" w:color="auto" w:fill="auto"/>
            <w:noWrap/>
            <w:vAlign w:val="bottom"/>
            <w:hideMark/>
          </w:tcPr>
          <w:p w14:paraId="1E0E0B53"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14</w:t>
            </w:r>
          </w:p>
        </w:tc>
      </w:tr>
      <w:tr w:rsidR="00253EE9" w:rsidRPr="00253EE9" w14:paraId="4CC0153E" w14:textId="77777777" w:rsidTr="008F4F0C">
        <w:trPr>
          <w:trHeight w:val="300"/>
        </w:trPr>
        <w:tc>
          <w:tcPr>
            <w:tcW w:w="960" w:type="dxa"/>
            <w:tcBorders>
              <w:top w:val="nil"/>
              <w:left w:val="nil"/>
              <w:bottom w:val="nil"/>
              <w:right w:val="nil"/>
            </w:tcBorders>
            <w:shd w:val="clear" w:color="auto" w:fill="auto"/>
            <w:noWrap/>
            <w:vAlign w:val="bottom"/>
            <w:hideMark/>
          </w:tcPr>
          <w:p w14:paraId="5CA3B4E1"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Sep 17</w:t>
            </w:r>
          </w:p>
        </w:tc>
        <w:tc>
          <w:tcPr>
            <w:tcW w:w="960" w:type="dxa"/>
            <w:tcBorders>
              <w:top w:val="nil"/>
              <w:left w:val="nil"/>
              <w:bottom w:val="nil"/>
              <w:right w:val="nil"/>
            </w:tcBorders>
            <w:shd w:val="clear" w:color="auto" w:fill="auto"/>
            <w:noWrap/>
            <w:vAlign w:val="bottom"/>
            <w:hideMark/>
          </w:tcPr>
          <w:p w14:paraId="0F5F0E9B"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8</w:t>
            </w:r>
          </w:p>
        </w:tc>
      </w:tr>
      <w:tr w:rsidR="00253EE9" w:rsidRPr="00253EE9" w14:paraId="640255EB" w14:textId="77777777" w:rsidTr="008F4F0C">
        <w:trPr>
          <w:trHeight w:val="300"/>
        </w:trPr>
        <w:tc>
          <w:tcPr>
            <w:tcW w:w="960" w:type="dxa"/>
            <w:tcBorders>
              <w:top w:val="nil"/>
              <w:left w:val="nil"/>
              <w:bottom w:val="nil"/>
              <w:right w:val="nil"/>
            </w:tcBorders>
            <w:shd w:val="clear" w:color="auto" w:fill="auto"/>
            <w:noWrap/>
            <w:vAlign w:val="bottom"/>
            <w:hideMark/>
          </w:tcPr>
          <w:p w14:paraId="7FFBC98E"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Dec 17</w:t>
            </w:r>
          </w:p>
        </w:tc>
        <w:tc>
          <w:tcPr>
            <w:tcW w:w="960" w:type="dxa"/>
            <w:tcBorders>
              <w:top w:val="nil"/>
              <w:left w:val="nil"/>
              <w:bottom w:val="nil"/>
              <w:right w:val="nil"/>
            </w:tcBorders>
            <w:shd w:val="clear" w:color="auto" w:fill="auto"/>
            <w:noWrap/>
            <w:vAlign w:val="bottom"/>
            <w:hideMark/>
          </w:tcPr>
          <w:p w14:paraId="79704B36"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8</w:t>
            </w:r>
          </w:p>
        </w:tc>
      </w:tr>
      <w:tr w:rsidR="008F4F0C" w:rsidRPr="00253EE9" w14:paraId="4BD5A529" w14:textId="77777777" w:rsidTr="008F4F0C">
        <w:trPr>
          <w:trHeight w:val="300"/>
        </w:trPr>
        <w:tc>
          <w:tcPr>
            <w:tcW w:w="960" w:type="dxa"/>
            <w:tcBorders>
              <w:top w:val="nil"/>
              <w:left w:val="nil"/>
              <w:bottom w:val="single" w:sz="4" w:space="0" w:color="auto"/>
              <w:right w:val="nil"/>
            </w:tcBorders>
            <w:shd w:val="clear" w:color="auto" w:fill="auto"/>
            <w:noWrap/>
            <w:vAlign w:val="bottom"/>
            <w:hideMark/>
          </w:tcPr>
          <w:p w14:paraId="48A70996" w14:textId="77777777" w:rsidR="008F4F0C" w:rsidRPr="00253EE9" w:rsidRDefault="008F4F0C" w:rsidP="008F4F0C">
            <w:pPr>
              <w:spacing w:line="240" w:lineRule="auto"/>
              <w:rPr>
                <w:rFonts w:eastAsia="Times New Roman"/>
                <w:sz w:val="22"/>
                <w:szCs w:val="22"/>
                <w:lang w:eastAsia="en-AU"/>
              </w:rPr>
            </w:pPr>
            <w:r w:rsidRPr="00253EE9">
              <w:rPr>
                <w:rFonts w:eastAsia="Times New Roman"/>
                <w:sz w:val="22"/>
                <w:szCs w:val="22"/>
                <w:lang w:eastAsia="en-AU"/>
              </w:rPr>
              <w:t>Mar 18</w:t>
            </w:r>
          </w:p>
        </w:tc>
        <w:tc>
          <w:tcPr>
            <w:tcW w:w="960" w:type="dxa"/>
            <w:tcBorders>
              <w:top w:val="nil"/>
              <w:left w:val="nil"/>
              <w:bottom w:val="single" w:sz="4" w:space="0" w:color="auto"/>
              <w:right w:val="nil"/>
            </w:tcBorders>
            <w:shd w:val="clear" w:color="auto" w:fill="auto"/>
            <w:noWrap/>
            <w:vAlign w:val="bottom"/>
            <w:hideMark/>
          </w:tcPr>
          <w:p w14:paraId="4B27AAF0" w14:textId="77777777" w:rsidR="008F4F0C" w:rsidRPr="00253EE9" w:rsidRDefault="008F4F0C" w:rsidP="008F4F0C">
            <w:pPr>
              <w:spacing w:line="240" w:lineRule="auto"/>
              <w:jc w:val="right"/>
              <w:rPr>
                <w:rFonts w:eastAsia="Times New Roman"/>
                <w:sz w:val="22"/>
                <w:szCs w:val="22"/>
                <w:lang w:eastAsia="en-AU"/>
              </w:rPr>
            </w:pPr>
            <w:r w:rsidRPr="00253EE9">
              <w:rPr>
                <w:rFonts w:eastAsia="Times New Roman"/>
                <w:sz w:val="22"/>
                <w:szCs w:val="22"/>
                <w:lang w:eastAsia="en-AU"/>
              </w:rPr>
              <w:t>11</w:t>
            </w:r>
          </w:p>
        </w:tc>
      </w:tr>
    </w:tbl>
    <w:p w14:paraId="107B75D9" w14:textId="77777777" w:rsidR="001E4844" w:rsidRPr="00253EE9" w:rsidRDefault="001E4844" w:rsidP="0005346E"/>
    <w:sectPr w:rsidR="001E4844" w:rsidRPr="00253EE9" w:rsidSect="0058286C">
      <w:footerReference w:type="default" r:id="rId32"/>
      <w:pgSz w:w="11906" w:h="16838"/>
      <w:pgMar w:top="1440" w:right="1736" w:bottom="1440" w:left="16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5CDED" w14:textId="77777777" w:rsidR="00002566" w:rsidRDefault="00002566" w:rsidP="009058CC">
      <w:r>
        <w:separator/>
      </w:r>
    </w:p>
  </w:endnote>
  <w:endnote w:type="continuationSeparator" w:id="0">
    <w:p w14:paraId="59DF6586" w14:textId="77777777" w:rsidR="00002566" w:rsidRDefault="00002566" w:rsidP="0090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476027"/>
      <w:docPartObj>
        <w:docPartGallery w:val="Page Numbers (Bottom of Page)"/>
        <w:docPartUnique/>
      </w:docPartObj>
    </w:sdtPr>
    <w:sdtEndPr>
      <w:rPr>
        <w:noProof/>
      </w:rPr>
    </w:sdtEndPr>
    <w:sdtContent>
      <w:p w14:paraId="32C28F1A" w14:textId="242138C6" w:rsidR="00002566" w:rsidRDefault="00002566" w:rsidP="00E700D7">
        <w:pPr>
          <w:pStyle w:val="Footer"/>
          <w:jc w:val="right"/>
        </w:pPr>
        <w:r>
          <w:fldChar w:fldCharType="begin"/>
        </w:r>
        <w:r>
          <w:instrText xml:space="preserve"> PAGE   \* MERGEFORMAT </w:instrText>
        </w:r>
        <w:r>
          <w:fldChar w:fldCharType="separate"/>
        </w:r>
        <w:r w:rsidR="0059343A">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62A76" w14:textId="77777777" w:rsidR="00002566" w:rsidRDefault="00002566" w:rsidP="009058CC">
      <w:r>
        <w:separator/>
      </w:r>
    </w:p>
  </w:footnote>
  <w:footnote w:type="continuationSeparator" w:id="0">
    <w:p w14:paraId="4DCFE3A6" w14:textId="77777777" w:rsidR="00002566" w:rsidRDefault="00002566" w:rsidP="009058CC">
      <w:r>
        <w:continuationSeparator/>
      </w:r>
    </w:p>
  </w:footnote>
  <w:footnote w:id="1">
    <w:p w14:paraId="3A689102" w14:textId="6FDC4F50" w:rsidR="00002566" w:rsidRDefault="00002566" w:rsidP="009058CC">
      <w:pPr>
        <w:pStyle w:val="FootnoteText"/>
      </w:pPr>
      <w:r>
        <w:rPr>
          <w:rStyle w:val="FootnoteReference"/>
        </w:rPr>
        <w:footnoteRef/>
      </w:r>
      <w:r>
        <w:t xml:space="preserve"> Organisational size is classified on the basis of the number of disability support workers in the organisation, as follows: Small = less than 50 workers; Medium = 50 to 199 workers; and Large = 200 or more workers.</w:t>
      </w:r>
    </w:p>
  </w:footnote>
  <w:footnote w:id="2">
    <w:p w14:paraId="0EC3307D" w14:textId="0C15CC07" w:rsidR="00002566" w:rsidRDefault="00002566">
      <w:pPr>
        <w:pStyle w:val="FootnoteText"/>
      </w:pPr>
      <w:r>
        <w:rPr>
          <w:rStyle w:val="FootnoteReference"/>
        </w:rPr>
        <w:footnoteRef/>
      </w:r>
      <w:r>
        <w:t xml:space="preserve"> </w:t>
      </w:r>
      <w:r w:rsidRPr="004808D5">
        <w:t>ABS, Labour Force Aust</w:t>
      </w:r>
      <w:r>
        <w:t>ralia, Cat no. 6202.0, May 2018</w:t>
      </w:r>
      <w:r w:rsidRPr="004808D5">
        <w:t>.</w:t>
      </w:r>
    </w:p>
  </w:footnote>
  <w:footnote w:id="3">
    <w:p w14:paraId="1882CE50" w14:textId="42D7605C" w:rsidR="00002566" w:rsidRDefault="00002566">
      <w:pPr>
        <w:pStyle w:val="FootnoteText"/>
      </w:pPr>
      <w:r>
        <w:rPr>
          <w:rStyle w:val="FootnoteReference"/>
        </w:rPr>
        <w:footnoteRef/>
      </w:r>
      <w:r>
        <w:t xml:space="preserve"> </w:t>
      </w:r>
      <w:r w:rsidRPr="008640F7">
        <w:rPr>
          <w:noProof/>
          <w:lang w:eastAsia="en-AU"/>
        </w:rPr>
        <w:t>W</w:t>
      </w:r>
      <w:r>
        <w:rPr>
          <w:noProof/>
          <w:lang w:eastAsia="en-AU"/>
        </w:rPr>
        <w:t>e measure w</w:t>
      </w:r>
      <w:r w:rsidRPr="008640F7">
        <w:rPr>
          <w:noProof/>
          <w:lang w:eastAsia="en-AU"/>
        </w:rPr>
        <w:t xml:space="preserve">orkforce turnover </w:t>
      </w:r>
      <w:r>
        <w:rPr>
          <w:noProof/>
          <w:lang w:eastAsia="en-AU"/>
        </w:rPr>
        <w:t xml:space="preserve">as follows: </w:t>
      </w:r>
      <w:r w:rsidRPr="008640F7">
        <w:rPr>
          <w:noProof/>
          <w:lang w:eastAsia="en-AU"/>
        </w:rPr>
        <w:t>the number of workers who leave an organisation during a quarter, as a percentage of the total number of workers, average</w:t>
      </w:r>
      <w:r>
        <w:rPr>
          <w:noProof/>
          <w:lang w:eastAsia="en-AU"/>
        </w:rPr>
        <w:t>d</w:t>
      </w:r>
      <w:r w:rsidRPr="008640F7">
        <w:rPr>
          <w:noProof/>
          <w:lang w:eastAsia="en-AU"/>
        </w:rPr>
        <w:t xml:space="preserve"> over </w:t>
      </w:r>
      <w:r>
        <w:rPr>
          <w:noProof/>
          <w:lang w:eastAsia="en-AU"/>
        </w:rPr>
        <w:t>two</w:t>
      </w:r>
      <w:r w:rsidRPr="008640F7">
        <w:rPr>
          <w:noProof/>
          <w:lang w:eastAsia="en-AU"/>
        </w:rPr>
        <w:t xml:space="preserve"> recent quarters.</w:t>
      </w:r>
    </w:p>
  </w:footnote>
  <w:footnote w:id="4">
    <w:p w14:paraId="5739408E" w14:textId="5620B69B" w:rsidR="00002566" w:rsidRPr="000C5781" w:rsidRDefault="00002566" w:rsidP="009058CC">
      <w:pPr>
        <w:pStyle w:val="FootnoteText"/>
      </w:pPr>
      <w:r w:rsidRPr="000C5781">
        <w:rPr>
          <w:rStyle w:val="FootnoteReference"/>
        </w:rPr>
        <w:footnoteRef/>
      </w:r>
      <w:r w:rsidRPr="000C5781">
        <w:t xml:space="preserve"> Part-time workers refer to workers who work less than 38 hours, while full-time workers refer to workers who work 38 hours or more.</w:t>
      </w:r>
    </w:p>
  </w:footnote>
  <w:footnote w:id="5">
    <w:p w14:paraId="74A22D24" w14:textId="7C6A1350" w:rsidR="00002566" w:rsidRDefault="00002566">
      <w:pPr>
        <w:pStyle w:val="FootnoteText"/>
      </w:pPr>
      <w:r>
        <w:rPr>
          <w:rStyle w:val="FootnoteReference"/>
        </w:rPr>
        <w:footnoteRef/>
      </w:r>
      <w:r>
        <w:t xml:space="preserve"> </w:t>
      </w:r>
      <w:r w:rsidRPr="004808D5">
        <w:t xml:space="preserve">ABS, Labour </w:t>
      </w:r>
      <w:r>
        <w:t>Account</w:t>
      </w:r>
      <w:r w:rsidRPr="004808D5">
        <w:t xml:space="preserve"> Aust</w:t>
      </w:r>
      <w:r>
        <w:t>ralia, Quarterly Experimental Estimates, Cat no. 6150.0.55.003, Sept 2018</w:t>
      </w:r>
      <w:r w:rsidRPr="004808D5">
        <w:t>.</w:t>
      </w:r>
    </w:p>
  </w:footnote>
  <w:footnote w:id="6">
    <w:p w14:paraId="4C9359A5" w14:textId="5C8DAC3C" w:rsidR="00002566" w:rsidRPr="008640F7" w:rsidRDefault="00002566" w:rsidP="00B84762">
      <w:pPr>
        <w:pStyle w:val="FootnoteText"/>
      </w:pPr>
      <w:r w:rsidRPr="008640F7">
        <w:rPr>
          <w:rStyle w:val="FootnoteReference"/>
        </w:rPr>
        <w:footnoteRef/>
      </w:r>
      <w:r w:rsidRPr="008640F7">
        <w:t xml:space="preserve"> </w:t>
      </w:r>
      <w:r>
        <w:t>ABS</w:t>
      </w:r>
      <w:r w:rsidRPr="008640F7">
        <w:t xml:space="preserve">, </w:t>
      </w:r>
      <w:r w:rsidRPr="00BA6C94">
        <w:t xml:space="preserve">Labour Force, Australia, Detailed, Quarterly, May 2018. </w:t>
      </w:r>
      <w:r w:rsidRPr="008640F7">
        <w:t>Cat. No. 6291.0.55.003.</w:t>
      </w:r>
    </w:p>
  </w:footnote>
  <w:footnote w:id="7">
    <w:p w14:paraId="2DC0BA24" w14:textId="782249FD" w:rsidR="00002566" w:rsidRDefault="00002566" w:rsidP="00002566">
      <w:pPr>
        <w:pStyle w:val="FootnoteText"/>
        <w:rPr>
          <w:sz w:val="18"/>
          <w:szCs w:val="18"/>
        </w:rPr>
      </w:pPr>
      <w:r>
        <w:rPr>
          <w:rStyle w:val="FootnoteReference"/>
          <w:sz w:val="18"/>
          <w:szCs w:val="18"/>
        </w:rPr>
        <w:footnoteRef/>
      </w:r>
      <w:r>
        <w:rPr>
          <w:sz w:val="18"/>
          <w:szCs w:val="18"/>
        </w:rPr>
        <w:t xml:space="preserve"> Due to the small sample size of allied health workforces, the quarterly workforce turnover rates of permanent allied health workforces using the organisational average tend to be volatile. Hence, a different measure is used. The turnover rates presented here are measured by the aggregate number of permanent workers who left the workforce as a proportion of all permanent workers in a quarter. The trend of increasing turnover rates is notable in both measurements of workforce turnover. measure is used. The turnover rates presented here are measured by the aggregate number of permanent workers who left the workforce as a proportion of all permanent workers in a quarter. The trend of increasing turnover rates is notable in both measurements of workforce turnover. </w:t>
      </w:r>
    </w:p>
  </w:footnote>
  <w:footnote w:id="8">
    <w:p w14:paraId="5C521DC1" w14:textId="0877F2C0" w:rsidR="00002566" w:rsidRDefault="00002566" w:rsidP="009058CC">
      <w:pPr>
        <w:pStyle w:val="FootnoteText"/>
      </w:pPr>
      <w:r w:rsidRPr="008640F7">
        <w:rPr>
          <w:rStyle w:val="FootnoteReference"/>
        </w:rPr>
        <w:footnoteRef/>
      </w:r>
      <w:r w:rsidRPr="008640F7">
        <w:t xml:space="preserve"> </w:t>
      </w:r>
      <w:r>
        <w:t>ABS</w:t>
      </w:r>
      <w:r w:rsidRPr="008640F7">
        <w:t xml:space="preserve">, </w:t>
      </w:r>
      <w:r w:rsidRPr="00BA6C94">
        <w:t>Labour Force, Australia, Detailed, Quarterly, May 2018</w:t>
      </w:r>
      <w:r>
        <w:t xml:space="preserve">, </w:t>
      </w:r>
      <w:r w:rsidRPr="008640F7">
        <w:t>Cat. No. 6291.0.55.003</w:t>
      </w:r>
      <w:r>
        <w:t>.</w:t>
      </w:r>
    </w:p>
  </w:footnote>
  <w:footnote w:id="9">
    <w:p w14:paraId="1E807912" w14:textId="0F1556C9" w:rsidR="00002566" w:rsidRDefault="00002566">
      <w:pPr>
        <w:pStyle w:val="FootnoteText"/>
      </w:pPr>
      <w:r>
        <w:rPr>
          <w:rStyle w:val="FootnoteReference"/>
        </w:rPr>
        <w:footnoteRef/>
      </w:r>
      <w:r>
        <w:t xml:space="preserve"> </w:t>
      </w:r>
      <w:r w:rsidRPr="00686D31">
        <w:t xml:space="preserve">Small </w:t>
      </w:r>
      <w:r>
        <w:t>organisations are those with</w:t>
      </w:r>
      <w:r w:rsidRPr="00686D31">
        <w:t xml:space="preserve"> less than 50 disability support workers. Medium </w:t>
      </w:r>
      <w:r>
        <w:t>organisations</w:t>
      </w:r>
      <w:r w:rsidRPr="00686D31">
        <w:t xml:space="preserve"> are </w:t>
      </w:r>
      <w:r>
        <w:t>those</w:t>
      </w:r>
      <w:r w:rsidRPr="00686D31">
        <w:t xml:space="preserve"> with 50 to 199 disability support workers. Large</w:t>
      </w:r>
      <w:r>
        <w:t xml:space="preserve"> organisations</w:t>
      </w:r>
      <w:r w:rsidRPr="00686D31">
        <w:t xml:space="preserve"> are </w:t>
      </w:r>
      <w:r>
        <w:t>those</w:t>
      </w:r>
      <w:r w:rsidRPr="00686D31">
        <w:t xml:space="preserve"> with more than 200 disability support workers.</w:t>
      </w:r>
    </w:p>
  </w:footnote>
  <w:footnote w:id="10">
    <w:p w14:paraId="04142B05" w14:textId="0FCF044D" w:rsidR="00002566" w:rsidRDefault="00002566" w:rsidP="009058CC">
      <w:pPr>
        <w:pStyle w:val="FootnoteText"/>
      </w:pPr>
      <w:r>
        <w:rPr>
          <w:rStyle w:val="FootnoteReference"/>
        </w:rPr>
        <w:footnoteRef/>
      </w:r>
      <w:r>
        <w:t xml:space="preserve"> The figures for large organisations need to be used with caution. Only 6 workforces from large organisations provided data on this question. The numbers of workforces in small, small-to medium, medium to large organisations which provided data are 42, 46 and 43 respectively.</w:t>
      </w:r>
    </w:p>
  </w:footnote>
  <w:footnote w:id="11">
    <w:p w14:paraId="03D0A2B1" w14:textId="164F2F7E" w:rsidR="00002566" w:rsidRDefault="00002566">
      <w:pPr>
        <w:pStyle w:val="FootnoteText"/>
      </w:pPr>
      <w:r>
        <w:rPr>
          <w:rStyle w:val="FootnoteReference"/>
        </w:rPr>
        <w:footnoteRef/>
      </w:r>
      <w:r>
        <w:t xml:space="preserve"> </w:t>
      </w:r>
      <w:r w:rsidRPr="00400224">
        <w:rPr>
          <w:sz w:val="24"/>
          <w:szCs w:val="24"/>
        </w:rPr>
        <w:t>NDS State of the Disability Sector 2017, Figure 20, page 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F5A"/>
    <w:multiLevelType w:val="hybridMultilevel"/>
    <w:tmpl w:val="0F06A086"/>
    <w:lvl w:ilvl="0" w:tplc="5D5C184A">
      <w:numFmt w:val="bullet"/>
      <w:lvlText w:val="•"/>
      <w:lvlJc w:val="left"/>
      <w:pPr>
        <w:ind w:left="720" w:hanging="72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E048A3"/>
    <w:multiLevelType w:val="hybridMultilevel"/>
    <w:tmpl w:val="C7B8678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835E93"/>
    <w:multiLevelType w:val="hybridMultilevel"/>
    <w:tmpl w:val="FC2835C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DD5884"/>
    <w:multiLevelType w:val="hybridMultilevel"/>
    <w:tmpl w:val="27565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DE01F4"/>
    <w:multiLevelType w:val="hybridMultilevel"/>
    <w:tmpl w:val="B748DEA4"/>
    <w:lvl w:ilvl="0" w:tplc="9D5A04BA">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0965FF"/>
    <w:multiLevelType w:val="hybridMultilevel"/>
    <w:tmpl w:val="51745A4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2D3380"/>
    <w:multiLevelType w:val="hybridMultilevel"/>
    <w:tmpl w:val="08A02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F722A3"/>
    <w:multiLevelType w:val="hybridMultilevel"/>
    <w:tmpl w:val="F27AD126"/>
    <w:lvl w:ilvl="0" w:tplc="9D5A04B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59485E"/>
    <w:multiLevelType w:val="hybridMultilevel"/>
    <w:tmpl w:val="2722AEC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274661"/>
    <w:multiLevelType w:val="hybridMultilevel"/>
    <w:tmpl w:val="8F6EDD7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461AEB"/>
    <w:multiLevelType w:val="hybridMultilevel"/>
    <w:tmpl w:val="9F90FC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D45475"/>
    <w:multiLevelType w:val="hybridMultilevel"/>
    <w:tmpl w:val="C7A0E83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C02491"/>
    <w:multiLevelType w:val="hybridMultilevel"/>
    <w:tmpl w:val="06042E2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61504CC"/>
    <w:multiLevelType w:val="hybridMultilevel"/>
    <w:tmpl w:val="5810D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3C6439"/>
    <w:multiLevelType w:val="hybridMultilevel"/>
    <w:tmpl w:val="7590A82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AA1751"/>
    <w:multiLevelType w:val="hybridMultilevel"/>
    <w:tmpl w:val="4D145D9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15"/>
  </w:num>
  <w:num w:numId="5">
    <w:abstractNumId w:val="10"/>
  </w:num>
  <w:num w:numId="6">
    <w:abstractNumId w:val="7"/>
  </w:num>
  <w:num w:numId="7">
    <w:abstractNumId w:val="6"/>
  </w:num>
  <w:num w:numId="8">
    <w:abstractNumId w:val="11"/>
  </w:num>
  <w:num w:numId="9">
    <w:abstractNumId w:val="5"/>
  </w:num>
  <w:num w:numId="10">
    <w:abstractNumId w:val="12"/>
  </w:num>
  <w:num w:numId="11">
    <w:abstractNumId w:val="9"/>
  </w:num>
  <w:num w:numId="12">
    <w:abstractNumId w:val="1"/>
  </w:num>
  <w:num w:numId="13">
    <w:abstractNumId w:val="13"/>
  </w:num>
  <w:num w:numId="14">
    <w:abstractNumId w:val="1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98"/>
    <w:rsid w:val="00002566"/>
    <w:rsid w:val="0002797C"/>
    <w:rsid w:val="00036589"/>
    <w:rsid w:val="00043151"/>
    <w:rsid w:val="00044F58"/>
    <w:rsid w:val="0005152B"/>
    <w:rsid w:val="0005346E"/>
    <w:rsid w:val="00074E9D"/>
    <w:rsid w:val="000811D0"/>
    <w:rsid w:val="00083FBF"/>
    <w:rsid w:val="00094CDC"/>
    <w:rsid w:val="000A0BF6"/>
    <w:rsid w:val="000A5189"/>
    <w:rsid w:val="000A7D88"/>
    <w:rsid w:val="000C5781"/>
    <w:rsid w:val="000D118B"/>
    <w:rsid w:val="000E4799"/>
    <w:rsid w:val="000E6F1E"/>
    <w:rsid w:val="000F2B90"/>
    <w:rsid w:val="00115E7F"/>
    <w:rsid w:val="00116DF8"/>
    <w:rsid w:val="001519FD"/>
    <w:rsid w:val="0018491A"/>
    <w:rsid w:val="001858ED"/>
    <w:rsid w:val="001B47E9"/>
    <w:rsid w:val="001C0454"/>
    <w:rsid w:val="001C09DC"/>
    <w:rsid w:val="001C4336"/>
    <w:rsid w:val="001D0E4F"/>
    <w:rsid w:val="001D69F8"/>
    <w:rsid w:val="001E4844"/>
    <w:rsid w:val="001E6323"/>
    <w:rsid w:val="001F306C"/>
    <w:rsid w:val="002143CE"/>
    <w:rsid w:val="0022049F"/>
    <w:rsid w:val="00235F9F"/>
    <w:rsid w:val="00253EE9"/>
    <w:rsid w:val="0027525D"/>
    <w:rsid w:val="002A13E6"/>
    <w:rsid w:val="002A5A44"/>
    <w:rsid w:val="002A6837"/>
    <w:rsid w:val="002F5784"/>
    <w:rsid w:val="002F7E43"/>
    <w:rsid w:val="00301D14"/>
    <w:rsid w:val="00325A51"/>
    <w:rsid w:val="00341613"/>
    <w:rsid w:val="00345D7B"/>
    <w:rsid w:val="00350F58"/>
    <w:rsid w:val="003B0A8B"/>
    <w:rsid w:val="003B16FD"/>
    <w:rsid w:val="003C0FE5"/>
    <w:rsid w:val="003D693D"/>
    <w:rsid w:val="003F04A8"/>
    <w:rsid w:val="003F284E"/>
    <w:rsid w:val="00400224"/>
    <w:rsid w:val="004267AE"/>
    <w:rsid w:val="00433E72"/>
    <w:rsid w:val="00440036"/>
    <w:rsid w:val="00443020"/>
    <w:rsid w:val="0045382C"/>
    <w:rsid w:val="0045622D"/>
    <w:rsid w:val="00461724"/>
    <w:rsid w:val="0046279F"/>
    <w:rsid w:val="00475A3E"/>
    <w:rsid w:val="004808D5"/>
    <w:rsid w:val="004A0772"/>
    <w:rsid w:val="004A6054"/>
    <w:rsid w:val="004C4628"/>
    <w:rsid w:val="004C72BA"/>
    <w:rsid w:val="004C7995"/>
    <w:rsid w:val="004D08D2"/>
    <w:rsid w:val="004F001A"/>
    <w:rsid w:val="004F06DA"/>
    <w:rsid w:val="004F6B64"/>
    <w:rsid w:val="00513913"/>
    <w:rsid w:val="00515FB6"/>
    <w:rsid w:val="00532B40"/>
    <w:rsid w:val="00537251"/>
    <w:rsid w:val="00545E9E"/>
    <w:rsid w:val="00556E2F"/>
    <w:rsid w:val="0056472A"/>
    <w:rsid w:val="005718E6"/>
    <w:rsid w:val="0058286C"/>
    <w:rsid w:val="00583BF8"/>
    <w:rsid w:val="0059343A"/>
    <w:rsid w:val="005B40AF"/>
    <w:rsid w:val="005C23E5"/>
    <w:rsid w:val="005C504B"/>
    <w:rsid w:val="005D0B17"/>
    <w:rsid w:val="005E4982"/>
    <w:rsid w:val="00607DD8"/>
    <w:rsid w:val="00623F61"/>
    <w:rsid w:val="0062776F"/>
    <w:rsid w:val="00632478"/>
    <w:rsid w:val="006530D1"/>
    <w:rsid w:val="006762D4"/>
    <w:rsid w:val="0069061E"/>
    <w:rsid w:val="00693794"/>
    <w:rsid w:val="006B40F7"/>
    <w:rsid w:val="006B44F8"/>
    <w:rsid w:val="006C523E"/>
    <w:rsid w:val="006E78F5"/>
    <w:rsid w:val="006F7877"/>
    <w:rsid w:val="0071769F"/>
    <w:rsid w:val="00720B98"/>
    <w:rsid w:val="00731544"/>
    <w:rsid w:val="007339A4"/>
    <w:rsid w:val="00736244"/>
    <w:rsid w:val="00762B6D"/>
    <w:rsid w:val="007A2EF9"/>
    <w:rsid w:val="007A76BD"/>
    <w:rsid w:val="007B026F"/>
    <w:rsid w:val="007C27E3"/>
    <w:rsid w:val="007C7E55"/>
    <w:rsid w:val="007D75B1"/>
    <w:rsid w:val="007E45FC"/>
    <w:rsid w:val="007E724B"/>
    <w:rsid w:val="007E7E2C"/>
    <w:rsid w:val="007F1011"/>
    <w:rsid w:val="007F3DC7"/>
    <w:rsid w:val="007F4A92"/>
    <w:rsid w:val="008112D8"/>
    <w:rsid w:val="00823D53"/>
    <w:rsid w:val="00852334"/>
    <w:rsid w:val="008640F7"/>
    <w:rsid w:val="00880E03"/>
    <w:rsid w:val="0088669A"/>
    <w:rsid w:val="00893F46"/>
    <w:rsid w:val="008C39D7"/>
    <w:rsid w:val="008D32F0"/>
    <w:rsid w:val="008E07A5"/>
    <w:rsid w:val="008F4F0C"/>
    <w:rsid w:val="009058CC"/>
    <w:rsid w:val="00925669"/>
    <w:rsid w:val="00933B3E"/>
    <w:rsid w:val="00964D1B"/>
    <w:rsid w:val="00993BF3"/>
    <w:rsid w:val="00996484"/>
    <w:rsid w:val="009B7A36"/>
    <w:rsid w:val="00A01160"/>
    <w:rsid w:val="00A13F27"/>
    <w:rsid w:val="00A25A77"/>
    <w:rsid w:val="00A2783B"/>
    <w:rsid w:val="00A3328C"/>
    <w:rsid w:val="00A35883"/>
    <w:rsid w:val="00A410F7"/>
    <w:rsid w:val="00A4256E"/>
    <w:rsid w:val="00A627B1"/>
    <w:rsid w:val="00A70361"/>
    <w:rsid w:val="00A83FED"/>
    <w:rsid w:val="00A840BC"/>
    <w:rsid w:val="00AB2C19"/>
    <w:rsid w:val="00AD3B23"/>
    <w:rsid w:val="00B05A58"/>
    <w:rsid w:val="00B11969"/>
    <w:rsid w:val="00B33253"/>
    <w:rsid w:val="00B36290"/>
    <w:rsid w:val="00B3789F"/>
    <w:rsid w:val="00B37D74"/>
    <w:rsid w:val="00B46CDC"/>
    <w:rsid w:val="00B507CD"/>
    <w:rsid w:val="00B6749F"/>
    <w:rsid w:val="00B84762"/>
    <w:rsid w:val="00B94485"/>
    <w:rsid w:val="00BA4256"/>
    <w:rsid w:val="00BA6C94"/>
    <w:rsid w:val="00BB0B7A"/>
    <w:rsid w:val="00BC0B28"/>
    <w:rsid w:val="00BC4D9B"/>
    <w:rsid w:val="00BE2E7F"/>
    <w:rsid w:val="00BE3AD4"/>
    <w:rsid w:val="00BE43C6"/>
    <w:rsid w:val="00BE6DA5"/>
    <w:rsid w:val="00BF1D59"/>
    <w:rsid w:val="00BF52D1"/>
    <w:rsid w:val="00C07CC6"/>
    <w:rsid w:val="00C17864"/>
    <w:rsid w:val="00C329F5"/>
    <w:rsid w:val="00C341B8"/>
    <w:rsid w:val="00C53339"/>
    <w:rsid w:val="00C547F5"/>
    <w:rsid w:val="00C617F4"/>
    <w:rsid w:val="00C73D5F"/>
    <w:rsid w:val="00C8280E"/>
    <w:rsid w:val="00C82FEC"/>
    <w:rsid w:val="00C864D7"/>
    <w:rsid w:val="00C94DFA"/>
    <w:rsid w:val="00CD4F55"/>
    <w:rsid w:val="00CE6950"/>
    <w:rsid w:val="00CE7F75"/>
    <w:rsid w:val="00CF07E1"/>
    <w:rsid w:val="00D408F8"/>
    <w:rsid w:val="00D723AF"/>
    <w:rsid w:val="00DA7F82"/>
    <w:rsid w:val="00DB3D50"/>
    <w:rsid w:val="00DB7990"/>
    <w:rsid w:val="00DE6096"/>
    <w:rsid w:val="00E0489B"/>
    <w:rsid w:val="00E5667C"/>
    <w:rsid w:val="00E571EF"/>
    <w:rsid w:val="00E700D7"/>
    <w:rsid w:val="00E806FA"/>
    <w:rsid w:val="00E86E75"/>
    <w:rsid w:val="00EA06B3"/>
    <w:rsid w:val="00EA542A"/>
    <w:rsid w:val="00EA5C2A"/>
    <w:rsid w:val="00EF4BA0"/>
    <w:rsid w:val="00F07463"/>
    <w:rsid w:val="00F3346B"/>
    <w:rsid w:val="00F5658F"/>
    <w:rsid w:val="00F735F6"/>
    <w:rsid w:val="00F93E9C"/>
    <w:rsid w:val="00F97163"/>
    <w:rsid w:val="00FC4BC6"/>
    <w:rsid w:val="00FF7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D9D8"/>
  <w15:docId w15:val="{87591C65-AFE2-400A-9DF9-D85C2606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8CC"/>
    <w:pPr>
      <w:spacing w:after="0"/>
    </w:pPr>
    <w:rPr>
      <w:rFonts w:ascii="Arial" w:hAnsi="Arial" w:cs="Arial"/>
      <w:sz w:val="24"/>
      <w:szCs w:val="24"/>
    </w:rPr>
  </w:style>
  <w:style w:type="paragraph" w:styleId="Heading1">
    <w:name w:val="heading 1"/>
    <w:basedOn w:val="Normal"/>
    <w:next w:val="Normal"/>
    <w:link w:val="Heading1Char"/>
    <w:uiPriority w:val="9"/>
    <w:qFormat/>
    <w:rsid w:val="00FF72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13E6"/>
    <w:pPr>
      <w:keepNext/>
      <w:keepLines/>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0D118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3E6"/>
    <w:rPr>
      <w:rFonts w:ascii="Arial" w:eastAsiaTheme="majorEastAsia" w:hAnsi="Arial" w:cs="Arial"/>
      <w:color w:val="2E74B5" w:themeColor="accent1" w:themeShade="BF"/>
      <w:sz w:val="26"/>
      <w:szCs w:val="26"/>
    </w:rPr>
  </w:style>
  <w:style w:type="character" w:customStyle="1" w:styleId="Heading1Char">
    <w:name w:val="Heading 1 Char"/>
    <w:basedOn w:val="DefaultParagraphFont"/>
    <w:link w:val="Heading1"/>
    <w:uiPriority w:val="9"/>
    <w:rsid w:val="00FF7298"/>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9058CC"/>
    <w:pPr>
      <w:spacing w:line="240" w:lineRule="auto"/>
    </w:pPr>
    <w:rPr>
      <w:iCs/>
      <w:sz w:val="22"/>
      <w:szCs w:val="22"/>
    </w:rPr>
  </w:style>
  <w:style w:type="character" w:styleId="CommentReference">
    <w:name w:val="annotation reference"/>
    <w:basedOn w:val="DefaultParagraphFont"/>
    <w:uiPriority w:val="99"/>
    <w:semiHidden/>
    <w:unhideWhenUsed/>
    <w:rsid w:val="0005152B"/>
    <w:rPr>
      <w:sz w:val="16"/>
      <w:szCs w:val="16"/>
    </w:rPr>
  </w:style>
  <w:style w:type="paragraph" w:styleId="CommentText">
    <w:name w:val="annotation text"/>
    <w:basedOn w:val="Normal"/>
    <w:link w:val="CommentTextChar"/>
    <w:uiPriority w:val="99"/>
    <w:unhideWhenUsed/>
    <w:rsid w:val="0005152B"/>
    <w:pPr>
      <w:spacing w:line="240" w:lineRule="auto"/>
    </w:pPr>
    <w:rPr>
      <w:sz w:val="20"/>
      <w:szCs w:val="20"/>
    </w:rPr>
  </w:style>
  <w:style w:type="character" w:customStyle="1" w:styleId="CommentTextChar">
    <w:name w:val="Comment Text Char"/>
    <w:basedOn w:val="DefaultParagraphFont"/>
    <w:link w:val="CommentText"/>
    <w:uiPriority w:val="99"/>
    <w:rsid w:val="0005152B"/>
    <w:rPr>
      <w:sz w:val="20"/>
      <w:szCs w:val="20"/>
    </w:rPr>
  </w:style>
  <w:style w:type="paragraph" w:styleId="CommentSubject">
    <w:name w:val="annotation subject"/>
    <w:basedOn w:val="CommentText"/>
    <w:next w:val="CommentText"/>
    <w:link w:val="CommentSubjectChar"/>
    <w:uiPriority w:val="99"/>
    <w:semiHidden/>
    <w:unhideWhenUsed/>
    <w:rsid w:val="0005152B"/>
    <w:rPr>
      <w:b/>
      <w:bCs/>
    </w:rPr>
  </w:style>
  <w:style w:type="character" w:customStyle="1" w:styleId="CommentSubjectChar">
    <w:name w:val="Comment Subject Char"/>
    <w:basedOn w:val="CommentTextChar"/>
    <w:link w:val="CommentSubject"/>
    <w:uiPriority w:val="99"/>
    <w:semiHidden/>
    <w:rsid w:val="0005152B"/>
    <w:rPr>
      <w:b/>
      <w:bCs/>
      <w:sz w:val="20"/>
      <w:szCs w:val="20"/>
    </w:rPr>
  </w:style>
  <w:style w:type="paragraph" w:styleId="BalloonText">
    <w:name w:val="Balloon Text"/>
    <w:basedOn w:val="Normal"/>
    <w:link w:val="BalloonTextChar"/>
    <w:uiPriority w:val="99"/>
    <w:semiHidden/>
    <w:unhideWhenUsed/>
    <w:rsid w:val="000515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52B"/>
    <w:rPr>
      <w:rFonts w:ascii="Segoe UI" w:hAnsi="Segoe UI" w:cs="Segoe UI"/>
      <w:sz w:val="18"/>
      <w:szCs w:val="18"/>
    </w:rPr>
  </w:style>
  <w:style w:type="paragraph" w:styleId="FootnoteText">
    <w:name w:val="footnote text"/>
    <w:basedOn w:val="Normal"/>
    <w:link w:val="FootnoteTextChar"/>
    <w:uiPriority w:val="99"/>
    <w:unhideWhenUsed/>
    <w:rsid w:val="001519FD"/>
    <w:pPr>
      <w:spacing w:line="240" w:lineRule="auto"/>
    </w:pPr>
    <w:rPr>
      <w:sz w:val="20"/>
      <w:szCs w:val="20"/>
    </w:rPr>
  </w:style>
  <w:style w:type="character" w:customStyle="1" w:styleId="FootnoteTextChar">
    <w:name w:val="Footnote Text Char"/>
    <w:basedOn w:val="DefaultParagraphFont"/>
    <w:link w:val="FootnoteText"/>
    <w:uiPriority w:val="99"/>
    <w:rsid w:val="001519FD"/>
    <w:rPr>
      <w:sz w:val="20"/>
      <w:szCs w:val="20"/>
    </w:rPr>
  </w:style>
  <w:style w:type="character" w:styleId="FootnoteReference">
    <w:name w:val="footnote reference"/>
    <w:basedOn w:val="DefaultParagraphFont"/>
    <w:uiPriority w:val="99"/>
    <w:semiHidden/>
    <w:unhideWhenUsed/>
    <w:rsid w:val="001519FD"/>
    <w:rPr>
      <w:vertAlign w:val="superscript"/>
    </w:rPr>
  </w:style>
  <w:style w:type="paragraph" w:styleId="TOCHeading">
    <w:name w:val="TOC Heading"/>
    <w:basedOn w:val="Heading1"/>
    <w:next w:val="Normal"/>
    <w:uiPriority w:val="39"/>
    <w:unhideWhenUsed/>
    <w:qFormat/>
    <w:rsid w:val="008D32F0"/>
    <w:pPr>
      <w:outlineLvl w:val="9"/>
    </w:pPr>
    <w:rPr>
      <w:lang w:val="en-US"/>
    </w:rPr>
  </w:style>
  <w:style w:type="paragraph" w:styleId="TOC1">
    <w:name w:val="toc 1"/>
    <w:basedOn w:val="Normal"/>
    <w:next w:val="Normal"/>
    <w:autoRedefine/>
    <w:uiPriority w:val="39"/>
    <w:unhideWhenUsed/>
    <w:rsid w:val="008D32F0"/>
    <w:pPr>
      <w:spacing w:after="100"/>
    </w:pPr>
  </w:style>
  <w:style w:type="paragraph" w:styleId="TOC2">
    <w:name w:val="toc 2"/>
    <w:basedOn w:val="Normal"/>
    <w:next w:val="Normal"/>
    <w:autoRedefine/>
    <w:uiPriority w:val="39"/>
    <w:unhideWhenUsed/>
    <w:rsid w:val="008D32F0"/>
    <w:pPr>
      <w:spacing w:after="100"/>
      <w:ind w:left="220"/>
    </w:pPr>
  </w:style>
  <w:style w:type="character" w:styleId="Hyperlink">
    <w:name w:val="Hyperlink"/>
    <w:basedOn w:val="DefaultParagraphFont"/>
    <w:uiPriority w:val="99"/>
    <w:unhideWhenUsed/>
    <w:rsid w:val="008D32F0"/>
    <w:rPr>
      <w:color w:val="0563C1" w:themeColor="hyperlink"/>
      <w:u w:val="single"/>
    </w:rPr>
  </w:style>
  <w:style w:type="paragraph" w:styleId="ListParagraph">
    <w:name w:val="List Paragraph"/>
    <w:basedOn w:val="Normal"/>
    <w:uiPriority w:val="34"/>
    <w:qFormat/>
    <w:rsid w:val="008D32F0"/>
    <w:pPr>
      <w:ind w:left="720"/>
      <w:contextualSpacing/>
    </w:pPr>
  </w:style>
  <w:style w:type="table" w:styleId="TableGrid">
    <w:name w:val="Table Grid"/>
    <w:basedOn w:val="TableNormal"/>
    <w:uiPriority w:val="39"/>
    <w:rsid w:val="008D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uiPriority w:val="50"/>
    <w:rsid w:val="00F93E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3Char">
    <w:name w:val="Heading 3 Char"/>
    <w:basedOn w:val="DefaultParagraphFont"/>
    <w:link w:val="Heading3"/>
    <w:uiPriority w:val="9"/>
    <w:rsid w:val="000D118B"/>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2F57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F5784"/>
    <w:rPr>
      <w:rFonts w:eastAsiaTheme="minorEastAsia"/>
      <w:lang w:val="en-US"/>
    </w:rPr>
  </w:style>
  <w:style w:type="paragraph" w:styleId="TOC3">
    <w:name w:val="toc 3"/>
    <w:basedOn w:val="Normal"/>
    <w:next w:val="Normal"/>
    <w:autoRedefine/>
    <w:uiPriority w:val="39"/>
    <w:unhideWhenUsed/>
    <w:rsid w:val="002F5784"/>
    <w:pPr>
      <w:spacing w:after="100"/>
      <w:ind w:left="440"/>
    </w:pPr>
  </w:style>
  <w:style w:type="table" w:customStyle="1" w:styleId="GridTable2-Accent61">
    <w:name w:val="Grid Table 2 - Accent 61"/>
    <w:basedOn w:val="TableNormal"/>
    <w:uiPriority w:val="47"/>
    <w:rsid w:val="00CE695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uiPriority w:val="49"/>
    <w:rsid w:val="00CE69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7C7E55"/>
    <w:rPr>
      <w:i/>
      <w:iCs/>
    </w:rPr>
  </w:style>
  <w:style w:type="paragraph" w:styleId="Header">
    <w:name w:val="header"/>
    <w:basedOn w:val="Normal"/>
    <w:link w:val="HeaderChar"/>
    <w:uiPriority w:val="99"/>
    <w:unhideWhenUsed/>
    <w:rsid w:val="007D75B1"/>
    <w:pPr>
      <w:tabs>
        <w:tab w:val="center" w:pos="4513"/>
        <w:tab w:val="right" w:pos="9026"/>
      </w:tabs>
      <w:spacing w:line="240" w:lineRule="auto"/>
    </w:pPr>
  </w:style>
  <w:style w:type="character" w:customStyle="1" w:styleId="HeaderChar">
    <w:name w:val="Header Char"/>
    <w:basedOn w:val="DefaultParagraphFont"/>
    <w:link w:val="Header"/>
    <w:uiPriority w:val="99"/>
    <w:rsid w:val="007D75B1"/>
    <w:rPr>
      <w:rFonts w:ascii="Arial" w:hAnsi="Arial" w:cs="Arial"/>
      <w:sz w:val="24"/>
      <w:szCs w:val="24"/>
    </w:rPr>
  </w:style>
  <w:style w:type="paragraph" w:styleId="Footer">
    <w:name w:val="footer"/>
    <w:basedOn w:val="Normal"/>
    <w:link w:val="FooterChar"/>
    <w:uiPriority w:val="99"/>
    <w:unhideWhenUsed/>
    <w:rsid w:val="007D75B1"/>
    <w:pPr>
      <w:tabs>
        <w:tab w:val="center" w:pos="4513"/>
        <w:tab w:val="right" w:pos="9026"/>
      </w:tabs>
      <w:spacing w:line="240" w:lineRule="auto"/>
    </w:pPr>
  </w:style>
  <w:style w:type="character" w:customStyle="1" w:styleId="FooterChar">
    <w:name w:val="Footer Char"/>
    <w:basedOn w:val="DefaultParagraphFont"/>
    <w:link w:val="Footer"/>
    <w:uiPriority w:val="99"/>
    <w:rsid w:val="007D75B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94422">
      <w:bodyDiv w:val="1"/>
      <w:marLeft w:val="0"/>
      <w:marRight w:val="0"/>
      <w:marTop w:val="0"/>
      <w:marBottom w:val="0"/>
      <w:divBdr>
        <w:top w:val="none" w:sz="0" w:space="0" w:color="auto"/>
        <w:left w:val="none" w:sz="0" w:space="0" w:color="auto"/>
        <w:bottom w:val="none" w:sz="0" w:space="0" w:color="auto"/>
        <w:right w:val="none" w:sz="0" w:space="0" w:color="auto"/>
      </w:divBdr>
    </w:div>
    <w:div w:id="774521867">
      <w:bodyDiv w:val="1"/>
      <w:marLeft w:val="0"/>
      <w:marRight w:val="0"/>
      <w:marTop w:val="0"/>
      <w:marBottom w:val="0"/>
      <w:divBdr>
        <w:top w:val="none" w:sz="0" w:space="0" w:color="auto"/>
        <w:left w:val="none" w:sz="0" w:space="0" w:color="auto"/>
        <w:bottom w:val="none" w:sz="0" w:space="0" w:color="auto"/>
        <w:right w:val="none" w:sz="0" w:space="0" w:color="auto"/>
      </w:divBdr>
    </w:div>
    <w:div w:id="10015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workforce-hub/knowing-your-workforce" TargetMode="External"/><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mailto:caroline.alcorso@nds.org.a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F30E-837F-4D87-9778-89F5ED79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620BB379.dotm</Template>
  <TotalTime>199</TotalTime>
  <Pages>26</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Lui</dc:creator>
  <cp:lastModifiedBy>Adrian Lui</cp:lastModifiedBy>
  <cp:revision>9</cp:revision>
  <cp:lastPrinted>2018-07-18T00:39:00Z</cp:lastPrinted>
  <dcterms:created xsi:type="dcterms:W3CDTF">2018-07-12T04:03:00Z</dcterms:created>
  <dcterms:modified xsi:type="dcterms:W3CDTF">2018-08-09T05:17:00Z</dcterms:modified>
</cp:coreProperties>
</file>