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29" w:rsidRDefault="00295B29" w:rsidP="00A60422">
      <w:pPr>
        <w:pStyle w:val="BodyText"/>
        <w:ind w:hanging="851"/>
      </w:pPr>
    </w:p>
    <w:p w:rsidR="00AF7AD0" w:rsidRPr="00AF7AD0" w:rsidRDefault="00E43945" w:rsidP="00AF7AD0">
      <w:pPr>
        <w:pStyle w:val="Title"/>
        <w:rPr>
          <w:b/>
        </w:rPr>
      </w:pPr>
      <w:r>
        <w:rPr>
          <w:b/>
        </w:rPr>
        <w:t>NDS PRACTICAL GUIDE</w:t>
      </w:r>
      <w:bookmarkStart w:id="0" w:name="_GoBack"/>
      <w:bookmarkEnd w:id="0"/>
    </w:p>
    <w:p w:rsidR="00F00B26" w:rsidRDefault="005E3408" w:rsidP="00AF7AD0">
      <w:pPr>
        <w:pStyle w:val="Heading1"/>
      </w:pPr>
      <w:r>
        <w:t>Glossary: NDIS key terms and acronyms defined</w:t>
      </w:r>
    </w:p>
    <w:p w:rsidR="00AF7AD0" w:rsidRPr="00440C9F" w:rsidRDefault="00440C9F" w:rsidP="00AF7AD0">
      <w:pPr>
        <w:spacing w:before="119" w:line="276" w:lineRule="auto"/>
        <w:ind w:right="206"/>
        <w:rPr>
          <w:rFonts w:ascii="Arial" w:hAnsi="Arial" w:cs="Arial"/>
          <w:b/>
          <w:color w:val="000000" w:themeColor="text1"/>
          <w:sz w:val="24"/>
          <w:szCs w:val="24"/>
        </w:rPr>
      </w:pPr>
      <w:r w:rsidRPr="00440C9F">
        <w:rPr>
          <w:rFonts w:ascii="Arial" w:hAnsi="Arial" w:cs="Arial"/>
          <w:b/>
          <w:sz w:val="24"/>
          <w:szCs w:val="24"/>
        </w:rPr>
        <w:t xml:space="preserve">This document defines key terms and acronyms used in National Disability Insurance Scheme (NDIS) transition and implementation and complements the </w:t>
      </w:r>
      <w:hyperlink r:id="rId8" w:history="1">
        <w:r w:rsidRPr="00440C9F">
          <w:rPr>
            <w:rStyle w:val="Hyperlink"/>
            <w:rFonts w:ascii="Arial" w:hAnsi="Arial" w:cs="Arial"/>
            <w:b/>
            <w:sz w:val="24"/>
            <w:szCs w:val="24"/>
          </w:rPr>
          <w:t>NDIS Glossary</w:t>
        </w:r>
      </w:hyperlink>
      <w:r w:rsidRPr="00440C9F">
        <w:rPr>
          <w:rFonts w:ascii="Arial" w:hAnsi="Arial" w:cs="Arial"/>
          <w:b/>
          <w:sz w:val="24"/>
          <w:szCs w:val="24"/>
        </w:rPr>
        <w:t xml:space="preserve"> on the </w:t>
      </w:r>
      <w:hyperlink r:id="rId9" w:history="1">
        <w:r w:rsidRPr="00440C9F">
          <w:rPr>
            <w:rStyle w:val="Hyperlink"/>
            <w:rFonts w:ascii="Arial" w:hAnsi="Arial" w:cs="Arial"/>
            <w:b/>
            <w:sz w:val="24"/>
            <w:szCs w:val="24"/>
          </w:rPr>
          <w:t>NDIS website</w:t>
        </w:r>
      </w:hyperlink>
      <w:r w:rsidRPr="00440C9F">
        <w:rPr>
          <w:rFonts w:ascii="Arial" w:hAnsi="Arial" w:cs="Arial"/>
          <w:b/>
          <w:sz w:val="24"/>
          <w:szCs w:val="24"/>
        </w:rPr>
        <w:t>. Providers are encouraged to review the NDIS website for resources and guidance regarding the application of these key terms and acronyms.</w:t>
      </w:r>
    </w:p>
    <w:p w:rsidR="00295B29" w:rsidRPr="00A60422" w:rsidRDefault="00440C9F" w:rsidP="0072257E">
      <w:pPr>
        <w:pStyle w:val="Heading2"/>
        <w:spacing w:before="120"/>
      </w:pPr>
      <w:r>
        <w:t>Continuity of Support (</w:t>
      </w:r>
      <w:proofErr w:type="spellStart"/>
      <w:r>
        <w:t>CoS</w:t>
      </w:r>
      <w:proofErr w:type="spellEnd"/>
      <w:r>
        <w:t xml:space="preserve">) </w:t>
      </w:r>
      <w:proofErr w:type="spellStart"/>
      <w:r>
        <w:t>Programme</w:t>
      </w:r>
      <w:proofErr w:type="spellEnd"/>
    </w:p>
    <w:p w:rsidR="00440C9F" w:rsidRPr="00440C9F" w:rsidRDefault="00440C9F" w:rsidP="0072257E">
      <w:pPr>
        <w:pStyle w:val="BodyText"/>
        <w:spacing w:before="120" w:after="120"/>
        <w:ind w:right="28"/>
        <w:rPr>
          <w:rFonts w:ascii="Arial" w:hAnsi="Arial" w:cs="Arial"/>
          <w:sz w:val="24"/>
          <w:szCs w:val="24"/>
        </w:rPr>
      </w:pPr>
      <w:r w:rsidRPr="00440C9F">
        <w:rPr>
          <w:rFonts w:ascii="Arial" w:hAnsi="Arial" w:cs="Arial"/>
          <w:sz w:val="24"/>
          <w:szCs w:val="24"/>
        </w:rPr>
        <w:t xml:space="preserve">Is funded by the Commonwealth Government. Funding under the </w:t>
      </w:r>
      <w:proofErr w:type="spellStart"/>
      <w:r w:rsidRPr="00440C9F">
        <w:rPr>
          <w:rFonts w:ascii="Arial" w:hAnsi="Arial" w:cs="Arial"/>
          <w:sz w:val="24"/>
          <w:szCs w:val="24"/>
        </w:rPr>
        <w:t>Programme</w:t>
      </w:r>
      <w:proofErr w:type="spellEnd"/>
      <w:r w:rsidRPr="00440C9F">
        <w:rPr>
          <w:rFonts w:ascii="Arial" w:hAnsi="Arial" w:cs="Arial"/>
          <w:sz w:val="24"/>
          <w:szCs w:val="24"/>
        </w:rPr>
        <w:t xml:space="preserve"> will be available to people aged above 65 years with disability who received specialist disability supports, but who are not eligible for the NDIS. NDS is currently awaiting further information regarding the continuity of support for people under 65 who are not eligible for NDIS. </w:t>
      </w:r>
      <w:hyperlink r:id="rId10" w:history="1">
        <w:r w:rsidRPr="00440C9F">
          <w:rPr>
            <w:rStyle w:val="Hyperlink"/>
            <w:rFonts w:ascii="Arial" w:hAnsi="Arial" w:cs="Arial"/>
            <w:sz w:val="24"/>
            <w:szCs w:val="24"/>
          </w:rPr>
          <w:t>Learn more.</w:t>
        </w:r>
      </w:hyperlink>
    </w:p>
    <w:p w:rsidR="00AF7AD0" w:rsidRDefault="00440C9F" w:rsidP="00440C9F">
      <w:pPr>
        <w:pStyle w:val="Heading2"/>
      </w:pPr>
      <w:r>
        <w:t>Early Childhood Partner</w:t>
      </w:r>
    </w:p>
    <w:p w:rsidR="00440C9F" w:rsidRPr="00B56DC9" w:rsidRDefault="00440C9F" w:rsidP="0072257E">
      <w:pPr>
        <w:spacing w:before="120" w:after="120" w:line="276" w:lineRule="auto"/>
        <w:rPr>
          <w:rFonts w:ascii="Arial" w:hAnsi="Arial" w:cs="Arial"/>
          <w:sz w:val="24"/>
          <w:szCs w:val="24"/>
        </w:rPr>
      </w:pPr>
      <w:r w:rsidRPr="00B56DC9">
        <w:rPr>
          <w:rFonts w:ascii="Arial" w:hAnsi="Arial" w:cs="Arial"/>
          <w:sz w:val="24"/>
          <w:szCs w:val="24"/>
        </w:rPr>
        <w:t xml:space="preserve">The NDIA partner contracted to implement the </w:t>
      </w:r>
      <w:hyperlink r:id="rId11" w:history="1">
        <w:r w:rsidRPr="00B56DC9">
          <w:rPr>
            <w:rStyle w:val="Hyperlink"/>
            <w:rFonts w:ascii="Arial" w:hAnsi="Arial" w:cs="Arial"/>
            <w:sz w:val="24"/>
            <w:szCs w:val="24"/>
          </w:rPr>
          <w:t>Early Childhood Early Intervention Approach</w:t>
        </w:r>
      </w:hyperlink>
      <w:r w:rsidRPr="00B56DC9">
        <w:rPr>
          <w:rFonts w:ascii="Arial" w:hAnsi="Arial" w:cs="Arial"/>
          <w:sz w:val="24"/>
          <w:szCs w:val="24"/>
        </w:rPr>
        <w:t>. The Early Childhood Partner will work with the families of children aged 0-6 who may have developmental delays or disability to identify the child’s needs and potential short-term interventions. Along with the Local Area Coordinator, the Early Childhood Partner will work with participants and their families in the planning process, refer the family to mainstream services and prov</w:t>
      </w:r>
      <w:r w:rsidR="00B56DC9">
        <w:rPr>
          <w:rFonts w:ascii="Arial" w:hAnsi="Arial" w:cs="Arial"/>
          <w:sz w:val="24"/>
          <w:szCs w:val="24"/>
        </w:rPr>
        <w:t>ide information about the NDIS.</w:t>
      </w:r>
    </w:p>
    <w:p w:rsidR="00A60422" w:rsidRDefault="00B56DC9" w:rsidP="00AF7AD0">
      <w:pPr>
        <w:pStyle w:val="Heading2"/>
      </w:pPr>
      <w:r>
        <w:t>ECEI</w:t>
      </w:r>
    </w:p>
    <w:p w:rsidR="00B56DC9" w:rsidRDefault="00B56DC9" w:rsidP="0072257E">
      <w:pPr>
        <w:spacing w:before="120" w:after="120" w:line="276" w:lineRule="auto"/>
        <w:rPr>
          <w:rFonts w:ascii="Arial" w:hAnsi="Arial" w:cs="Arial"/>
          <w:sz w:val="24"/>
          <w:szCs w:val="24"/>
        </w:rPr>
      </w:pPr>
      <w:r w:rsidRPr="00B56DC9">
        <w:rPr>
          <w:rFonts w:ascii="Arial" w:hAnsi="Arial" w:cs="Arial"/>
          <w:sz w:val="24"/>
          <w:szCs w:val="24"/>
        </w:rPr>
        <w:t>Stands for Early Childhood Early Intervention. The ECEI approach is aimed at ensuring parents or primary care givers are able to support young children who have developmental delays or disabilities. The NDIA has partnered with Early Childhood Providers in each NDIS rollout region to deliver elements of this support</w:t>
      </w:r>
      <w:r w:rsidR="0072257E">
        <w:rPr>
          <w:rFonts w:ascii="Arial" w:hAnsi="Arial" w:cs="Arial"/>
          <w:sz w:val="24"/>
          <w:szCs w:val="24"/>
        </w:rPr>
        <w:t>.</w:t>
      </w:r>
    </w:p>
    <w:p w:rsidR="00B56DC9" w:rsidRDefault="00B56DC9" w:rsidP="00B56DC9">
      <w:pPr>
        <w:pStyle w:val="Heading2"/>
      </w:pPr>
      <w:r>
        <w:t>ECIS</w:t>
      </w:r>
    </w:p>
    <w:p w:rsidR="00B56DC9" w:rsidRDefault="00B56DC9" w:rsidP="0072257E">
      <w:pPr>
        <w:spacing w:before="120" w:after="120" w:line="276" w:lineRule="auto"/>
        <w:rPr>
          <w:rFonts w:ascii="Arial" w:hAnsi="Arial" w:cs="Arial"/>
          <w:sz w:val="24"/>
          <w:szCs w:val="24"/>
        </w:rPr>
      </w:pPr>
      <w:r w:rsidRPr="00B56DC9">
        <w:rPr>
          <w:rFonts w:ascii="Arial" w:hAnsi="Arial" w:cs="Arial"/>
          <w:sz w:val="24"/>
          <w:szCs w:val="24"/>
        </w:rPr>
        <w:t>Stands for Early Childhood Intervention Services.</w:t>
      </w:r>
    </w:p>
    <w:p w:rsidR="00B56DC9" w:rsidRDefault="00B56DC9" w:rsidP="00B56DC9">
      <w:pPr>
        <w:pStyle w:val="Heading2"/>
      </w:pPr>
      <w:r>
        <w:t>Funded supports</w:t>
      </w:r>
    </w:p>
    <w:p w:rsidR="00B56DC9" w:rsidRDefault="00B56DC9" w:rsidP="0072257E">
      <w:pPr>
        <w:spacing w:before="120" w:after="120" w:line="276" w:lineRule="auto"/>
        <w:rPr>
          <w:rFonts w:ascii="Arial" w:hAnsi="Arial" w:cs="Arial"/>
          <w:sz w:val="24"/>
          <w:szCs w:val="24"/>
        </w:rPr>
      </w:pPr>
      <w:r w:rsidRPr="00B56DC9">
        <w:rPr>
          <w:rFonts w:ascii="Arial" w:hAnsi="Arial" w:cs="Arial"/>
          <w:sz w:val="24"/>
          <w:szCs w:val="24"/>
        </w:rPr>
        <w:t xml:space="preserve">Are supports funded by the </w:t>
      </w:r>
      <w:proofErr w:type="gramStart"/>
      <w:r w:rsidRPr="00B56DC9">
        <w:rPr>
          <w:rFonts w:ascii="Arial" w:hAnsi="Arial" w:cs="Arial"/>
          <w:sz w:val="24"/>
          <w:szCs w:val="24"/>
        </w:rPr>
        <w:t>NDIS.</w:t>
      </w:r>
      <w:proofErr w:type="gramEnd"/>
    </w:p>
    <w:p w:rsidR="00B56DC9" w:rsidRDefault="00B56DC9" w:rsidP="00B56DC9">
      <w:pPr>
        <w:pStyle w:val="Heading2"/>
      </w:pPr>
      <w:r>
        <w:t>ILC</w:t>
      </w:r>
    </w:p>
    <w:p w:rsidR="00B56DC9" w:rsidRDefault="00B56DC9" w:rsidP="0072257E">
      <w:pPr>
        <w:spacing w:before="120" w:after="120" w:line="276" w:lineRule="auto"/>
        <w:rPr>
          <w:rStyle w:val="Hyperlink"/>
          <w:rFonts w:ascii="Arial" w:hAnsi="Arial" w:cs="Arial"/>
          <w:sz w:val="24"/>
          <w:szCs w:val="24"/>
        </w:rPr>
      </w:pPr>
      <w:r w:rsidRPr="00B56DC9">
        <w:rPr>
          <w:rFonts w:ascii="Arial" w:hAnsi="Arial" w:cs="Arial"/>
          <w:sz w:val="24"/>
          <w:szCs w:val="24"/>
        </w:rPr>
        <w:t xml:space="preserve">Refers to Information, Linkages &amp; Capacity Building. This framework aims to increase the capacity for Australian communities’ to become more inclusive. ILC funding will be available to </w:t>
      </w:r>
      <w:proofErr w:type="spellStart"/>
      <w:r w:rsidRPr="00B56DC9">
        <w:rPr>
          <w:rFonts w:ascii="Arial" w:hAnsi="Arial" w:cs="Arial"/>
          <w:sz w:val="24"/>
          <w:szCs w:val="24"/>
        </w:rPr>
        <w:t>organisations</w:t>
      </w:r>
      <w:proofErr w:type="spellEnd"/>
      <w:r w:rsidRPr="00B56DC9">
        <w:rPr>
          <w:rFonts w:ascii="Arial" w:hAnsi="Arial" w:cs="Arial"/>
          <w:sz w:val="24"/>
          <w:szCs w:val="24"/>
        </w:rPr>
        <w:t xml:space="preserve"> through grants. The ILC framework’s key areas are: 1. Information, linkages and referral. 2. Capacity building of mainstream services. 3. Community awareness and capacity building. 4. Individual capacity building. 5. Local Area Coordination (this is implemented separately by the NDIA). </w:t>
      </w:r>
      <w:hyperlink r:id="rId12" w:history="1">
        <w:r w:rsidRPr="00B56DC9">
          <w:rPr>
            <w:rStyle w:val="Hyperlink"/>
            <w:rFonts w:ascii="Arial" w:hAnsi="Arial" w:cs="Arial"/>
            <w:sz w:val="24"/>
            <w:szCs w:val="24"/>
          </w:rPr>
          <w:t>Learn more.</w:t>
        </w:r>
      </w:hyperlink>
    </w:p>
    <w:p w:rsidR="00B56DC9" w:rsidRDefault="00B56DC9" w:rsidP="00B56DC9">
      <w:pPr>
        <w:pStyle w:val="Heading2"/>
      </w:pPr>
      <w:r>
        <w:lastRenderedPageBreak/>
        <w:t>Informal supports</w:t>
      </w:r>
    </w:p>
    <w:p w:rsidR="00B56DC9" w:rsidRDefault="007A6B64" w:rsidP="0072257E">
      <w:pPr>
        <w:spacing w:before="120" w:after="120" w:line="276" w:lineRule="auto"/>
        <w:rPr>
          <w:rFonts w:ascii="Arial" w:hAnsi="Arial" w:cs="Arial"/>
          <w:sz w:val="24"/>
          <w:szCs w:val="24"/>
        </w:rPr>
      </w:pPr>
      <w:r w:rsidRPr="007A6B64">
        <w:rPr>
          <w:rFonts w:ascii="Arial" w:hAnsi="Arial" w:cs="Arial"/>
          <w:sz w:val="24"/>
          <w:szCs w:val="24"/>
        </w:rPr>
        <w:t>These are supports available in the community, not funded by the NDIS and can include family, friends and social networks.</w:t>
      </w:r>
    </w:p>
    <w:p w:rsidR="007A6B64" w:rsidRDefault="007A6B64" w:rsidP="007A6B64">
      <w:pPr>
        <w:pStyle w:val="Heading2"/>
      </w:pPr>
      <w:r>
        <w:t>LAC</w:t>
      </w:r>
    </w:p>
    <w:p w:rsidR="007A6B64" w:rsidRDefault="007A6B64" w:rsidP="0072257E">
      <w:pPr>
        <w:spacing w:before="120" w:line="276" w:lineRule="auto"/>
        <w:rPr>
          <w:rFonts w:ascii="Arial" w:hAnsi="Arial" w:cs="Arial"/>
          <w:sz w:val="24"/>
          <w:szCs w:val="24"/>
        </w:rPr>
      </w:pPr>
      <w:r w:rsidRPr="007A6B64">
        <w:rPr>
          <w:rFonts w:ascii="Arial" w:hAnsi="Arial" w:cs="Arial"/>
          <w:sz w:val="24"/>
          <w:szCs w:val="24"/>
        </w:rPr>
        <w:t xml:space="preserve">Stands for Local Area Coordinator. The LAC is a partner of the NDIA and has three key functions: </w:t>
      </w:r>
    </w:p>
    <w:p w:rsidR="007A6B64" w:rsidRPr="007A6B64" w:rsidRDefault="007A6B64" w:rsidP="007A6B64">
      <w:pPr>
        <w:pStyle w:val="ListParagraph"/>
        <w:numPr>
          <w:ilvl w:val="0"/>
          <w:numId w:val="14"/>
        </w:numPr>
        <w:rPr>
          <w:rFonts w:ascii="Arial" w:hAnsi="Arial" w:cs="Arial"/>
          <w:sz w:val="24"/>
          <w:szCs w:val="24"/>
        </w:rPr>
      </w:pPr>
      <w:r w:rsidRPr="007A6B64">
        <w:rPr>
          <w:rFonts w:ascii="Arial" w:hAnsi="Arial" w:cs="Arial"/>
          <w:sz w:val="24"/>
          <w:szCs w:val="24"/>
        </w:rPr>
        <w:t xml:space="preserve">Planning, including conducting plan reviews. </w:t>
      </w:r>
    </w:p>
    <w:p w:rsidR="007A6B64" w:rsidRPr="007A6B64" w:rsidRDefault="007A6B64" w:rsidP="007A6B64">
      <w:pPr>
        <w:pStyle w:val="ListParagraph"/>
        <w:numPr>
          <w:ilvl w:val="0"/>
          <w:numId w:val="14"/>
        </w:numPr>
        <w:rPr>
          <w:rFonts w:ascii="Arial" w:hAnsi="Arial" w:cs="Arial"/>
          <w:sz w:val="24"/>
          <w:szCs w:val="24"/>
        </w:rPr>
      </w:pPr>
      <w:r w:rsidRPr="007A6B64">
        <w:rPr>
          <w:rFonts w:ascii="Arial" w:hAnsi="Arial" w:cs="Arial"/>
          <w:sz w:val="24"/>
          <w:szCs w:val="24"/>
        </w:rPr>
        <w:t xml:space="preserve">Plan implementation. </w:t>
      </w:r>
    </w:p>
    <w:p w:rsidR="007A6B64" w:rsidRPr="007A6B64" w:rsidRDefault="007A6B64" w:rsidP="007A6B64">
      <w:pPr>
        <w:pStyle w:val="ListParagraph"/>
        <w:numPr>
          <w:ilvl w:val="0"/>
          <w:numId w:val="14"/>
        </w:numPr>
        <w:rPr>
          <w:rFonts w:ascii="Arial" w:hAnsi="Arial" w:cs="Arial"/>
          <w:sz w:val="24"/>
          <w:szCs w:val="24"/>
        </w:rPr>
      </w:pPr>
      <w:r w:rsidRPr="007A6B64">
        <w:rPr>
          <w:rFonts w:ascii="Arial" w:hAnsi="Arial" w:cs="Arial"/>
          <w:sz w:val="24"/>
          <w:szCs w:val="24"/>
        </w:rPr>
        <w:t xml:space="preserve">Community linkages. </w:t>
      </w:r>
    </w:p>
    <w:p w:rsidR="007A6B64" w:rsidRDefault="007A6B64" w:rsidP="0072257E">
      <w:pPr>
        <w:spacing w:before="120" w:after="120"/>
        <w:rPr>
          <w:rStyle w:val="Hyperlink"/>
          <w:rFonts w:ascii="Arial" w:hAnsi="Arial" w:cs="Arial"/>
          <w:sz w:val="24"/>
          <w:szCs w:val="24"/>
        </w:rPr>
      </w:pPr>
      <w:r w:rsidRPr="007A6B64">
        <w:rPr>
          <w:rFonts w:ascii="Arial" w:hAnsi="Arial" w:cs="Arial"/>
          <w:sz w:val="24"/>
          <w:szCs w:val="24"/>
        </w:rPr>
        <w:t xml:space="preserve">It is anticipated that approximately 70-80% of participant plans will be developed and managed by their LAC. </w:t>
      </w:r>
      <w:hyperlink r:id="rId13" w:history="1">
        <w:r w:rsidRPr="007A6B64">
          <w:rPr>
            <w:rStyle w:val="Hyperlink"/>
            <w:rFonts w:ascii="Arial" w:hAnsi="Arial" w:cs="Arial"/>
            <w:sz w:val="24"/>
            <w:szCs w:val="24"/>
          </w:rPr>
          <w:t>Learn more.</w:t>
        </w:r>
      </w:hyperlink>
    </w:p>
    <w:p w:rsidR="007A6B64" w:rsidRDefault="007A6B64" w:rsidP="007A6B64">
      <w:pPr>
        <w:pStyle w:val="Heading2"/>
      </w:pPr>
      <w:r>
        <w:t>Mainstream</w:t>
      </w:r>
    </w:p>
    <w:p w:rsidR="007A6B64" w:rsidRDefault="007A6B64" w:rsidP="008F0088">
      <w:pPr>
        <w:spacing w:before="120" w:after="120" w:line="276" w:lineRule="auto"/>
        <w:rPr>
          <w:rFonts w:ascii="Arial" w:hAnsi="Arial" w:cs="Arial"/>
          <w:sz w:val="24"/>
          <w:szCs w:val="24"/>
        </w:rPr>
      </w:pPr>
      <w:r w:rsidRPr="007A6B64">
        <w:rPr>
          <w:rFonts w:ascii="Arial" w:hAnsi="Arial" w:cs="Arial"/>
          <w:sz w:val="24"/>
          <w:szCs w:val="24"/>
        </w:rPr>
        <w:t xml:space="preserve">Refers to non-disability specific services and </w:t>
      </w:r>
      <w:proofErr w:type="spellStart"/>
      <w:r w:rsidRPr="007A6B64">
        <w:rPr>
          <w:rFonts w:ascii="Arial" w:hAnsi="Arial" w:cs="Arial"/>
          <w:sz w:val="24"/>
          <w:szCs w:val="24"/>
        </w:rPr>
        <w:t>organisations</w:t>
      </w:r>
      <w:proofErr w:type="spellEnd"/>
      <w:r w:rsidRPr="007A6B64">
        <w:rPr>
          <w:rFonts w:ascii="Arial" w:hAnsi="Arial" w:cs="Arial"/>
          <w:sz w:val="24"/>
          <w:szCs w:val="24"/>
        </w:rPr>
        <w:t xml:space="preserve">, for example: health, education, justice, housing, child protection, </w:t>
      </w:r>
      <w:proofErr w:type="gramStart"/>
      <w:r w:rsidRPr="007A6B64">
        <w:rPr>
          <w:rFonts w:ascii="Arial" w:hAnsi="Arial" w:cs="Arial"/>
          <w:sz w:val="24"/>
          <w:szCs w:val="24"/>
        </w:rPr>
        <w:t>mental</w:t>
      </w:r>
      <w:proofErr w:type="gramEnd"/>
      <w:r w:rsidRPr="007A6B64">
        <w:rPr>
          <w:rFonts w:ascii="Arial" w:hAnsi="Arial" w:cs="Arial"/>
          <w:sz w:val="24"/>
          <w:szCs w:val="24"/>
        </w:rPr>
        <w:t xml:space="preserve"> health and employment services.</w:t>
      </w:r>
    </w:p>
    <w:p w:rsidR="007A6B64" w:rsidRDefault="007A6B64" w:rsidP="007A6B64">
      <w:pPr>
        <w:pStyle w:val="Heading2"/>
      </w:pPr>
      <w:proofErr w:type="spellStart"/>
      <w:proofErr w:type="gramStart"/>
      <w:r>
        <w:t>myplace</w:t>
      </w:r>
      <w:proofErr w:type="spellEnd"/>
      <w:proofErr w:type="gramEnd"/>
    </w:p>
    <w:p w:rsidR="007A6B64" w:rsidRDefault="007A6B64" w:rsidP="008F0088">
      <w:pPr>
        <w:spacing w:before="120" w:after="120" w:line="276" w:lineRule="auto"/>
        <w:rPr>
          <w:rFonts w:ascii="Arial" w:hAnsi="Arial" w:cs="Arial"/>
          <w:sz w:val="24"/>
          <w:szCs w:val="24"/>
        </w:rPr>
      </w:pPr>
      <w:r w:rsidRPr="007A6B64">
        <w:rPr>
          <w:rFonts w:ascii="Arial" w:hAnsi="Arial" w:cs="Arial"/>
          <w:sz w:val="24"/>
          <w:szCs w:val="24"/>
        </w:rPr>
        <w:t>Refers to the online portal used by providers and participants to perform administrative functions including: creating service bookings, reviewing available funds in a participant plan and finding registered providers.</w:t>
      </w:r>
    </w:p>
    <w:p w:rsidR="007A6B64" w:rsidRDefault="007A6B64" w:rsidP="007A6B64">
      <w:pPr>
        <w:pStyle w:val="Heading2"/>
      </w:pPr>
      <w:r>
        <w:t>NDIA</w:t>
      </w:r>
    </w:p>
    <w:p w:rsidR="007A6B64" w:rsidRDefault="007A6B64" w:rsidP="008F0088">
      <w:pPr>
        <w:spacing w:before="120" w:after="120" w:line="276" w:lineRule="auto"/>
        <w:rPr>
          <w:rStyle w:val="Hyperlink"/>
          <w:rFonts w:ascii="Arial" w:hAnsi="Arial" w:cs="Arial"/>
          <w:sz w:val="24"/>
          <w:szCs w:val="24"/>
        </w:rPr>
      </w:pPr>
      <w:r w:rsidRPr="007A6B64">
        <w:rPr>
          <w:rFonts w:ascii="Arial" w:hAnsi="Arial" w:cs="Arial"/>
          <w:sz w:val="24"/>
          <w:szCs w:val="24"/>
        </w:rPr>
        <w:t xml:space="preserve">The National Disability Insurance Agency, which implements and oversees implementation of the NDIS. </w:t>
      </w:r>
      <w:hyperlink r:id="rId14" w:history="1">
        <w:r w:rsidRPr="007A6B64">
          <w:rPr>
            <w:rStyle w:val="Hyperlink"/>
            <w:rFonts w:ascii="Arial" w:hAnsi="Arial" w:cs="Arial"/>
            <w:sz w:val="24"/>
            <w:szCs w:val="24"/>
          </w:rPr>
          <w:t>Lea</w:t>
        </w:r>
        <w:r w:rsidR="008F0088">
          <w:rPr>
            <w:rStyle w:val="Hyperlink"/>
            <w:rFonts w:ascii="Arial" w:hAnsi="Arial" w:cs="Arial"/>
            <w:sz w:val="24"/>
            <w:szCs w:val="24"/>
          </w:rPr>
          <w:t>r</w:t>
        </w:r>
        <w:r w:rsidRPr="007A6B64">
          <w:rPr>
            <w:rStyle w:val="Hyperlink"/>
            <w:rFonts w:ascii="Arial" w:hAnsi="Arial" w:cs="Arial"/>
            <w:sz w:val="24"/>
            <w:szCs w:val="24"/>
          </w:rPr>
          <w:t>n more.</w:t>
        </w:r>
      </w:hyperlink>
    </w:p>
    <w:p w:rsidR="007A6B64" w:rsidRDefault="007A6B64" w:rsidP="007A6B64">
      <w:pPr>
        <w:pStyle w:val="Heading2"/>
      </w:pPr>
      <w:r>
        <w:t>NDIS</w:t>
      </w:r>
    </w:p>
    <w:p w:rsidR="007A6B64" w:rsidRDefault="007A6B64" w:rsidP="008F0088">
      <w:pPr>
        <w:spacing w:before="120" w:after="120" w:line="276" w:lineRule="auto"/>
        <w:rPr>
          <w:rStyle w:val="Hyperlink"/>
          <w:rFonts w:ascii="Arial" w:hAnsi="Arial" w:cs="Arial"/>
          <w:sz w:val="24"/>
          <w:szCs w:val="24"/>
        </w:rPr>
      </w:pPr>
      <w:r w:rsidRPr="007A6B64">
        <w:rPr>
          <w:rFonts w:ascii="Arial" w:hAnsi="Arial" w:cs="Arial"/>
          <w:sz w:val="24"/>
          <w:szCs w:val="24"/>
        </w:rPr>
        <w:t xml:space="preserve">National Disability Insurance Scheme is the funding and legislative framework established by the National Disability Insurance Scheme Act 2013. </w:t>
      </w:r>
      <w:hyperlink r:id="rId15" w:history="1">
        <w:r w:rsidRPr="007A6B64">
          <w:rPr>
            <w:rStyle w:val="Hyperlink"/>
            <w:rFonts w:ascii="Arial" w:hAnsi="Arial" w:cs="Arial"/>
            <w:sz w:val="24"/>
            <w:szCs w:val="24"/>
          </w:rPr>
          <w:t>Learn more.</w:t>
        </w:r>
      </w:hyperlink>
    </w:p>
    <w:p w:rsidR="007A6B64" w:rsidRDefault="007A6B64" w:rsidP="007A6B64">
      <w:pPr>
        <w:pStyle w:val="Heading2"/>
      </w:pPr>
      <w:r>
        <w:t>Nominee</w:t>
      </w:r>
    </w:p>
    <w:p w:rsidR="007A6B64" w:rsidRPr="007A6B64" w:rsidRDefault="004955A0" w:rsidP="008F0088">
      <w:pPr>
        <w:spacing w:line="276" w:lineRule="auto"/>
        <w:rPr>
          <w:rFonts w:ascii="Arial" w:hAnsi="Arial" w:cs="Arial"/>
          <w:sz w:val="24"/>
          <w:szCs w:val="24"/>
        </w:rPr>
      </w:pPr>
      <w:r>
        <w:rPr>
          <w:rFonts w:ascii="Arial" w:hAnsi="Arial" w:cs="Arial"/>
          <w:sz w:val="24"/>
          <w:szCs w:val="24"/>
        </w:rPr>
        <w:t>A Nominee i</w:t>
      </w:r>
      <w:r w:rsidR="007A6B64" w:rsidRPr="007A6B64">
        <w:rPr>
          <w:rFonts w:ascii="Arial" w:hAnsi="Arial" w:cs="Arial"/>
          <w:sz w:val="24"/>
          <w:szCs w:val="24"/>
        </w:rPr>
        <w:t xml:space="preserve">s an individual appointed by the NDIA to be the point of contact and/or sign Service Agreements and make decisions regarding supports on behalf of the participant. A nominee is appointed either at the request of the participant or directly by the NDIA in specific circumstances. </w:t>
      </w:r>
      <w:hyperlink r:id="rId16" w:history="1">
        <w:r w:rsidR="007A6B64" w:rsidRPr="007A6B64">
          <w:rPr>
            <w:rStyle w:val="Hyperlink"/>
            <w:rFonts w:ascii="Arial" w:hAnsi="Arial" w:cs="Arial"/>
            <w:sz w:val="24"/>
            <w:szCs w:val="24"/>
          </w:rPr>
          <w:t>Learn more</w:t>
        </w:r>
      </w:hyperlink>
      <w:r w:rsidR="007A6B64" w:rsidRPr="007A6B64">
        <w:rPr>
          <w:rFonts w:ascii="Arial" w:hAnsi="Arial" w:cs="Arial"/>
          <w:sz w:val="24"/>
          <w:szCs w:val="24"/>
        </w:rPr>
        <w:t>.</w:t>
      </w:r>
    </w:p>
    <w:p w:rsidR="007A6B64" w:rsidRDefault="007A6B64" w:rsidP="007A6B64">
      <w:pPr>
        <w:pStyle w:val="Heading2"/>
      </w:pPr>
      <w:r>
        <w:t>Participant</w:t>
      </w:r>
    </w:p>
    <w:p w:rsidR="007A6B64" w:rsidRDefault="007A6B64" w:rsidP="008F0088">
      <w:pPr>
        <w:spacing w:before="120" w:after="120" w:line="276" w:lineRule="auto"/>
        <w:rPr>
          <w:rFonts w:ascii="Arial" w:hAnsi="Arial" w:cs="Arial"/>
          <w:sz w:val="24"/>
          <w:szCs w:val="24"/>
        </w:rPr>
      </w:pPr>
      <w:r w:rsidRPr="007A6B64">
        <w:rPr>
          <w:rFonts w:ascii="Arial" w:hAnsi="Arial" w:cs="Arial"/>
          <w:sz w:val="24"/>
          <w:szCs w:val="24"/>
        </w:rPr>
        <w:t xml:space="preserve">Is an individual who is eligible for the </w:t>
      </w:r>
      <w:proofErr w:type="gramStart"/>
      <w:r w:rsidRPr="007A6B64">
        <w:rPr>
          <w:rFonts w:ascii="Arial" w:hAnsi="Arial" w:cs="Arial"/>
          <w:sz w:val="24"/>
          <w:szCs w:val="24"/>
        </w:rPr>
        <w:t>NDIS.</w:t>
      </w:r>
      <w:proofErr w:type="gramEnd"/>
      <w:r w:rsidRPr="007A6B64">
        <w:rPr>
          <w:rFonts w:ascii="Arial" w:hAnsi="Arial" w:cs="Arial"/>
          <w:sz w:val="24"/>
          <w:szCs w:val="24"/>
        </w:rPr>
        <w:t xml:space="preserve"> </w:t>
      </w:r>
      <w:hyperlink r:id="rId17" w:history="1">
        <w:r w:rsidRPr="007A6B64">
          <w:rPr>
            <w:rStyle w:val="Hyperlink"/>
            <w:rFonts w:ascii="Arial" w:hAnsi="Arial" w:cs="Arial"/>
            <w:sz w:val="24"/>
            <w:szCs w:val="24"/>
          </w:rPr>
          <w:t>Learn more</w:t>
        </w:r>
      </w:hyperlink>
      <w:r w:rsidRPr="007A6B64">
        <w:rPr>
          <w:rFonts w:ascii="Arial" w:hAnsi="Arial" w:cs="Arial"/>
          <w:sz w:val="24"/>
          <w:szCs w:val="24"/>
        </w:rPr>
        <w:t>.</w:t>
      </w:r>
    </w:p>
    <w:p w:rsidR="007A6B64" w:rsidRDefault="007A6B64" w:rsidP="007A6B64">
      <w:pPr>
        <w:pStyle w:val="Heading2"/>
      </w:pPr>
      <w:r>
        <w:t>Payment request</w:t>
      </w:r>
    </w:p>
    <w:p w:rsidR="007A6B64" w:rsidRDefault="007A6B64" w:rsidP="008F0088">
      <w:pPr>
        <w:spacing w:before="120" w:after="120" w:line="276" w:lineRule="auto"/>
        <w:rPr>
          <w:rStyle w:val="Hyperlink"/>
          <w:rFonts w:ascii="Arial" w:hAnsi="Arial" w:cs="Arial"/>
          <w:sz w:val="24"/>
          <w:szCs w:val="24"/>
        </w:rPr>
      </w:pPr>
      <w:r w:rsidRPr="007A6B64">
        <w:rPr>
          <w:rFonts w:ascii="Arial" w:hAnsi="Arial" w:cs="Arial"/>
          <w:sz w:val="24"/>
          <w:szCs w:val="24"/>
        </w:rPr>
        <w:t xml:space="preserve">Refers to how providers will receive payment for supports provided. Providers will either create an individual payment request or submit a bulk upload on </w:t>
      </w:r>
      <w:proofErr w:type="spellStart"/>
      <w:r w:rsidRPr="007A6B64">
        <w:rPr>
          <w:rFonts w:ascii="Arial" w:hAnsi="Arial" w:cs="Arial"/>
          <w:sz w:val="24"/>
          <w:szCs w:val="24"/>
        </w:rPr>
        <w:t>myplace</w:t>
      </w:r>
      <w:proofErr w:type="spellEnd"/>
      <w:r w:rsidRPr="007A6B64">
        <w:rPr>
          <w:rFonts w:ascii="Arial" w:hAnsi="Arial" w:cs="Arial"/>
          <w:sz w:val="24"/>
          <w:szCs w:val="24"/>
        </w:rPr>
        <w:t xml:space="preserve"> or invoice the appropriate party directly (the participant or plan manager). How providers make payment requests is determined by how the participant’s funding is managed. </w:t>
      </w:r>
      <w:hyperlink r:id="rId18" w:history="1">
        <w:r w:rsidRPr="007A6B64">
          <w:rPr>
            <w:rStyle w:val="Hyperlink"/>
            <w:rFonts w:ascii="Arial" w:hAnsi="Arial" w:cs="Arial"/>
            <w:sz w:val="24"/>
            <w:szCs w:val="24"/>
          </w:rPr>
          <w:t>Learn more.</w:t>
        </w:r>
      </w:hyperlink>
    </w:p>
    <w:p w:rsidR="007A6B64" w:rsidRDefault="007A6B64" w:rsidP="007A6B64">
      <w:pPr>
        <w:pStyle w:val="Heading2"/>
      </w:pPr>
      <w:r>
        <w:lastRenderedPageBreak/>
        <w:t>Plan Manager</w:t>
      </w:r>
    </w:p>
    <w:p w:rsidR="007A6B64" w:rsidRDefault="007A6B64" w:rsidP="004955A0">
      <w:pPr>
        <w:spacing w:before="120" w:after="120" w:line="276" w:lineRule="auto"/>
        <w:rPr>
          <w:rFonts w:ascii="Arial" w:hAnsi="Arial" w:cs="Arial"/>
          <w:sz w:val="24"/>
          <w:szCs w:val="24"/>
        </w:rPr>
      </w:pPr>
      <w:r w:rsidRPr="007A6B64">
        <w:rPr>
          <w:rFonts w:ascii="Arial" w:hAnsi="Arial" w:cs="Arial"/>
          <w:sz w:val="24"/>
          <w:szCs w:val="24"/>
        </w:rPr>
        <w:t>May also be known as a Financial Intermediary. This funded support assists a participant to manage their funding. If funding is managed by a plan manager, providers will need to invoice the plan manager directly to receive payment for supports delivered. If a participants’ funding is managed by a Plan Manager, the provider will not be able to make a service booking.</w:t>
      </w:r>
    </w:p>
    <w:p w:rsidR="007A6B64" w:rsidRDefault="007A6B64" w:rsidP="007A6B64">
      <w:pPr>
        <w:pStyle w:val="Heading2"/>
      </w:pPr>
      <w:r>
        <w:t>Reasonable and necessary</w:t>
      </w:r>
    </w:p>
    <w:p w:rsidR="007A6B64" w:rsidRDefault="00277991" w:rsidP="004955A0">
      <w:pPr>
        <w:spacing w:before="120" w:after="120" w:line="276" w:lineRule="auto"/>
        <w:rPr>
          <w:rFonts w:ascii="Arial" w:hAnsi="Arial" w:cs="Arial"/>
          <w:sz w:val="24"/>
          <w:szCs w:val="24"/>
        </w:rPr>
      </w:pPr>
      <w:r w:rsidRPr="00277991">
        <w:rPr>
          <w:rFonts w:ascii="Arial" w:hAnsi="Arial" w:cs="Arial"/>
          <w:sz w:val="24"/>
          <w:szCs w:val="24"/>
        </w:rPr>
        <w:t xml:space="preserve">Is a concept defined under Section 34 of the National Disability Insurance Scheme Act 2013, used by the NDIA to determine; whether or not a support is most appropriately funded by the NDIS, what kind of support is required and how much support is </w:t>
      </w:r>
      <w:proofErr w:type="gramStart"/>
      <w:r w:rsidRPr="00277991">
        <w:rPr>
          <w:rFonts w:ascii="Arial" w:hAnsi="Arial" w:cs="Arial"/>
          <w:sz w:val="24"/>
          <w:szCs w:val="24"/>
        </w:rPr>
        <w:t>appropriate.</w:t>
      </w:r>
      <w:proofErr w:type="gramEnd"/>
      <w:r w:rsidRPr="00277991">
        <w:rPr>
          <w:rFonts w:ascii="Arial" w:hAnsi="Arial" w:cs="Arial"/>
          <w:sz w:val="24"/>
          <w:szCs w:val="24"/>
        </w:rPr>
        <w:t xml:space="preserve"> </w:t>
      </w:r>
      <w:hyperlink r:id="rId19" w:history="1">
        <w:r w:rsidRPr="00277991">
          <w:rPr>
            <w:rStyle w:val="Hyperlink"/>
            <w:rFonts w:ascii="Arial" w:hAnsi="Arial" w:cs="Arial"/>
            <w:sz w:val="24"/>
            <w:szCs w:val="24"/>
          </w:rPr>
          <w:t>Learn more</w:t>
        </w:r>
      </w:hyperlink>
      <w:r w:rsidRPr="00277991">
        <w:rPr>
          <w:rFonts w:ascii="Arial" w:hAnsi="Arial" w:cs="Arial"/>
          <w:sz w:val="24"/>
          <w:szCs w:val="24"/>
        </w:rPr>
        <w:t>.</w:t>
      </w:r>
    </w:p>
    <w:p w:rsidR="00277991" w:rsidRDefault="00F976CA" w:rsidP="00277991">
      <w:pPr>
        <w:pStyle w:val="Heading2"/>
      </w:pPr>
      <w:r>
        <w:t>Registered provider</w:t>
      </w:r>
    </w:p>
    <w:p w:rsidR="00F976CA" w:rsidRDefault="00F976CA" w:rsidP="004955A0">
      <w:pPr>
        <w:spacing w:before="120" w:after="120" w:line="276" w:lineRule="auto"/>
        <w:rPr>
          <w:rFonts w:ascii="Arial" w:hAnsi="Arial" w:cs="Arial"/>
          <w:sz w:val="24"/>
          <w:szCs w:val="24"/>
        </w:rPr>
      </w:pPr>
      <w:r w:rsidRPr="00F976CA">
        <w:rPr>
          <w:rFonts w:ascii="Arial" w:hAnsi="Arial" w:cs="Arial"/>
          <w:sz w:val="24"/>
          <w:szCs w:val="24"/>
        </w:rPr>
        <w:t xml:space="preserve">Is an </w:t>
      </w:r>
      <w:proofErr w:type="spellStart"/>
      <w:r w:rsidRPr="00F976CA">
        <w:rPr>
          <w:rFonts w:ascii="Arial" w:hAnsi="Arial" w:cs="Arial"/>
          <w:sz w:val="24"/>
          <w:szCs w:val="24"/>
        </w:rPr>
        <w:t>organisation</w:t>
      </w:r>
      <w:proofErr w:type="spellEnd"/>
      <w:r w:rsidRPr="00F976CA">
        <w:rPr>
          <w:rFonts w:ascii="Arial" w:hAnsi="Arial" w:cs="Arial"/>
          <w:sz w:val="24"/>
          <w:szCs w:val="24"/>
        </w:rPr>
        <w:t xml:space="preserve"> registered with the NDIA to provide NDIS </w:t>
      </w:r>
      <w:proofErr w:type="gramStart"/>
      <w:r w:rsidRPr="00F976CA">
        <w:rPr>
          <w:rFonts w:ascii="Arial" w:hAnsi="Arial" w:cs="Arial"/>
          <w:sz w:val="24"/>
          <w:szCs w:val="24"/>
        </w:rPr>
        <w:t>supports.</w:t>
      </w:r>
      <w:proofErr w:type="gramEnd"/>
      <w:r w:rsidRPr="00F976CA">
        <w:rPr>
          <w:rFonts w:ascii="Arial" w:hAnsi="Arial" w:cs="Arial"/>
          <w:sz w:val="24"/>
          <w:szCs w:val="24"/>
        </w:rPr>
        <w:t xml:space="preserve"> Registered providers are bound by NDIA Terms of Business and other key policy frameworks such as NDIS Price Guide. </w:t>
      </w:r>
      <w:hyperlink r:id="rId20" w:history="1">
        <w:r w:rsidRPr="00F976CA">
          <w:rPr>
            <w:rStyle w:val="Hyperlink"/>
            <w:rFonts w:ascii="Arial" w:hAnsi="Arial" w:cs="Arial"/>
            <w:sz w:val="24"/>
            <w:szCs w:val="24"/>
          </w:rPr>
          <w:t>Learn more</w:t>
        </w:r>
      </w:hyperlink>
      <w:r w:rsidRPr="00F976CA">
        <w:rPr>
          <w:rFonts w:ascii="Arial" w:hAnsi="Arial" w:cs="Arial"/>
          <w:sz w:val="24"/>
          <w:szCs w:val="24"/>
        </w:rPr>
        <w:t>.</w:t>
      </w:r>
    </w:p>
    <w:p w:rsidR="00F976CA" w:rsidRDefault="008A79F3" w:rsidP="008A79F3">
      <w:pPr>
        <w:pStyle w:val="Heading2"/>
      </w:pPr>
      <w:r>
        <w:t>SDA</w:t>
      </w:r>
    </w:p>
    <w:p w:rsidR="008A79F3" w:rsidRDefault="008A79F3" w:rsidP="004955A0">
      <w:pPr>
        <w:spacing w:before="120" w:after="120" w:line="276" w:lineRule="auto"/>
        <w:rPr>
          <w:rStyle w:val="Hyperlink"/>
          <w:rFonts w:ascii="Arial" w:hAnsi="Arial" w:cs="Arial"/>
          <w:sz w:val="24"/>
          <w:szCs w:val="24"/>
        </w:rPr>
      </w:pPr>
      <w:r w:rsidRPr="008A79F3">
        <w:rPr>
          <w:rFonts w:ascii="Arial" w:hAnsi="Arial" w:cs="Arial"/>
          <w:sz w:val="24"/>
          <w:szCs w:val="24"/>
        </w:rPr>
        <w:t>Specialist Disability Accommodation refers to specialist disabili</w:t>
      </w:r>
      <w:r w:rsidR="004955A0">
        <w:rPr>
          <w:rFonts w:ascii="Arial" w:hAnsi="Arial" w:cs="Arial"/>
          <w:sz w:val="24"/>
          <w:szCs w:val="24"/>
        </w:rPr>
        <w:t xml:space="preserve">ty housing under the NDIS. </w:t>
      </w:r>
      <w:hyperlink r:id="rId21" w:history="1">
        <w:r w:rsidRPr="008A79F3">
          <w:rPr>
            <w:rStyle w:val="Hyperlink"/>
            <w:rFonts w:ascii="Arial" w:hAnsi="Arial" w:cs="Arial"/>
            <w:sz w:val="24"/>
            <w:szCs w:val="24"/>
          </w:rPr>
          <w:t>Learn more.</w:t>
        </w:r>
      </w:hyperlink>
    </w:p>
    <w:p w:rsidR="008A79F3" w:rsidRDefault="008A79F3" w:rsidP="008A79F3">
      <w:pPr>
        <w:pStyle w:val="Heading2"/>
      </w:pPr>
      <w:r>
        <w:t>Service Agreement</w:t>
      </w:r>
    </w:p>
    <w:p w:rsidR="008A79F3" w:rsidRDefault="00671D76" w:rsidP="004955A0">
      <w:pPr>
        <w:spacing w:before="120" w:after="120" w:line="276" w:lineRule="auto"/>
        <w:rPr>
          <w:rStyle w:val="Hyperlink"/>
          <w:rFonts w:ascii="Arial" w:hAnsi="Arial" w:cs="Arial"/>
          <w:sz w:val="24"/>
          <w:szCs w:val="24"/>
        </w:rPr>
      </w:pPr>
      <w:r w:rsidRPr="00671D76">
        <w:rPr>
          <w:rFonts w:ascii="Arial" w:hAnsi="Arial" w:cs="Arial"/>
          <w:sz w:val="24"/>
          <w:szCs w:val="24"/>
        </w:rPr>
        <w:t xml:space="preserve">Is a written agreement between a provider and a </w:t>
      </w:r>
      <w:proofErr w:type="gramStart"/>
      <w:r w:rsidRPr="00671D76">
        <w:rPr>
          <w:rFonts w:ascii="Arial" w:hAnsi="Arial" w:cs="Arial"/>
          <w:sz w:val="24"/>
          <w:szCs w:val="24"/>
        </w:rPr>
        <w:t>participant.</w:t>
      </w:r>
      <w:proofErr w:type="gramEnd"/>
      <w:r w:rsidRPr="00671D76">
        <w:rPr>
          <w:rFonts w:ascii="Arial" w:hAnsi="Arial" w:cs="Arial"/>
          <w:sz w:val="24"/>
          <w:szCs w:val="24"/>
        </w:rPr>
        <w:t xml:space="preserve"> All providers delivering NDIS supports should have a written agreement in place for GST and payment assurance purposes and must have an agreement in place for SDA supports. </w:t>
      </w:r>
      <w:hyperlink r:id="rId22" w:history="1">
        <w:r w:rsidRPr="00671D76">
          <w:rPr>
            <w:rStyle w:val="Hyperlink"/>
            <w:rFonts w:ascii="Arial" w:hAnsi="Arial" w:cs="Arial"/>
            <w:sz w:val="24"/>
            <w:szCs w:val="24"/>
          </w:rPr>
          <w:t>Learn more.</w:t>
        </w:r>
      </w:hyperlink>
    </w:p>
    <w:p w:rsidR="00671D76" w:rsidRDefault="00671D76" w:rsidP="00671D76">
      <w:pPr>
        <w:pStyle w:val="Heading2"/>
      </w:pPr>
      <w:r>
        <w:t>Service Booking</w:t>
      </w:r>
    </w:p>
    <w:p w:rsidR="004955A0" w:rsidRPr="004955A0" w:rsidRDefault="004955A0" w:rsidP="004955A0">
      <w:pPr>
        <w:spacing w:before="120" w:after="120" w:line="276" w:lineRule="auto"/>
        <w:rPr>
          <w:rFonts w:ascii="Arial" w:hAnsi="Arial" w:cs="Arial"/>
          <w:sz w:val="24"/>
          <w:szCs w:val="24"/>
        </w:rPr>
      </w:pPr>
      <w:r w:rsidRPr="004955A0">
        <w:rPr>
          <w:rFonts w:ascii="Arial" w:hAnsi="Arial" w:cs="Arial"/>
          <w:sz w:val="24"/>
          <w:szCs w:val="24"/>
        </w:rPr>
        <w:t xml:space="preserve">These can be made through the </w:t>
      </w:r>
      <w:proofErr w:type="spellStart"/>
      <w:r w:rsidRPr="004955A0">
        <w:rPr>
          <w:rFonts w:ascii="Arial" w:hAnsi="Arial" w:cs="Arial"/>
          <w:sz w:val="24"/>
          <w:szCs w:val="24"/>
        </w:rPr>
        <w:t>myplace</w:t>
      </w:r>
      <w:proofErr w:type="spellEnd"/>
      <w:r w:rsidRPr="004955A0">
        <w:rPr>
          <w:rFonts w:ascii="Arial" w:hAnsi="Arial" w:cs="Arial"/>
          <w:sz w:val="24"/>
          <w:szCs w:val="24"/>
        </w:rPr>
        <w:t xml:space="preserve"> portal by either the provider or the participant (or by a Plan Manager where a participant’s funding is managed by the Plan Manager). A service booking quarantines allocated funds from a participant’s plan to a provider. Providers delivering supports for which the funding is managed by NDIA, need to ensure that a service booking is in place in order to receive payment for supports provided. </w:t>
      </w:r>
      <w:hyperlink r:id="rId23" w:history="1">
        <w:r w:rsidRPr="004955A0">
          <w:rPr>
            <w:rStyle w:val="Hyperlink"/>
            <w:rFonts w:ascii="Arial" w:hAnsi="Arial" w:cs="Arial"/>
            <w:sz w:val="24"/>
            <w:szCs w:val="24"/>
          </w:rPr>
          <w:t>Learn more.</w:t>
        </w:r>
      </w:hyperlink>
    </w:p>
    <w:p w:rsidR="00671D76" w:rsidRDefault="00671D76" w:rsidP="00671D76">
      <w:pPr>
        <w:pStyle w:val="Heading2"/>
      </w:pPr>
      <w:r>
        <w:t>SIL</w:t>
      </w:r>
    </w:p>
    <w:p w:rsidR="00671D76" w:rsidRDefault="00671D76" w:rsidP="004955A0">
      <w:pPr>
        <w:spacing w:before="120" w:after="120" w:line="276" w:lineRule="auto"/>
        <w:rPr>
          <w:rFonts w:ascii="Arial" w:hAnsi="Arial" w:cs="Arial"/>
          <w:sz w:val="24"/>
          <w:szCs w:val="24"/>
        </w:rPr>
      </w:pPr>
      <w:r w:rsidRPr="00671D76">
        <w:rPr>
          <w:rFonts w:ascii="Arial" w:hAnsi="Arial" w:cs="Arial"/>
          <w:sz w:val="24"/>
          <w:szCs w:val="24"/>
        </w:rPr>
        <w:t>Supported Independent Living refers to funded services provided to participants to support them to live independently. This support is usually provided in a residence shared with other NDIS participants and in conjunction with SDA (see definition above). Please note, SIL can be provided in non-SDA residences.</w:t>
      </w:r>
    </w:p>
    <w:p w:rsidR="00671D76" w:rsidRDefault="00671D76" w:rsidP="00671D76">
      <w:pPr>
        <w:pStyle w:val="Heading2"/>
      </w:pPr>
      <w:r>
        <w:t>SLES</w:t>
      </w:r>
    </w:p>
    <w:p w:rsidR="00671D76" w:rsidRDefault="00671D76" w:rsidP="004955A0">
      <w:pPr>
        <w:spacing w:before="120" w:after="120" w:line="276" w:lineRule="auto"/>
        <w:rPr>
          <w:rStyle w:val="Hyperlink"/>
          <w:rFonts w:ascii="Arial" w:hAnsi="Arial" w:cs="Arial"/>
          <w:sz w:val="24"/>
          <w:szCs w:val="24"/>
        </w:rPr>
      </w:pPr>
      <w:r w:rsidRPr="00671D76">
        <w:rPr>
          <w:rFonts w:ascii="Arial" w:hAnsi="Arial" w:cs="Arial"/>
          <w:sz w:val="24"/>
          <w:szCs w:val="24"/>
        </w:rPr>
        <w:t xml:space="preserve">Refers to School Leaver Employment Supports - a support package funded to assist Year 12 school leavers to transition from school into employment. SLES is funded over two years for supports for achieving employment outcomes. </w:t>
      </w:r>
      <w:hyperlink r:id="rId24" w:history="1">
        <w:r w:rsidRPr="00671D76">
          <w:rPr>
            <w:rStyle w:val="Hyperlink"/>
            <w:rFonts w:ascii="Arial" w:hAnsi="Arial" w:cs="Arial"/>
            <w:sz w:val="24"/>
            <w:szCs w:val="24"/>
          </w:rPr>
          <w:t>Learn more.</w:t>
        </w:r>
      </w:hyperlink>
    </w:p>
    <w:p w:rsidR="00671D76" w:rsidRDefault="00671D76" w:rsidP="00671D76">
      <w:pPr>
        <w:pStyle w:val="Heading2"/>
      </w:pPr>
      <w:r>
        <w:t>STA</w:t>
      </w:r>
    </w:p>
    <w:p w:rsidR="00671D76" w:rsidRDefault="00671D76" w:rsidP="004955A0">
      <w:pPr>
        <w:spacing w:before="120" w:after="120" w:line="276" w:lineRule="auto"/>
        <w:rPr>
          <w:rStyle w:val="Hyperlink"/>
          <w:rFonts w:ascii="Arial" w:hAnsi="Arial" w:cs="Arial"/>
          <w:sz w:val="24"/>
          <w:szCs w:val="24"/>
        </w:rPr>
      </w:pPr>
      <w:r w:rsidRPr="00671D76">
        <w:rPr>
          <w:rFonts w:ascii="Arial" w:hAnsi="Arial" w:cs="Arial"/>
          <w:sz w:val="24"/>
          <w:szCs w:val="24"/>
        </w:rPr>
        <w:t xml:space="preserve">Short-term Accommodation refers to supports previously known as ‘respite’. It describes supports provided for a limited period of time, typically delivered in a group-based facility. </w:t>
      </w:r>
      <w:hyperlink r:id="rId25" w:history="1">
        <w:r w:rsidRPr="00671D76">
          <w:rPr>
            <w:rStyle w:val="Hyperlink"/>
            <w:rFonts w:ascii="Arial" w:hAnsi="Arial" w:cs="Arial"/>
            <w:sz w:val="24"/>
            <w:szCs w:val="24"/>
          </w:rPr>
          <w:t>Learn more.</w:t>
        </w:r>
      </w:hyperlink>
    </w:p>
    <w:p w:rsidR="00671D76" w:rsidRDefault="00671D76" w:rsidP="00671D76">
      <w:pPr>
        <w:pStyle w:val="Heading2"/>
      </w:pPr>
      <w:r>
        <w:t>Support Coordinator</w:t>
      </w:r>
    </w:p>
    <w:p w:rsidR="00671D76" w:rsidRPr="00C50A63" w:rsidRDefault="00C50A63" w:rsidP="004955A0">
      <w:pPr>
        <w:spacing w:before="120" w:after="120" w:line="276" w:lineRule="auto"/>
        <w:rPr>
          <w:rFonts w:ascii="Arial" w:hAnsi="Arial" w:cs="Arial"/>
          <w:sz w:val="24"/>
          <w:szCs w:val="24"/>
        </w:rPr>
      </w:pPr>
      <w:r w:rsidRPr="00C50A63">
        <w:rPr>
          <w:rFonts w:ascii="Arial" w:hAnsi="Arial" w:cs="Arial"/>
          <w:sz w:val="24"/>
          <w:szCs w:val="24"/>
        </w:rPr>
        <w:t xml:space="preserve">Is a funded support which assists participants to implement their plan, manage their supports and build participant capacity to manage their own </w:t>
      </w:r>
      <w:proofErr w:type="gramStart"/>
      <w:r w:rsidRPr="00C50A63">
        <w:rPr>
          <w:rFonts w:ascii="Arial" w:hAnsi="Arial" w:cs="Arial"/>
          <w:sz w:val="24"/>
          <w:szCs w:val="24"/>
        </w:rPr>
        <w:t>supports.</w:t>
      </w:r>
      <w:proofErr w:type="gramEnd"/>
      <w:r w:rsidRPr="00C50A63">
        <w:rPr>
          <w:rFonts w:ascii="Arial" w:hAnsi="Arial" w:cs="Arial"/>
          <w:sz w:val="24"/>
          <w:szCs w:val="24"/>
        </w:rPr>
        <w:t xml:space="preserve"> There are 3 different levels of Support Coordination (Support Connection, Coordination of Supports and Specialist Support Coordination). Please refer to the </w:t>
      </w:r>
      <w:hyperlink r:id="rId26" w:history="1">
        <w:r w:rsidRPr="00C50A63">
          <w:rPr>
            <w:rStyle w:val="Hyperlink"/>
            <w:rFonts w:ascii="Arial" w:hAnsi="Arial" w:cs="Arial"/>
            <w:sz w:val="24"/>
            <w:szCs w:val="24"/>
          </w:rPr>
          <w:t>Price Guide</w:t>
        </w:r>
      </w:hyperlink>
      <w:r w:rsidRPr="00C50A63">
        <w:rPr>
          <w:rFonts w:ascii="Arial" w:hAnsi="Arial" w:cs="Arial"/>
          <w:sz w:val="24"/>
          <w:szCs w:val="24"/>
        </w:rPr>
        <w:t xml:space="preserve"> and </w:t>
      </w:r>
      <w:hyperlink r:id="rId27" w:history="1">
        <w:r w:rsidRPr="00C50A63">
          <w:rPr>
            <w:rStyle w:val="Hyperlink"/>
            <w:rFonts w:ascii="Arial" w:hAnsi="Arial" w:cs="Arial"/>
            <w:sz w:val="24"/>
            <w:szCs w:val="24"/>
          </w:rPr>
          <w:t>Guide to Suitability</w:t>
        </w:r>
      </w:hyperlink>
      <w:r w:rsidRPr="00C50A63">
        <w:rPr>
          <w:rFonts w:ascii="Arial" w:hAnsi="Arial" w:cs="Arial"/>
          <w:sz w:val="24"/>
          <w:szCs w:val="24"/>
        </w:rPr>
        <w:t xml:space="preserve"> for more information. </w:t>
      </w:r>
      <w:hyperlink r:id="rId28" w:history="1">
        <w:r w:rsidRPr="00C50A63">
          <w:rPr>
            <w:rStyle w:val="Hyperlink"/>
            <w:rFonts w:ascii="Arial" w:hAnsi="Arial" w:cs="Arial"/>
            <w:sz w:val="24"/>
            <w:szCs w:val="24"/>
          </w:rPr>
          <w:t>Learn more.</w:t>
        </w:r>
      </w:hyperlink>
    </w:p>
    <w:p w:rsidR="00C62CDC" w:rsidRDefault="00C62CDC" w:rsidP="004955A0">
      <w:pPr>
        <w:spacing w:line="276" w:lineRule="auto"/>
        <w:ind w:right="254"/>
        <w:rPr>
          <w:rFonts w:ascii="Arial" w:hAnsi="Arial" w:cs="Arial"/>
          <w:color w:val="000000" w:themeColor="text1"/>
          <w:sz w:val="24"/>
          <w:szCs w:val="24"/>
        </w:rPr>
      </w:pPr>
    </w:p>
    <w:p w:rsidR="00A60422" w:rsidRPr="004955A0" w:rsidRDefault="004955A0" w:rsidP="004955A0">
      <w:pPr>
        <w:spacing w:line="276" w:lineRule="auto"/>
        <w:ind w:right="254"/>
        <w:rPr>
          <w:rFonts w:ascii="Arial" w:hAnsi="Arial" w:cs="Arial"/>
          <w:color w:val="000000" w:themeColor="text1"/>
          <w:sz w:val="24"/>
          <w:szCs w:val="24"/>
        </w:rPr>
      </w:pPr>
      <w:r>
        <w:rPr>
          <w:rFonts w:ascii="Arial" w:hAnsi="Arial" w:cs="Arial"/>
          <w:color w:val="000000" w:themeColor="text1"/>
          <w:sz w:val="24"/>
          <w:szCs w:val="24"/>
        </w:rPr>
        <w:t>End of d</w:t>
      </w:r>
      <w:r w:rsidR="00BA7A6A">
        <w:rPr>
          <w:rFonts w:ascii="Arial" w:hAnsi="Arial" w:cs="Arial"/>
          <w:color w:val="000000" w:themeColor="text1"/>
          <w:sz w:val="24"/>
          <w:szCs w:val="24"/>
        </w:rPr>
        <w:t>ocument.</w:t>
      </w:r>
    </w:p>
    <w:sectPr w:rsidR="00A60422" w:rsidRPr="004955A0" w:rsidSect="00432E61">
      <w:headerReference w:type="even" r:id="rId29"/>
      <w:headerReference w:type="default" r:id="rId30"/>
      <w:footerReference w:type="even" r:id="rId31"/>
      <w:footerReference w:type="default" r:id="rId32"/>
      <w:headerReference w:type="first" r:id="rId33"/>
      <w:footerReference w:type="first" r:id="rId34"/>
      <w:pgSz w:w="11910" w:h="16840"/>
      <w:pgMar w:top="681" w:right="980" w:bottom="426" w:left="980" w:header="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A0" w:rsidRDefault="004955A0">
      <w:r>
        <w:separator/>
      </w:r>
    </w:p>
  </w:endnote>
  <w:endnote w:type="continuationSeparator" w:id="0">
    <w:p w:rsidR="004955A0" w:rsidRDefault="0049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Std C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A0" w:rsidRDefault="00495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A0" w:rsidRDefault="004955A0" w:rsidP="00A60422">
    <w:pPr>
      <w:pStyle w:val="BodyTex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A0" w:rsidRDefault="00495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A0" w:rsidRDefault="004955A0">
      <w:r>
        <w:separator/>
      </w:r>
    </w:p>
  </w:footnote>
  <w:footnote w:type="continuationSeparator" w:id="0">
    <w:p w:rsidR="004955A0" w:rsidRDefault="00495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A0" w:rsidRDefault="00495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A0" w:rsidRDefault="004955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5A0" w:rsidRDefault="00495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482"/>
    <w:multiLevelType w:val="hybridMultilevel"/>
    <w:tmpl w:val="0B6A3938"/>
    <w:lvl w:ilvl="0" w:tplc="822A2948">
      <w:start w:val="1"/>
      <w:numFmt w:val="bullet"/>
      <w:lvlText w:val=""/>
      <w:lvlJc w:val="left"/>
      <w:pPr>
        <w:ind w:left="1799" w:hanging="360"/>
      </w:pPr>
      <w:rPr>
        <w:rFonts w:ascii="Symbol" w:hAnsi="Symbol" w:hint="default"/>
      </w:rPr>
    </w:lvl>
    <w:lvl w:ilvl="1" w:tplc="0C09000F">
      <w:start w:val="1"/>
      <w:numFmt w:val="decimal"/>
      <w:lvlText w:val="%2."/>
      <w:lvlJc w:val="left"/>
      <w:pPr>
        <w:ind w:left="2519" w:hanging="360"/>
      </w:pPr>
      <w:rPr>
        <w:rFonts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 w15:restartNumberingAfterBreak="0">
    <w:nsid w:val="18580BDC"/>
    <w:multiLevelType w:val="hybridMultilevel"/>
    <w:tmpl w:val="576ADC14"/>
    <w:lvl w:ilvl="0" w:tplc="822A2948">
      <w:start w:val="1"/>
      <w:numFmt w:val="bullet"/>
      <w:lvlText w:val=""/>
      <w:lvlJc w:val="left"/>
      <w:pPr>
        <w:ind w:left="1799" w:hanging="360"/>
      </w:pPr>
      <w:rPr>
        <w:rFonts w:ascii="Symbol" w:hAnsi="Symbol" w:hint="default"/>
      </w:rPr>
    </w:lvl>
    <w:lvl w:ilvl="1" w:tplc="0C090003">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2" w15:restartNumberingAfterBreak="0">
    <w:nsid w:val="1B5073D1"/>
    <w:multiLevelType w:val="hybridMultilevel"/>
    <w:tmpl w:val="E17250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AE29B3"/>
    <w:multiLevelType w:val="multilevel"/>
    <w:tmpl w:val="AEE64FD8"/>
    <w:lvl w:ilvl="0">
      <w:start w:val="1"/>
      <w:numFmt w:val="bullet"/>
      <w:lvlText w:val=""/>
      <w:lvlJc w:val="left"/>
      <w:pPr>
        <w:ind w:left="1799" w:hanging="360"/>
      </w:pPr>
      <w:rPr>
        <w:rFonts w:ascii="Symbol" w:hAnsi="Symbol" w:hint="default"/>
      </w:rPr>
    </w:lvl>
    <w:lvl w:ilvl="1">
      <w:start w:val="1"/>
      <w:numFmt w:val="bullet"/>
      <w:lvlText w:val="o"/>
      <w:lvlJc w:val="left"/>
      <w:pPr>
        <w:ind w:left="1418" w:hanging="284"/>
      </w:pPr>
      <w:rPr>
        <w:rFonts w:ascii="Courier New" w:hAnsi="Courier New" w:hint="default"/>
      </w:rPr>
    </w:lvl>
    <w:lvl w:ilvl="2">
      <w:start w:val="1"/>
      <w:numFmt w:val="bullet"/>
      <w:lvlText w:val=""/>
      <w:lvlJc w:val="left"/>
      <w:pPr>
        <w:ind w:left="3239" w:hanging="360"/>
      </w:pPr>
      <w:rPr>
        <w:rFonts w:ascii="Wingdings" w:hAnsi="Wingdings" w:hint="default"/>
      </w:rPr>
    </w:lvl>
    <w:lvl w:ilvl="3">
      <w:start w:val="1"/>
      <w:numFmt w:val="bullet"/>
      <w:lvlText w:val=""/>
      <w:lvlJc w:val="left"/>
      <w:pPr>
        <w:ind w:left="3959" w:hanging="360"/>
      </w:pPr>
      <w:rPr>
        <w:rFonts w:ascii="Symbol" w:hAnsi="Symbol" w:hint="default"/>
      </w:rPr>
    </w:lvl>
    <w:lvl w:ilvl="4">
      <w:start w:val="1"/>
      <w:numFmt w:val="bullet"/>
      <w:lvlText w:val="o"/>
      <w:lvlJc w:val="left"/>
      <w:pPr>
        <w:ind w:left="4679" w:hanging="360"/>
      </w:pPr>
      <w:rPr>
        <w:rFonts w:ascii="Courier New" w:hAnsi="Courier New" w:cs="Courier New" w:hint="default"/>
      </w:rPr>
    </w:lvl>
    <w:lvl w:ilvl="5">
      <w:start w:val="1"/>
      <w:numFmt w:val="bullet"/>
      <w:lvlText w:val=""/>
      <w:lvlJc w:val="left"/>
      <w:pPr>
        <w:ind w:left="5399" w:hanging="360"/>
      </w:pPr>
      <w:rPr>
        <w:rFonts w:ascii="Wingdings" w:hAnsi="Wingdings" w:hint="default"/>
      </w:rPr>
    </w:lvl>
    <w:lvl w:ilvl="6">
      <w:start w:val="1"/>
      <w:numFmt w:val="bullet"/>
      <w:lvlText w:val=""/>
      <w:lvlJc w:val="left"/>
      <w:pPr>
        <w:ind w:left="6119" w:hanging="360"/>
      </w:pPr>
      <w:rPr>
        <w:rFonts w:ascii="Symbol" w:hAnsi="Symbol" w:hint="default"/>
      </w:rPr>
    </w:lvl>
    <w:lvl w:ilvl="7">
      <w:start w:val="1"/>
      <w:numFmt w:val="bullet"/>
      <w:lvlText w:val="o"/>
      <w:lvlJc w:val="left"/>
      <w:pPr>
        <w:ind w:left="6839" w:hanging="360"/>
      </w:pPr>
      <w:rPr>
        <w:rFonts w:ascii="Courier New" w:hAnsi="Courier New" w:cs="Courier New" w:hint="default"/>
      </w:rPr>
    </w:lvl>
    <w:lvl w:ilvl="8">
      <w:start w:val="1"/>
      <w:numFmt w:val="bullet"/>
      <w:lvlText w:val=""/>
      <w:lvlJc w:val="left"/>
      <w:pPr>
        <w:ind w:left="7559" w:hanging="360"/>
      </w:pPr>
      <w:rPr>
        <w:rFonts w:ascii="Wingdings" w:hAnsi="Wingdings" w:hint="default"/>
      </w:rPr>
    </w:lvl>
  </w:abstractNum>
  <w:abstractNum w:abstractNumId="4" w15:restartNumberingAfterBreak="0">
    <w:nsid w:val="275F0FAF"/>
    <w:multiLevelType w:val="hybridMultilevel"/>
    <w:tmpl w:val="1708F6A6"/>
    <w:lvl w:ilvl="0" w:tplc="0C090001">
      <w:start w:val="1"/>
      <w:numFmt w:val="bullet"/>
      <w:lvlText w:val=""/>
      <w:lvlJc w:val="left"/>
      <w:pPr>
        <w:ind w:left="1799" w:hanging="360"/>
      </w:pPr>
      <w:rPr>
        <w:rFonts w:ascii="Symbol" w:hAnsi="Symbol" w:hint="default"/>
      </w:rPr>
    </w:lvl>
    <w:lvl w:ilvl="1" w:tplc="0C090003">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5" w15:restartNumberingAfterBreak="0">
    <w:nsid w:val="2ED259B9"/>
    <w:multiLevelType w:val="hybridMultilevel"/>
    <w:tmpl w:val="4D900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3E6DF4"/>
    <w:multiLevelType w:val="hybridMultilevel"/>
    <w:tmpl w:val="0CB01C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E55744"/>
    <w:multiLevelType w:val="hybridMultilevel"/>
    <w:tmpl w:val="16982A6A"/>
    <w:lvl w:ilvl="0" w:tplc="A6BAA4F0">
      <w:numFmt w:val="bullet"/>
      <w:lvlText w:val=""/>
      <w:lvlJc w:val="left"/>
      <w:pPr>
        <w:ind w:left="820" w:hanging="360"/>
      </w:pPr>
      <w:rPr>
        <w:rFonts w:ascii="Symbol" w:eastAsia="Symbol" w:hAnsi="Symbol" w:cs="Symbol" w:hint="default"/>
        <w:w w:val="100"/>
        <w:sz w:val="23"/>
        <w:szCs w:val="23"/>
      </w:rPr>
    </w:lvl>
    <w:lvl w:ilvl="1" w:tplc="F2F08CBE">
      <w:numFmt w:val="bullet"/>
      <w:lvlText w:val="o"/>
      <w:lvlJc w:val="left"/>
      <w:pPr>
        <w:ind w:left="1540" w:hanging="360"/>
      </w:pPr>
      <w:rPr>
        <w:rFonts w:ascii="Courier New" w:eastAsia="Courier New" w:hAnsi="Courier New" w:cs="Courier New" w:hint="default"/>
        <w:w w:val="100"/>
        <w:sz w:val="23"/>
        <w:szCs w:val="23"/>
      </w:rPr>
    </w:lvl>
    <w:lvl w:ilvl="2" w:tplc="CFD0F10C">
      <w:numFmt w:val="bullet"/>
      <w:lvlText w:val="•"/>
      <w:lvlJc w:val="left"/>
      <w:pPr>
        <w:ind w:left="2473" w:hanging="360"/>
      </w:pPr>
      <w:rPr>
        <w:rFonts w:hint="default"/>
      </w:rPr>
    </w:lvl>
    <w:lvl w:ilvl="3" w:tplc="1C24E80C">
      <w:numFmt w:val="bullet"/>
      <w:lvlText w:val="•"/>
      <w:lvlJc w:val="left"/>
      <w:pPr>
        <w:ind w:left="3407" w:hanging="360"/>
      </w:pPr>
      <w:rPr>
        <w:rFonts w:hint="default"/>
      </w:rPr>
    </w:lvl>
    <w:lvl w:ilvl="4" w:tplc="DA6046BA">
      <w:numFmt w:val="bullet"/>
      <w:lvlText w:val="•"/>
      <w:lvlJc w:val="left"/>
      <w:pPr>
        <w:ind w:left="4341" w:hanging="360"/>
      </w:pPr>
      <w:rPr>
        <w:rFonts w:hint="default"/>
      </w:rPr>
    </w:lvl>
    <w:lvl w:ilvl="5" w:tplc="A1F6E9E8">
      <w:numFmt w:val="bullet"/>
      <w:lvlText w:val="•"/>
      <w:lvlJc w:val="left"/>
      <w:pPr>
        <w:ind w:left="5275" w:hanging="360"/>
      </w:pPr>
      <w:rPr>
        <w:rFonts w:hint="default"/>
      </w:rPr>
    </w:lvl>
    <w:lvl w:ilvl="6" w:tplc="0C183256">
      <w:numFmt w:val="bullet"/>
      <w:lvlText w:val="•"/>
      <w:lvlJc w:val="left"/>
      <w:pPr>
        <w:ind w:left="6209" w:hanging="360"/>
      </w:pPr>
      <w:rPr>
        <w:rFonts w:hint="default"/>
      </w:rPr>
    </w:lvl>
    <w:lvl w:ilvl="7" w:tplc="6756DC3A">
      <w:numFmt w:val="bullet"/>
      <w:lvlText w:val="•"/>
      <w:lvlJc w:val="left"/>
      <w:pPr>
        <w:ind w:left="7142" w:hanging="360"/>
      </w:pPr>
      <w:rPr>
        <w:rFonts w:hint="default"/>
      </w:rPr>
    </w:lvl>
    <w:lvl w:ilvl="8" w:tplc="3AC4F8B4">
      <w:numFmt w:val="bullet"/>
      <w:lvlText w:val="•"/>
      <w:lvlJc w:val="left"/>
      <w:pPr>
        <w:ind w:left="8076" w:hanging="360"/>
      </w:pPr>
      <w:rPr>
        <w:rFonts w:hint="default"/>
      </w:rPr>
    </w:lvl>
  </w:abstractNum>
  <w:abstractNum w:abstractNumId="8" w15:restartNumberingAfterBreak="0">
    <w:nsid w:val="48702E5B"/>
    <w:multiLevelType w:val="hybridMultilevel"/>
    <w:tmpl w:val="57142FCA"/>
    <w:lvl w:ilvl="0" w:tplc="E6922784">
      <w:start w:val="1"/>
      <w:numFmt w:val="decimal"/>
      <w:pStyle w:val="Numbering"/>
      <w:lvlText w:val="%1."/>
      <w:lvlJc w:val="left"/>
      <w:pPr>
        <w:ind w:left="1799" w:hanging="360"/>
      </w:pPr>
    </w:lvl>
    <w:lvl w:ilvl="1" w:tplc="0C090019" w:tentative="1">
      <w:start w:val="1"/>
      <w:numFmt w:val="lowerLetter"/>
      <w:lvlText w:val="%2."/>
      <w:lvlJc w:val="left"/>
      <w:pPr>
        <w:ind w:left="2519" w:hanging="360"/>
      </w:pPr>
    </w:lvl>
    <w:lvl w:ilvl="2" w:tplc="0C09001B" w:tentative="1">
      <w:start w:val="1"/>
      <w:numFmt w:val="lowerRoman"/>
      <w:lvlText w:val="%3."/>
      <w:lvlJc w:val="right"/>
      <w:pPr>
        <w:ind w:left="3239" w:hanging="180"/>
      </w:pPr>
    </w:lvl>
    <w:lvl w:ilvl="3" w:tplc="0C09000F" w:tentative="1">
      <w:start w:val="1"/>
      <w:numFmt w:val="decimal"/>
      <w:lvlText w:val="%4."/>
      <w:lvlJc w:val="left"/>
      <w:pPr>
        <w:ind w:left="3959" w:hanging="360"/>
      </w:pPr>
    </w:lvl>
    <w:lvl w:ilvl="4" w:tplc="0C090019" w:tentative="1">
      <w:start w:val="1"/>
      <w:numFmt w:val="lowerLetter"/>
      <w:lvlText w:val="%5."/>
      <w:lvlJc w:val="left"/>
      <w:pPr>
        <w:ind w:left="4679" w:hanging="360"/>
      </w:pPr>
    </w:lvl>
    <w:lvl w:ilvl="5" w:tplc="0C09001B" w:tentative="1">
      <w:start w:val="1"/>
      <w:numFmt w:val="lowerRoman"/>
      <w:lvlText w:val="%6."/>
      <w:lvlJc w:val="right"/>
      <w:pPr>
        <w:ind w:left="5399" w:hanging="180"/>
      </w:pPr>
    </w:lvl>
    <w:lvl w:ilvl="6" w:tplc="0C09000F" w:tentative="1">
      <w:start w:val="1"/>
      <w:numFmt w:val="decimal"/>
      <w:lvlText w:val="%7."/>
      <w:lvlJc w:val="left"/>
      <w:pPr>
        <w:ind w:left="6119" w:hanging="360"/>
      </w:pPr>
    </w:lvl>
    <w:lvl w:ilvl="7" w:tplc="0C090019" w:tentative="1">
      <w:start w:val="1"/>
      <w:numFmt w:val="lowerLetter"/>
      <w:lvlText w:val="%8."/>
      <w:lvlJc w:val="left"/>
      <w:pPr>
        <w:ind w:left="6839" w:hanging="360"/>
      </w:pPr>
    </w:lvl>
    <w:lvl w:ilvl="8" w:tplc="0C09001B" w:tentative="1">
      <w:start w:val="1"/>
      <w:numFmt w:val="lowerRoman"/>
      <w:lvlText w:val="%9."/>
      <w:lvlJc w:val="right"/>
      <w:pPr>
        <w:ind w:left="7559" w:hanging="180"/>
      </w:pPr>
    </w:lvl>
  </w:abstractNum>
  <w:abstractNum w:abstractNumId="9" w15:restartNumberingAfterBreak="0">
    <w:nsid w:val="5222325C"/>
    <w:multiLevelType w:val="hybridMultilevel"/>
    <w:tmpl w:val="4FB07B1E"/>
    <w:lvl w:ilvl="0" w:tplc="C58E5E56">
      <w:start w:val="1"/>
      <w:numFmt w:val="decimal"/>
      <w:lvlText w:val="%1."/>
      <w:lvlJc w:val="left"/>
      <w:pPr>
        <w:ind w:left="1800" w:hanging="360"/>
      </w:pPr>
      <w:rPr>
        <w:rFonts w:ascii="HelveticaNeueLT Std Cn" w:eastAsia="HelveticaNeueLT Std Cn" w:hAnsi="HelveticaNeueLT Std Cn" w:cs="HelveticaNeueLT Std Cn" w:hint="default"/>
        <w:spacing w:val="-1"/>
        <w:w w:val="100"/>
        <w:sz w:val="23"/>
        <w:szCs w:val="23"/>
      </w:rPr>
    </w:lvl>
    <w:lvl w:ilvl="1" w:tplc="9AD43C54">
      <w:numFmt w:val="bullet"/>
      <w:lvlText w:val="•"/>
      <w:lvlJc w:val="left"/>
      <w:pPr>
        <w:ind w:left="2780" w:hanging="360"/>
      </w:pPr>
      <w:rPr>
        <w:rFonts w:hint="default"/>
      </w:rPr>
    </w:lvl>
    <w:lvl w:ilvl="2" w:tplc="E938C090">
      <w:numFmt w:val="bullet"/>
      <w:lvlText w:val="•"/>
      <w:lvlJc w:val="left"/>
      <w:pPr>
        <w:ind w:left="3760" w:hanging="360"/>
      </w:pPr>
      <w:rPr>
        <w:rFonts w:hint="default"/>
      </w:rPr>
    </w:lvl>
    <w:lvl w:ilvl="3" w:tplc="D654CE2E">
      <w:numFmt w:val="bullet"/>
      <w:lvlText w:val="•"/>
      <w:lvlJc w:val="left"/>
      <w:pPr>
        <w:ind w:left="4741" w:hanging="360"/>
      </w:pPr>
      <w:rPr>
        <w:rFonts w:hint="default"/>
      </w:rPr>
    </w:lvl>
    <w:lvl w:ilvl="4" w:tplc="6B4831CC">
      <w:numFmt w:val="bullet"/>
      <w:lvlText w:val="•"/>
      <w:lvlJc w:val="left"/>
      <w:pPr>
        <w:ind w:left="5721" w:hanging="360"/>
      </w:pPr>
      <w:rPr>
        <w:rFonts w:hint="default"/>
      </w:rPr>
    </w:lvl>
    <w:lvl w:ilvl="5" w:tplc="BFAA90D8">
      <w:numFmt w:val="bullet"/>
      <w:lvlText w:val="•"/>
      <w:lvlJc w:val="left"/>
      <w:pPr>
        <w:ind w:left="6702" w:hanging="360"/>
      </w:pPr>
      <w:rPr>
        <w:rFonts w:hint="default"/>
      </w:rPr>
    </w:lvl>
    <w:lvl w:ilvl="6" w:tplc="2F0068C8">
      <w:numFmt w:val="bullet"/>
      <w:lvlText w:val="•"/>
      <w:lvlJc w:val="left"/>
      <w:pPr>
        <w:ind w:left="7682" w:hanging="360"/>
      </w:pPr>
      <w:rPr>
        <w:rFonts w:hint="default"/>
      </w:rPr>
    </w:lvl>
    <w:lvl w:ilvl="7" w:tplc="5DC4ABC0">
      <w:numFmt w:val="bullet"/>
      <w:lvlText w:val="•"/>
      <w:lvlJc w:val="left"/>
      <w:pPr>
        <w:ind w:left="8663" w:hanging="360"/>
      </w:pPr>
      <w:rPr>
        <w:rFonts w:hint="default"/>
      </w:rPr>
    </w:lvl>
    <w:lvl w:ilvl="8" w:tplc="842281F6">
      <w:numFmt w:val="bullet"/>
      <w:lvlText w:val="•"/>
      <w:lvlJc w:val="left"/>
      <w:pPr>
        <w:ind w:left="9643" w:hanging="360"/>
      </w:pPr>
      <w:rPr>
        <w:rFonts w:hint="default"/>
      </w:rPr>
    </w:lvl>
  </w:abstractNum>
  <w:abstractNum w:abstractNumId="10" w15:restartNumberingAfterBreak="0">
    <w:nsid w:val="52850B32"/>
    <w:multiLevelType w:val="hybridMultilevel"/>
    <w:tmpl w:val="67C45BD2"/>
    <w:lvl w:ilvl="0" w:tplc="822A2948">
      <w:start w:val="1"/>
      <w:numFmt w:val="bullet"/>
      <w:lvlText w:val=""/>
      <w:lvlJc w:val="left"/>
      <w:pPr>
        <w:ind w:left="1799" w:hanging="360"/>
      </w:pPr>
      <w:rPr>
        <w:rFonts w:ascii="Symbol" w:hAnsi="Symbol" w:hint="default"/>
      </w:rPr>
    </w:lvl>
    <w:lvl w:ilvl="1" w:tplc="0C090001">
      <w:start w:val="1"/>
      <w:numFmt w:val="bullet"/>
      <w:lvlText w:val=""/>
      <w:lvlJc w:val="left"/>
      <w:pPr>
        <w:ind w:left="2519" w:hanging="360"/>
      </w:pPr>
      <w:rPr>
        <w:rFonts w:ascii="Symbol" w:hAnsi="Symbol"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1" w15:restartNumberingAfterBreak="0">
    <w:nsid w:val="5401037B"/>
    <w:multiLevelType w:val="hybridMultilevel"/>
    <w:tmpl w:val="F13C190E"/>
    <w:lvl w:ilvl="0" w:tplc="822A2948">
      <w:start w:val="1"/>
      <w:numFmt w:val="bullet"/>
      <w:pStyle w:val="Bullet"/>
      <w:lvlText w:val=""/>
      <w:lvlJc w:val="left"/>
      <w:pPr>
        <w:ind w:left="1799" w:hanging="360"/>
      </w:pPr>
      <w:rPr>
        <w:rFonts w:ascii="Symbol" w:hAnsi="Symbol" w:hint="default"/>
      </w:rPr>
    </w:lvl>
    <w:lvl w:ilvl="1" w:tplc="0C090003">
      <w:start w:val="1"/>
      <w:numFmt w:val="bullet"/>
      <w:lvlText w:val="o"/>
      <w:lvlJc w:val="left"/>
      <w:pPr>
        <w:ind w:left="2519" w:hanging="360"/>
      </w:pPr>
      <w:rPr>
        <w:rFonts w:ascii="Courier New" w:hAnsi="Courier New" w:cs="Courier New" w:hint="default"/>
      </w:rPr>
    </w:lvl>
    <w:lvl w:ilvl="2" w:tplc="0C090005" w:tentative="1">
      <w:start w:val="1"/>
      <w:numFmt w:val="bullet"/>
      <w:lvlText w:val=""/>
      <w:lvlJc w:val="left"/>
      <w:pPr>
        <w:ind w:left="3239" w:hanging="360"/>
      </w:pPr>
      <w:rPr>
        <w:rFonts w:ascii="Wingdings" w:hAnsi="Wingdings" w:hint="default"/>
      </w:rPr>
    </w:lvl>
    <w:lvl w:ilvl="3" w:tplc="0C090001" w:tentative="1">
      <w:start w:val="1"/>
      <w:numFmt w:val="bullet"/>
      <w:lvlText w:val=""/>
      <w:lvlJc w:val="left"/>
      <w:pPr>
        <w:ind w:left="3959" w:hanging="360"/>
      </w:pPr>
      <w:rPr>
        <w:rFonts w:ascii="Symbol" w:hAnsi="Symbol" w:hint="default"/>
      </w:rPr>
    </w:lvl>
    <w:lvl w:ilvl="4" w:tplc="0C090003" w:tentative="1">
      <w:start w:val="1"/>
      <w:numFmt w:val="bullet"/>
      <w:lvlText w:val="o"/>
      <w:lvlJc w:val="left"/>
      <w:pPr>
        <w:ind w:left="4679" w:hanging="360"/>
      </w:pPr>
      <w:rPr>
        <w:rFonts w:ascii="Courier New" w:hAnsi="Courier New" w:cs="Courier New" w:hint="default"/>
      </w:rPr>
    </w:lvl>
    <w:lvl w:ilvl="5" w:tplc="0C090005" w:tentative="1">
      <w:start w:val="1"/>
      <w:numFmt w:val="bullet"/>
      <w:lvlText w:val=""/>
      <w:lvlJc w:val="left"/>
      <w:pPr>
        <w:ind w:left="5399" w:hanging="360"/>
      </w:pPr>
      <w:rPr>
        <w:rFonts w:ascii="Wingdings" w:hAnsi="Wingdings" w:hint="default"/>
      </w:rPr>
    </w:lvl>
    <w:lvl w:ilvl="6" w:tplc="0C090001" w:tentative="1">
      <w:start w:val="1"/>
      <w:numFmt w:val="bullet"/>
      <w:lvlText w:val=""/>
      <w:lvlJc w:val="left"/>
      <w:pPr>
        <w:ind w:left="6119" w:hanging="360"/>
      </w:pPr>
      <w:rPr>
        <w:rFonts w:ascii="Symbol" w:hAnsi="Symbol" w:hint="default"/>
      </w:rPr>
    </w:lvl>
    <w:lvl w:ilvl="7" w:tplc="0C090003" w:tentative="1">
      <w:start w:val="1"/>
      <w:numFmt w:val="bullet"/>
      <w:lvlText w:val="o"/>
      <w:lvlJc w:val="left"/>
      <w:pPr>
        <w:ind w:left="6839" w:hanging="360"/>
      </w:pPr>
      <w:rPr>
        <w:rFonts w:ascii="Courier New" w:hAnsi="Courier New" w:cs="Courier New" w:hint="default"/>
      </w:rPr>
    </w:lvl>
    <w:lvl w:ilvl="8" w:tplc="0C090005" w:tentative="1">
      <w:start w:val="1"/>
      <w:numFmt w:val="bullet"/>
      <w:lvlText w:val=""/>
      <w:lvlJc w:val="left"/>
      <w:pPr>
        <w:ind w:left="7559" w:hanging="360"/>
      </w:pPr>
      <w:rPr>
        <w:rFonts w:ascii="Wingdings" w:hAnsi="Wingdings" w:hint="default"/>
      </w:rPr>
    </w:lvl>
  </w:abstractNum>
  <w:abstractNum w:abstractNumId="12" w15:restartNumberingAfterBreak="0">
    <w:nsid w:val="6A7858BE"/>
    <w:multiLevelType w:val="hybridMultilevel"/>
    <w:tmpl w:val="51CEA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BC222D"/>
    <w:multiLevelType w:val="hybridMultilevel"/>
    <w:tmpl w:val="D11CAA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3"/>
  </w:num>
  <w:num w:numId="6">
    <w:abstractNumId w:val="8"/>
  </w:num>
  <w:num w:numId="7">
    <w:abstractNumId w:val="5"/>
  </w:num>
  <w:num w:numId="8">
    <w:abstractNumId w:val="4"/>
  </w:num>
  <w:num w:numId="9">
    <w:abstractNumId w:val="0"/>
  </w:num>
  <w:num w:numId="10">
    <w:abstractNumId w:val="10"/>
  </w:num>
  <w:num w:numId="11">
    <w:abstractNumId w:val="1"/>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29"/>
    <w:rsid w:val="000B1FAD"/>
    <w:rsid w:val="000F25E5"/>
    <w:rsid w:val="00105736"/>
    <w:rsid w:val="00242156"/>
    <w:rsid w:val="00266E78"/>
    <w:rsid w:val="00277991"/>
    <w:rsid w:val="00295B29"/>
    <w:rsid w:val="002B4F37"/>
    <w:rsid w:val="002C2C2C"/>
    <w:rsid w:val="002C7384"/>
    <w:rsid w:val="00322289"/>
    <w:rsid w:val="0034353D"/>
    <w:rsid w:val="003755BD"/>
    <w:rsid w:val="003B0A3B"/>
    <w:rsid w:val="003B638B"/>
    <w:rsid w:val="00432E61"/>
    <w:rsid w:val="00440C9F"/>
    <w:rsid w:val="004955A0"/>
    <w:rsid w:val="00520E32"/>
    <w:rsid w:val="00554478"/>
    <w:rsid w:val="005C510D"/>
    <w:rsid w:val="005E3408"/>
    <w:rsid w:val="006554DA"/>
    <w:rsid w:val="00671D76"/>
    <w:rsid w:val="006757BD"/>
    <w:rsid w:val="006B16CC"/>
    <w:rsid w:val="0072257E"/>
    <w:rsid w:val="00770EC7"/>
    <w:rsid w:val="007A6B64"/>
    <w:rsid w:val="007D38E7"/>
    <w:rsid w:val="007E08D4"/>
    <w:rsid w:val="008822D4"/>
    <w:rsid w:val="008A79F3"/>
    <w:rsid w:val="008F0088"/>
    <w:rsid w:val="00900F50"/>
    <w:rsid w:val="00915C65"/>
    <w:rsid w:val="009E79C3"/>
    <w:rsid w:val="00A31075"/>
    <w:rsid w:val="00A44266"/>
    <w:rsid w:val="00A60422"/>
    <w:rsid w:val="00AF7AD0"/>
    <w:rsid w:val="00AF7C31"/>
    <w:rsid w:val="00B47C40"/>
    <w:rsid w:val="00B56DC9"/>
    <w:rsid w:val="00B65A00"/>
    <w:rsid w:val="00BA7A6A"/>
    <w:rsid w:val="00BF646B"/>
    <w:rsid w:val="00C50A63"/>
    <w:rsid w:val="00C62CDC"/>
    <w:rsid w:val="00CA4944"/>
    <w:rsid w:val="00CF2C0A"/>
    <w:rsid w:val="00D421B0"/>
    <w:rsid w:val="00E07AD5"/>
    <w:rsid w:val="00E43945"/>
    <w:rsid w:val="00EA32D7"/>
    <w:rsid w:val="00F00B26"/>
    <w:rsid w:val="00F976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NeueLT Std Cn" w:eastAsia="HelveticaNeueLT Std Cn" w:hAnsi="HelveticaNeueLT Std Cn" w:cs="HelveticaNeueLT Std Cn"/>
    </w:rPr>
  </w:style>
  <w:style w:type="paragraph" w:styleId="Heading1">
    <w:name w:val="heading 1"/>
    <w:basedOn w:val="Normal"/>
    <w:uiPriority w:val="1"/>
    <w:qFormat/>
    <w:rsid w:val="00AF7AD0"/>
    <w:pPr>
      <w:spacing w:before="323"/>
      <w:outlineLvl w:val="0"/>
    </w:pPr>
    <w:rPr>
      <w:rFonts w:ascii="Arial" w:hAnsi="Arial"/>
      <w:b/>
      <w:bCs/>
      <w:color w:val="3B6E90"/>
      <w:w w:val="95"/>
      <w:sz w:val="44"/>
      <w:szCs w:val="28"/>
    </w:rPr>
  </w:style>
  <w:style w:type="paragraph" w:styleId="Heading2">
    <w:name w:val="heading 2"/>
    <w:basedOn w:val="Normal"/>
    <w:next w:val="Normal"/>
    <w:link w:val="Heading2Char"/>
    <w:uiPriority w:val="9"/>
    <w:unhideWhenUsed/>
    <w:qFormat/>
    <w:rsid w:val="00AF7AD0"/>
    <w:pPr>
      <w:keepNext/>
      <w:keepLines/>
      <w:spacing w:before="40"/>
      <w:outlineLvl w:val="1"/>
    </w:pPr>
    <w:rPr>
      <w:rFonts w:ascii="Arial" w:eastAsiaTheme="majorEastAsia" w:hAnsi="Arial"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AF7AD0"/>
    <w:pPr>
      <w:keepNext/>
      <w:keepLines/>
      <w:spacing w:before="40"/>
      <w:outlineLvl w:val="2"/>
    </w:pPr>
    <w:rPr>
      <w:rFonts w:ascii="Arial" w:eastAsiaTheme="majorEastAsia" w:hAnsi="Arial" w:cstheme="majorBidi"/>
      <w:color w:val="243F60"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0422"/>
    <w:pPr>
      <w:spacing w:before="207" w:line="276" w:lineRule="auto"/>
      <w:ind w:right="763"/>
    </w:pPr>
    <w:rPr>
      <w:sz w:val="23"/>
      <w:szCs w:val="23"/>
    </w:rPr>
  </w:style>
  <w:style w:type="paragraph" w:styleId="ListParagraph">
    <w:name w:val="List Paragraph"/>
    <w:basedOn w:val="Normal"/>
    <w:uiPriority w:val="1"/>
    <w:qFormat/>
    <w:pPr>
      <w:spacing w:before="39"/>
      <w:ind w:left="1540" w:hanging="360"/>
    </w:pPr>
  </w:style>
  <w:style w:type="paragraph" w:customStyle="1" w:styleId="TableParagraph">
    <w:name w:val="Table Paragraph"/>
    <w:basedOn w:val="Normal"/>
    <w:uiPriority w:val="1"/>
    <w:qFormat/>
  </w:style>
  <w:style w:type="character" w:styleId="Hyperlink">
    <w:name w:val="Hyperlink"/>
    <w:rsid w:val="00A60422"/>
    <w:rPr>
      <w:color w:val="0563C1"/>
      <w:u w:val="single"/>
    </w:rPr>
  </w:style>
  <w:style w:type="paragraph" w:customStyle="1" w:styleId="Numbering">
    <w:name w:val="Numbering"/>
    <w:basedOn w:val="BodyText"/>
    <w:link w:val="NumberingChar"/>
    <w:uiPriority w:val="1"/>
    <w:qFormat/>
    <w:rsid w:val="00A60422"/>
    <w:pPr>
      <w:numPr>
        <w:numId w:val="6"/>
      </w:numPr>
      <w:spacing w:before="0" w:line="240" w:lineRule="auto"/>
      <w:ind w:left="1797" w:right="765" w:hanging="357"/>
    </w:pPr>
  </w:style>
  <w:style w:type="paragraph" w:customStyle="1" w:styleId="Bullet">
    <w:name w:val="Bullet"/>
    <w:basedOn w:val="BodyText"/>
    <w:link w:val="BulletChar"/>
    <w:uiPriority w:val="1"/>
    <w:qFormat/>
    <w:rsid w:val="00A60422"/>
    <w:pPr>
      <w:numPr>
        <w:numId w:val="4"/>
      </w:numPr>
      <w:spacing w:before="0"/>
      <w:ind w:left="850" w:right="765" w:hanging="425"/>
    </w:pPr>
  </w:style>
  <w:style w:type="character" w:customStyle="1" w:styleId="BodyTextChar">
    <w:name w:val="Body Text Char"/>
    <w:basedOn w:val="DefaultParagraphFont"/>
    <w:link w:val="BodyText"/>
    <w:uiPriority w:val="1"/>
    <w:rsid w:val="00A60422"/>
    <w:rPr>
      <w:rFonts w:ascii="HelveticaNeueLT Std Cn" w:eastAsia="HelveticaNeueLT Std Cn" w:hAnsi="HelveticaNeueLT Std Cn" w:cs="HelveticaNeueLT Std Cn"/>
      <w:sz w:val="23"/>
      <w:szCs w:val="23"/>
    </w:rPr>
  </w:style>
  <w:style w:type="character" w:customStyle="1" w:styleId="NumberingChar">
    <w:name w:val="Numbering Char"/>
    <w:basedOn w:val="BodyTextChar"/>
    <w:link w:val="Numbering"/>
    <w:uiPriority w:val="1"/>
    <w:rsid w:val="00A60422"/>
    <w:rPr>
      <w:rFonts w:ascii="HelveticaNeueLT Std Cn" w:eastAsia="HelveticaNeueLT Std Cn" w:hAnsi="HelveticaNeueLT Std Cn" w:cs="HelveticaNeueLT Std Cn"/>
      <w:sz w:val="23"/>
      <w:szCs w:val="23"/>
    </w:rPr>
  </w:style>
  <w:style w:type="paragraph" w:styleId="Header">
    <w:name w:val="header"/>
    <w:basedOn w:val="Normal"/>
    <w:link w:val="HeaderChar"/>
    <w:uiPriority w:val="99"/>
    <w:unhideWhenUsed/>
    <w:rsid w:val="00A60422"/>
    <w:pPr>
      <w:tabs>
        <w:tab w:val="center" w:pos="4513"/>
        <w:tab w:val="right" w:pos="9026"/>
      </w:tabs>
    </w:pPr>
  </w:style>
  <w:style w:type="character" w:customStyle="1" w:styleId="BulletChar">
    <w:name w:val="Bullet Char"/>
    <w:basedOn w:val="BodyTextChar"/>
    <w:link w:val="Bullet"/>
    <w:uiPriority w:val="1"/>
    <w:rsid w:val="00A60422"/>
    <w:rPr>
      <w:rFonts w:ascii="HelveticaNeueLT Std Cn" w:eastAsia="HelveticaNeueLT Std Cn" w:hAnsi="HelveticaNeueLT Std Cn" w:cs="HelveticaNeueLT Std Cn"/>
      <w:sz w:val="23"/>
      <w:szCs w:val="23"/>
    </w:rPr>
  </w:style>
  <w:style w:type="character" w:customStyle="1" w:styleId="HeaderChar">
    <w:name w:val="Header Char"/>
    <w:basedOn w:val="DefaultParagraphFont"/>
    <w:link w:val="Header"/>
    <w:uiPriority w:val="99"/>
    <w:rsid w:val="00A60422"/>
    <w:rPr>
      <w:rFonts w:ascii="HelveticaNeueLT Std Cn" w:eastAsia="HelveticaNeueLT Std Cn" w:hAnsi="HelveticaNeueLT Std Cn" w:cs="HelveticaNeueLT Std Cn"/>
    </w:rPr>
  </w:style>
  <w:style w:type="paragraph" w:styleId="Footer">
    <w:name w:val="footer"/>
    <w:basedOn w:val="Normal"/>
    <w:link w:val="FooterChar"/>
    <w:uiPriority w:val="99"/>
    <w:unhideWhenUsed/>
    <w:rsid w:val="00A60422"/>
    <w:pPr>
      <w:tabs>
        <w:tab w:val="center" w:pos="4513"/>
        <w:tab w:val="right" w:pos="9026"/>
      </w:tabs>
    </w:pPr>
  </w:style>
  <w:style w:type="character" w:customStyle="1" w:styleId="FooterChar">
    <w:name w:val="Footer Char"/>
    <w:basedOn w:val="DefaultParagraphFont"/>
    <w:link w:val="Footer"/>
    <w:uiPriority w:val="99"/>
    <w:rsid w:val="00A60422"/>
    <w:rPr>
      <w:rFonts w:ascii="HelveticaNeueLT Std Cn" w:eastAsia="HelveticaNeueLT Std Cn" w:hAnsi="HelveticaNeueLT Std Cn" w:cs="HelveticaNeueLT Std Cn"/>
    </w:rPr>
  </w:style>
  <w:style w:type="paragraph" w:styleId="BalloonText">
    <w:name w:val="Balloon Text"/>
    <w:basedOn w:val="Normal"/>
    <w:link w:val="BalloonTextChar"/>
    <w:uiPriority w:val="99"/>
    <w:semiHidden/>
    <w:unhideWhenUsed/>
    <w:rsid w:val="00432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61"/>
    <w:rPr>
      <w:rFonts w:ascii="Segoe UI" w:eastAsia="HelveticaNeueLT Std Cn" w:hAnsi="Segoe UI" w:cs="Segoe UI"/>
      <w:sz w:val="18"/>
      <w:szCs w:val="18"/>
    </w:rPr>
  </w:style>
  <w:style w:type="paragraph" w:styleId="Title">
    <w:name w:val="Title"/>
    <w:basedOn w:val="Normal"/>
    <w:next w:val="Normal"/>
    <w:link w:val="TitleChar"/>
    <w:uiPriority w:val="10"/>
    <w:qFormat/>
    <w:rsid w:val="00BF646B"/>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BF646B"/>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AF7AD0"/>
    <w:rPr>
      <w:rFonts w:ascii="Arial" w:eastAsiaTheme="majorEastAsia" w:hAnsi="Arial" w:cstheme="majorBidi"/>
      <w:color w:val="365F91" w:themeColor="accent1" w:themeShade="BF"/>
      <w:sz w:val="36"/>
      <w:szCs w:val="26"/>
    </w:rPr>
  </w:style>
  <w:style w:type="character" w:customStyle="1" w:styleId="Heading3Char">
    <w:name w:val="Heading 3 Char"/>
    <w:basedOn w:val="DefaultParagraphFont"/>
    <w:link w:val="Heading3"/>
    <w:uiPriority w:val="9"/>
    <w:rsid w:val="00AF7AD0"/>
    <w:rPr>
      <w:rFonts w:ascii="Arial" w:eastAsiaTheme="majorEastAsia" w:hAnsi="Arial" w:cstheme="majorBidi"/>
      <w:color w:val="243F60" w:themeColor="accent1" w:themeShade="7F"/>
      <w:sz w:val="32"/>
      <w:szCs w:val="24"/>
    </w:rPr>
  </w:style>
  <w:style w:type="table" w:styleId="TableGrid">
    <w:name w:val="Table Grid"/>
    <w:basedOn w:val="TableNormal"/>
    <w:rsid w:val="0044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2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8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medias/documents/hbf/h21/8799946473502/Glossary-Feb-2017.pdf" TargetMode="External"/><Relationship Id="rId13" Type="http://schemas.openxmlformats.org/officeDocument/2006/relationships/hyperlink" Target="https://www.ndis.gov.au/communities/local-area-coordination" TargetMode="External"/><Relationship Id="rId18" Type="http://schemas.openxmlformats.org/officeDocument/2006/relationships/hyperlink" Target="https://www.ndis.gov.au/html/sites/default/files/documents/Provider/Provider%20Toolkit/Module%207%20-%20Payments%20and%20Assurance%20v0_2.pdf" TargetMode="External"/><Relationship Id="rId26" Type="http://schemas.openxmlformats.org/officeDocument/2006/relationships/hyperlink" Target="https://www.ndis.gov.au/providers/pricing-and-payment.html" TargetMode="External"/><Relationship Id="rId3" Type="http://schemas.openxmlformats.org/officeDocument/2006/relationships/styles" Target="styles.xml"/><Relationship Id="rId21" Type="http://schemas.openxmlformats.org/officeDocument/2006/relationships/hyperlink" Target="https://www.ndis.gov.au/specialist-disability-accommodation.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dis.gov.au/communities/ilc-home" TargetMode="External"/><Relationship Id="rId17" Type="http://schemas.openxmlformats.org/officeDocument/2006/relationships/hyperlink" Target="https://www.ndis.gov.au/participants.html" TargetMode="External"/><Relationship Id="rId25" Type="http://schemas.openxmlformats.org/officeDocument/2006/relationships/hyperlink" Target="https://www.ndis.gov.au/providers/si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dis.gov.au/operational-guideline/nominees" TargetMode="External"/><Relationship Id="rId20" Type="http://schemas.openxmlformats.org/officeDocument/2006/relationships/hyperlink" Target="https://www.ndis.gov.au/operational-guideline/registered-provid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gov.au/ecei" TargetMode="External"/><Relationship Id="rId24" Type="http://schemas.openxmlformats.org/officeDocument/2006/relationships/hyperlink" Target="https://www.ndis.gov.au/people-disability/sles.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gov.au/index.html" TargetMode="External"/><Relationship Id="rId23" Type="http://schemas.openxmlformats.org/officeDocument/2006/relationships/hyperlink" Target="https://www.ndis.gov.au/html/sites/default/files/documents/Provider/Provider%20Toolkit/Module%206%20-%20Service%20Bookings%20v0_2.pdf" TargetMode="External"/><Relationship Id="rId28" Type="http://schemas.openxmlformats.org/officeDocument/2006/relationships/hyperlink" Target="https://www.ndis.gov.au/medias/documents/hdf/hc6/8800436518942/Fact-sheet-Support-coordination.pdf" TargetMode="External"/><Relationship Id="rId36" Type="http://schemas.openxmlformats.org/officeDocument/2006/relationships/theme" Target="theme/theme1.xml"/><Relationship Id="rId10" Type="http://schemas.openxmlformats.org/officeDocument/2006/relationships/hyperlink" Target="https://agedcare.health.gov.au/programs-services/commonwealth-continuity-of-support-programme" TargetMode="External"/><Relationship Id="rId19" Type="http://schemas.openxmlformats.org/officeDocument/2006/relationships/hyperlink" Target="https://www.ndis.gov.au/participants/reasonable-and-necessary-support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dis.gov.au" TargetMode="External"/><Relationship Id="rId14" Type="http://schemas.openxmlformats.org/officeDocument/2006/relationships/hyperlink" Target="https://www.ndis.gov.au/index.html" TargetMode="External"/><Relationship Id="rId22" Type="http://schemas.openxmlformats.org/officeDocument/2006/relationships/hyperlink" Target="https://www.ndis.gov.au/html/sites/default/files/documents/Provider/Provider%20Toolkit/Module%205%20-%20Service%20Agreements%20v0_2.pdf" TargetMode="External"/><Relationship Id="rId27" Type="http://schemas.openxmlformats.org/officeDocument/2006/relationships/hyperlink" Target="https://www.ndis.gov.au/providers/provider-toolkit.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4CE3-4105-44A2-B5E7-94F48EC2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5A02CD13.dotm</Template>
  <TotalTime>0</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Practical Guide to NDIS Service Agreements</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Guide to NDIS Service Agreements</dc:title>
  <dc:creator/>
  <cp:lastModifiedBy/>
  <cp:revision>1</cp:revision>
  <dcterms:created xsi:type="dcterms:W3CDTF">2017-10-09T00:58:00Z</dcterms:created>
  <dcterms:modified xsi:type="dcterms:W3CDTF">2017-10-10T00:23:00Z</dcterms:modified>
</cp:coreProperties>
</file>