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93" w:rsidRDefault="0041319A" w:rsidP="0041319A">
      <w:pPr>
        <w:pStyle w:val="Title"/>
        <w:rPr>
          <w:lang w:val="en-US"/>
        </w:rPr>
      </w:pPr>
      <w:r>
        <w:rPr>
          <w:lang w:val="en-US"/>
        </w:rPr>
        <w:t>National Disability Services Practical Guide</w:t>
      </w:r>
    </w:p>
    <w:p w:rsidR="0041319A" w:rsidRDefault="0041319A" w:rsidP="0041319A">
      <w:pPr>
        <w:pStyle w:val="Heading1"/>
        <w:rPr>
          <w:lang w:val="en-US"/>
        </w:rPr>
      </w:pPr>
      <w:r>
        <w:rPr>
          <w:lang w:val="en-US"/>
        </w:rPr>
        <w:t>Appendix 1: Provider Travel and Participant Transport Summary</w:t>
      </w:r>
    </w:p>
    <w:p w:rsidR="0041319A" w:rsidRDefault="0041319A" w:rsidP="0041319A">
      <w:pPr>
        <w:pStyle w:val="Heading2"/>
      </w:pPr>
      <w:r>
        <w:t>Scenario 1</w:t>
      </w:r>
    </w:p>
    <w:p w:rsidR="0041319A" w:rsidRDefault="0041319A" w:rsidP="0041319A">
      <w:r w:rsidRPr="00996F86">
        <w:t xml:space="preserve">Travel to provide personal care and community access </w:t>
      </w:r>
      <w:r>
        <w:t>(without participant in vehicle).</w:t>
      </w:r>
    </w:p>
    <w:p w:rsidR="0041319A" w:rsidRDefault="009E6C7C" w:rsidP="0041319A">
      <w:pPr>
        <w:pStyle w:val="Heading3"/>
      </w:pPr>
      <w:r>
        <w:t>When providers can recover cost</w:t>
      </w:r>
    </w:p>
    <w:p w:rsidR="0041319A" w:rsidRPr="0041319A" w:rsidRDefault="0041319A" w:rsidP="0041319A">
      <w:pPr>
        <w:pStyle w:val="ListParagraph"/>
        <w:numPr>
          <w:ilvl w:val="0"/>
          <w:numId w:val="7"/>
        </w:numPr>
        <w:rPr>
          <w:lang w:val="en-US"/>
        </w:rPr>
      </w:pPr>
      <w:r w:rsidRPr="0041319A">
        <w:rPr>
          <w:lang w:val="en-US"/>
        </w:rPr>
        <w:t>The worker must be travelling from a workplace to provide support to a participant</w:t>
      </w:r>
    </w:p>
    <w:p w:rsidR="0041319A" w:rsidRPr="0041319A" w:rsidRDefault="0041319A" w:rsidP="0041319A">
      <w:pPr>
        <w:pStyle w:val="ListParagraph"/>
        <w:numPr>
          <w:ilvl w:val="0"/>
          <w:numId w:val="7"/>
        </w:numPr>
        <w:rPr>
          <w:lang w:val="en-US"/>
        </w:rPr>
      </w:pPr>
      <w:r w:rsidRPr="0041319A">
        <w:rPr>
          <w:lang w:val="en-US"/>
        </w:rPr>
        <w:t>The claim must be billed against the participant’s plan that the worker is traveling for (for example, the 2nd, 3rd, 4th etc. plan)</w:t>
      </w:r>
    </w:p>
    <w:p w:rsidR="0041319A" w:rsidRPr="0041319A" w:rsidRDefault="0041319A" w:rsidP="0041319A">
      <w:pPr>
        <w:pStyle w:val="ListParagraph"/>
        <w:numPr>
          <w:ilvl w:val="0"/>
          <w:numId w:val="7"/>
        </w:numPr>
        <w:rPr>
          <w:lang w:val="en-US"/>
        </w:rPr>
      </w:pPr>
      <w:r w:rsidRPr="0041319A">
        <w:rPr>
          <w:lang w:val="en-US"/>
        </w:rPr>
        <w:t xml:space="preserve">Travel cost cannot be recovered if: </w:t>
      </w:r>
    </w:p>
    <w:p w:rsidR="0041319A" w:rsidRPr="0041319A" w:rsidRDefault="0041319A" w:rsidP="0041319A">
      <w:pPr>
        <w:pStyle w:val="ListParagraph"/>
        <w:numPr>
          <w:ilvl w:val="0"/>
          <w:numId w:val="9"/>
        </w:numPr>
        <w:rPr>
          <w:lang w:val="en-US"/>
        </w:rPr>
      </w:pPr>
      <w:r w:rsidRPr="0041319A">
        <w:rPr>
          <w:lang w:val="en-US"/>
        </w:rPr>
        <w:t>The worker is travelling between their home to the workplace; or from the workplace to their home</w:t>
      </w:r>
    </w:p>
    <w:p w:rsidR="0041319A" w:rsidRDefault="0041319A" w:rsidP="0041319A">
      <w:pPr>
        <w:pStyle w:val="ListParagraph"/>
        <w:numPr>
          <w:ilvl w:val="0"/>
          <w:numId w:val="9"/>
        </w:numPr>
        <w:rPr>
          <w:lang w:val="en-US"/>
        </w:rPr>
      </w:pPr>
      <w:r w:rsidRPr="0041319A">
        <w:rPr>
          <w:lang w:val="en-US"/>
        </w:rPr>
        <w:t>Support time exceeds 4 hours</w:t>
      </w:r>
    </w:p>
    <w:p w:rsidR="0041319A" w:rsidRDefault="0041319A" w:rsidP="0041319A">
      <w:pPr>
        <w:pStyle w:val="Heading3"/>
      </w:pPr>
      <w:r>
        <w:t>Charge</w:t>
      </w:r>
    </w:p>
    <w:p w:rsidR="0041319A" w:rsidRDefault="0041319A" w:rsidP="0041319A">
      <w:pPr>
        <w:rPr>
          <w:lang w:val="en-US"/>
        </w:rPr>
      </w:pPr>
      <w:r w:rsidRPr="0041319A">
        <w:rPr>
          <w:lang w:val="en-US"/>
        </w:rPr>
        <w:t>Up to a maximum of 20 minutes travel time at the hourly rate for the relevant support line item</w:t>
      </w:r>
      <w:r>
        <w:rPr>
          <w:lang w:val="en-US"/>
        </w:rPr>
        <w:t>.</w:t>
      </w:r>
    </w:p>
    <w:p w:rsidR="0041319A" w:rsidRDefault="0041319A" w:rsidP="0041319A">
      <w:pPr>
        <w:pStyle w:val="Heading3"/>
      </w:pPr>
      <w:r>
        <w:t>Support category</w:t>
      </w:r>
    </w:p>
    <w:p w:rsidR="0041319A" w:rsidRDefault="0041319A" w:rsidP="0041319A">
      <w:pPr>
        <w:rPr>
          <w:lang w:val="en-US"/>
        </w:rPr>
      </w:pPr>
      <w:r w:rsidRPr="0041319A">
        <w:rPr>
          <w:lang w:val="en-US"/>
        </w:rPr>
        <w:t>Core or Capacity Building Supports (as appropriate)</w:t>
      </w:r>
      <w:r>
        <w:rPr>
          <w:lang w:val="en-US"/>
        </w:rPr>
        <w:t>.</w:t>
      </w:r>
    </w:p>
    <w:p w:rsidR="0041319A" w:rsidRDefault="0041319A" w:rsidP="0041319A">
      <w:pPr>
        <w:pStyle w:val="Heading2"/>
      </w:pPr>
      <w:r>
        <w:t>Guidance for scenario 1</w:t>
      </w:r>
    </w:p>
    <w:p w:rsidR="0041319A" w:rsidRPr="0041319A" w:rsidRDefault="0041319A" w:rsidP="0041319A">
      <w:pPr>
        <w:pStyle w:val="ListParagraph"/>
        <w:numPr>
          <w:ilvl w:val="0"/>
          <w:numId w:val="11"/>
        </w:numPr>
        <w:rPr>
          <w:lang w:val="en-US"/>
        </w:rPr>
      </w:pPr>
      <w:r w:rsidRPr="0041319A">
        <w:rPr>
          <w:lang w:val="en-US"/>
        </w:rPr>
        <w:t>The term ‘workplace’ refers to an office, where a participant may be located at the time, or a participant’s home.</w:t>
      </w:r>
    </w:p>
    <w:p w:rsidR="0041319A" w:rsidRPr="0041319A" w:rsidRDefault="0041319A" w:rsidP="0041319A">
      <w:pPr>
        <w:pStyle w:val="ListParagraph"/>
        <w:numPr>
          <w:ilvl w:val="0"/>
          <w:numId w:val="11"/>
        </w:numPr>
        <w:rPr>
          <w:lang w:val="en-US"/>
        </w:rPr>
      </w:pPr>
      <w:r w:rsidRPr="0041319A">
        <w:rPr>
          <w:lang w:val="en-US"/>
        </w:rPr>
        <w:t>Providers cannot charge travel time in addition to support provided. For example, the travel time needs to be built into the hours of support provided. For example, if for a 2 hour shift the worker has travelled 20 minutes, they will provide 1 hour 40 minutes of direct service. The payment request for this specific support would, however, be 2 hours.</w:t>
      </w:r>
    </w:p>
    <w:p w:rsidR="0041319A" w:rsidRPr="0041319A" w:rsidRDefault="0041319A" w:rsidP="0041319A">
      <w:pPr>
        <w:pStyle w:val="ListParagraph"/>
        <w:numPr>
          <w:ilvl w:val="0"/>
          <w:numId w:val="11"/>
        </w:numPr>
        <w:rPr>
          <w:lang w:val="en-US"/>
        </w:rPr>
      </w:pPr>
      <w:r w:rsidRPr="0041319A">
        <w:rPr>
          <w:lang w:val="en-US"/>
        </w:rPr>
        <w:t>The amount must reflect the true travel time. For example, if travel time is 10 minutes, only 10 minutes can be billed. The maximum that can be billed is 20 minutes of travel time.</w:t>
      </w:r>
    </w:p>
    <w:p w:rsidR="0041319A" w:rsidRDefault="0041319A" w:rsidP="0041319A">
      <w:pPr>
        <w:pStyle w:val="ListParagraph"/>
        <w:numPr>
          <w:ilvl w:val="0"/>
          <w:numId w:val="11"/>
        </w:numPr>
        <w:rPr>
          <w:lang w:val="en-US"/>
        </w:rPr>
      </w:pPr>
      <w:r w:rsidRPr="0041319A">
        <w:rPr>
          <w:lang w:val="en-US"/>
        </w:rPr>
        <w:t xml:space="preserve">Providers need to consider how they are </w:t>
      </w:r>
      <w:proofErr w:type="spellStart"/>
      <w:r w:rsidRPr="0041319A">
        <w:rPr>
          <w:lang w:val="en-US"/>
        </w:rPr>
        <w:t>rostering</w:t>
      </w:r>
      <w:proofErr w:type="spellEnd"/>
      <w:r w:rsidRPr="0041319A">
        <w:rPr>
          <w:lang w:val="en-US"/>
        </w:rPr>
        <w:t xml:space="preserve"> shifts with participants to mitigate the risk that some participants may bear the cost of provider travel more than others.</w:t>
      </w:r>
    </w:p>
    <w:p w:rsidR="004D678A" w:rsidRDefault="004D678A" w:rsidP="004D678A">
      <w:pPr>
        <w:pStyle w:val="Heading2"/>
      </w:pPr>
      <w:r>
        <w:lastRenderedPageBreak/>
        <w:t>Scenario 2</w:t>
      </w:r>
    </w:p>
    <w:p w:rsidR="004D678A" w:rsidRDefault="004D678A" w:rsidP="004D678A">
      <w:pPr>
        <w:rPr>
          <w:lang w:val="en-US"/>
        </w:rPr>
      </w:pPr>
      <w:r w:rsidRPr="004D678A">
        <w:rPr>
          <w:lang w:val="en-US"/>
        </w:rPr>
        <w:t>Accompanying and/or transporting participants in the community with the participant present in the vehicle)</w:t>
      </w:r>
      <w:r>
        <w:rPr>
          <w:lang w:val="en-US"/>
        </w:rPr>
        <w:t xml:space="preserve"> </w:t>
      </w:r>
      <w:r w:rsidRPr="004D678A">
        <w:rPr>
          <w:b/>
          <w:lang w:val="en-US"/>
        </w:rPr>
        <w:t>or</w:t>
      </w:r>
      <w:r>
        <w:rPr>
          <w:lang w:val="en-US"/>
        </w:rPr>
        <w:t xml:space="preserve"> </w:t>
      </w:r>
      <w:r w:rsidR="005462F5">
        <w:rPr>
          <w:lang w:val="en-US"/>
        </w:rPr>
        <w:t>w</w:t>
      </w:r>
      <w:r w:rsidRPr="004D678A">
        <w:rPr>
          <w:lang w:val="en-US"/>
        </w:rPr>
        <w:t>hen delivering supports under the NDIS ECEI approach</w:t>
      </w:r>
      <w:r>
        <w:rPr>
          <w:lang w:val="en-US"/>
        </w:rPr>
        <w:t>.</w:t>
      </w:r>
    </w:p>
    <w:p w:rsidR="004D678A" w:rsidRDefault="009E6C7C" w:rsidP="004D678A">
      <w:pPr>
        <w:pStyle w:val="Heading3"/>
      </w:pPr>
      <w:r>
        <w:t>When can providers recover cost</w:t>
      </w:r>
    </w:p>
    <w:p w:rsidR="004D678A" w:rsidRDefault="004D678A" w:rsidP="004D678A">
      <w:r w:rsidRPr="004D678A">
        <w:t xml:space="preserve">When the provider incurs an </w:t>
      </w:r>
      <w:r w:rsidRPr="004D678A">
        <w:rPr>
          <w:b/>
        </w:rPr>
        <w:t>additional cost</w:t>
      </w:r>
      <w:r w:rsidRPr="004D678A">
        <w:t xml:space="preserve">, in addition to worker’s time </w:t>
      </w:r>
      <w:r w:rsidRPr="004D678A">
        <w:rPr>
          <w:b/>
        </w:rPr>
        <w:t>or</w:t>
      </w:r>
      <w:r w:rsidRPr="004D678A">
        <w:t xml:space="preserve"> when delivering transport supports.</w:t>
      </w:r>
    </w:p>
    <w:p w:rsidR="004D678A" w:rsidRDefault="004D678A" w:rsidP="004D678A">
      <w:pPr>
        <w:pStyle w:val="Heading3"/>
      </w:pPr>
      <w:r>
        <w:t>Charge</w:t>
      </w:r>
    </w:p>
    <w:p w:rsidR="004D678A" w:rsidRDefault="004D678A" w:rsidP="004D678A">
      <w:r w:rsidRPr="004D678A">
        <w:t>Negotiated between the participant and provider</w:t>
      </w:r>
      <w:r>
        <w:t>.</w:t>
      </w:r>
    </w:p>
    <w:p w:rsidR="004D678A" w:rsidRDefault="004D678A" w:rsidP="004D678A">
      <w:pPr>
        <w:pStyle w:val="Heading3"/>
      </w:pPr>
      <w:r>
        <w:t>Support category</w:t>
      </w:r>
    </w:p>
    <w:p w:rsidR="004D678A" w:rsidRDefault="004D678A" w:rsidP="004D678A">
      <w:r w:rsidRPr="004D678A">
        <w:t xml:space="preserve">Core Supports (transport) </w:t>
      </w:r>
      <w:r w:rsidRPr="004D678A">
        <w:rPr>
          <w:b/>
        </w:rPr>
        <w:t>or</w:t>
      </w:r>
      <w:r w:rsidRPr="004D678A">
        <w:t xml:space="preserve"> participant contribution</w:t>
      </w:r>
      <w:r>
        <w:t>.</w:t>
      </w:r>
    </w:p>
    <w:p w:rsidR="004D678A" w:rsidRDefault="004D678A" w:rsidP="004D678A">
      <w:pPr>
        <w:pStyle w:val="Heading2"/>
      </w:pPr>
      <w:r>
        <w:t>Guidance for scenario 2</w:t>
      </w:r>
    </w:p>
    <w:p w:rsidR="004D678A" w:rsidRPr="004D678A" w:rsidRDefault="004D678A" w:rsidP="004D678A">
      <w:pPr>
        <w:pStyle w:val="ListParagraph"/>
        <w:numPr>
          <w:ilvl w:val="0"/>
          <w:numId w:val="12"/>
        </w:numPr>
        <w:rPr>
          <w:lang w:val="en-US"/>
        </w:rPr>
      </w:pPr>
      <w:r w:rsidRPr="004D678A">
        <w:rPr>
          <w:lang w:val="en-US"/>
        </w:rPr>
        <w:t xml:space="preserve">Providers may choose </w:t>
      </w:r>
      <w:r w:rsidR="009E6C7C">
        <w:rPr>
          <w:lang w:val="en-US"/>
        </w:rPr>
        <w:t xml:space="preserve">to </w:t>
      </w:r>
      <w:r w:rsidRPr="004D678A">
        <w:rPr>
          <w:lang w:val="en-US"/>
        </w:rPr>
        <w:t>calculate the additional cost by the amount of kilometers travelled. Refer to the relevant employee awards for guidance when negotiating the additional travel cost.</w:t>
      </w:r>
    </w:p>
    <w:p w:rsidR="004D678A" w:rsidRDefault="004D678A" w:rsidP="004D678A">
      <w:pPr>
        <w:pStyle w:val="ListParagraph"/>
        <w:numPr>
          <w:ilvl w:val="0"/>
          <w:numId w:val="12"/>
        </w:numPr>
        <w:rPr>
          <w:lang w:val="en-US"/>
        </w:rPr>
      </w:pPr>
      <w:r w:rsidRPr="004D678A">
        <w:rPr>
          <w:lang w:val="en-US"/>
        </w:rPr>
        <w:t xml:space="preserve">A worker’s time can also be claimed at the hourly rate for the relevant support line item for the total time that the worker is transporting or accompanying the participant, in addition to the incurred cost (for example the </w:t>
      </w:r>
      <w:proofErr w:type="spellStart"/>
      <w:r w:rsidRPr="004D678A">
        <w:rPr>
          <w:lang w:val="en-US"/>
        </w:rPr>
        <w:t>kilometres</w:t>
      </w:r>
      <w:proofErr w:type="spellEnd"/>
      <w:r w:rsidRPr="004D678A">
        <w:rPr>
          <w:lang w:val="en-US"/>
        </w:rPr>
        <w:t xml:space="preserve">), except when the provider is delivering transport supports. If the provider is transporting </w:t>
      </w:r>
      <w:r w:rsidR="005462F5">
        <w:rPr>
          <w:lang w:val="en-US"/>
        </w:rPr>
        <w:t>2</w:t>
      </w:r>
      <w:r w:rsidRPr="004D678A">
        <w:rPr>
          <w:lang w:val="en-US"/>
        </w:rPr>
        <w:t xml:space="preserve"> or more participants on the same trip, the individual charge should be calculated according to the group ratio (for example, 2 staff to 10 participants).</w:t>
      </w:r>
    </w:p>
    <w:p w:rsidR="004D678A" w:rsidRDefault="004D678A" w:rsidP="004D678A">
      <w:pPr>
        <w:pStyle w:val="Heading2"/>
      </w:pPr>
      <w:r>
        <w:t>Scenario 3</w:t>
      </w:r>
    </w:p>
    <w:p w:rsidR="004D678A" w:rsidRDefault="004D678A" w:rsidP="004D678A">
      <w:pPr>
        <w:rPr>
          <w:lang w:val="en-US"/>
        </w:rPr>
      </w:pPr>
      <w:r w:rsidRPr="004D678A">
        <w:rPr>
          <w:lang w:val="en-US"/>
        </w:rPr>
        <w:t>Travel to provide therapeutic or Earl</w:t>
      </w:r>
      <w:r>
        <w:rPr>
          <w:lang w:val="en-US"/>
        </w:rPr>
        <w:t xml:space="preserve">y Childhood Early Intervention </w:t>
      </w:r>
      <w:r w:rsidRPr="004D678A">
        <w:rPr>
          <w:lang w:val="en-US"/>
        </w:rPr>
        <w:t>(ECEI) supports</w:t>
      </w:r>
      <w:r>
        <w:rPr>
          <w:lang w:val="en-US"/>
        </w:rPr>
        <w:t>.</w:t>
      </w:r>
    </w:p>
    <w:p w:rsidR="004D678A" w:rsidRDefault="009E6C7C" w:rsidP="004D678A">
      <w:pPr>
        <w:pStyle w:val="Heading3"/>
        <w:rPr>
          <w:lang w:val="en-US"/>
        </w:rPr>
      </w:pPr>
      <w:r>
        <w:rPr>
          <w:lang w:val="en-US"/>
        </w:rPr>
        <w:t>When can providers recover cost</w:t>
      </w:r>
    </w:p>
    <w:p w:rsidR="004D678A" w:rsidRDefault="004D678A" w:rsidP="004D678A">
      <w:pPr>
        <w:rPr>
          <w:lang w:val="en-US"/>
        </w:rPr>
      </w:pPr>
      <w:r w:rsidRPr="004D678A">
        <w:rPr>
          <w:lang w:val="en-US"/>
        </w:rPr>
        <w:t>When travel distance exceeds 10km</w:t>
      </w:r>
      <w:r>
        <w:rPr>
          <w:lang w:val="en-US"/>
        </w:rPr>
        <w:t>.</w:t>
      </w:r>
    </w:p>
    <w:p w:rsidR="004D678A" w:rsidRDefault="004D678A" w:rsidP="004D678A">
      <w:pPr>
        <w:pStyle w:val="Heading3"/>
      </w:pPr>
      <w:r>
        <w:t>Charge</w:t>
      </w:r>
    </w:p>
    <w:p w:rsidR="004D678A" w:rsidRDefault="004D678A" w:rsidP="004D678A">
      <w:pPr>
        <w:rPr>
          <w:lang w:val="en-US"/>
        </w:rPr>
      </w:pPr>
      <w:r w:rsidRPr="004D678A">
        <w:rPr>
          <w:lang w:val="en-US"/>
        </w:rPr>
        <w:t>The hourly rate for the relevant support line item</w:t>
      </w:r>
      <w:r>
        <w:rPr>
          <w:lang w:val="en-US"/>
        </w:rPr>
        <w:t>.</w:t>
      </w:r>
    </w:p>
    <w:p w:rsidR="004D678A" w:rsidRDefault="004D678A" w:rsidP="004D678A">
      <w:pPr>
        <w:pStyle w:val="Heading3"/>
      </w:pPr>
      <w:r>
        <w:t>Support category</w:t>
      </w:r>
    </w:p>
    <w:p w:rsidR="004D678A" w:rsidRDefault="004D678A" w:rsidP="004D678A">
      <w:pPr>
        <w:rPr>
          <w:lang w:val="en-US"/>
        </w:rPr>
      </w:pPr>
      <w:r w:rsidRPr="004D678A">
        <w:rPr>
          <w:lang w:val="en-US"/>
        </w:rPr>
        <w:t>Capacity Building Supports</w:t>
      </w:r>
    </w:p>
    <w:p w:rsidR="004D678A" w:rsidRDefault="004D678A" w:rsidP="004D678A">
      <w:pPr>
        <w:pStyle w:val="Heading2"/>
      </w:pPr>
      <w:r>
        <w:t>Guidance for scenario 3</w:t>
      </w:r>
    </w:p>
    <w:p w:rsidR="004D678A" w:rsidRPr="00645621" w:rsidRDefault="004D678A" w:rsidP="004D678A">
      <w:pPr>
        <w:pStyle w:val="ListParagraph"/>
        <w:numPr>
          <w:ilvl w:val="0"/>
          <w:numId w:val="14"/>
        </w:numPr>
        <w:ind w:right="-40"/>
      </w:pPr>
      <w:r w:rsidRPr="00645621">
        <w:t>The funding included in the plan for therapeutic travel will reflect a reasonable and necessary amount up to a maximum of $1</w:t>
      </w:r>
      <w:r w:rsidR="009E6C7C">
        <w:t>,</w:t>
      </w:r>
      <w:bookmarkStart w:id="0" w:name="_GoBack"/>
      <w:bookmarkEnd w:id="0"/>
      <w:r w:rsidRPr="00645621">
        <w:t>000 per year. ECEI supports</w:t>
      </w:r>
      <w:r>
        <w:t xml:space="preserve"> for</w:t>
      </w:r>
      <w:r w:rsidRPr="00645621">
        <w:t xml:space="preserve"> travel will be funded up to $3</w:t>
      </w:r>
      <w:r>
        <w:t>,</w:t>
      </w:r>
      <w:r w:rsidRPr="00645621">
        <w:t>000 per year.</w:t>
      </w:r>
    </w:p>
    <w:p w:rsidR="004D678A" w:rsidRPr="004D678A" w:rsidRDefault="004D678A" w:rsidP="004D678A">
      <w:pPr>
        <w:pStyle w:val="ListParagraph"/>
        <w:numPr>
          <w:ilvl w:val="0"/>
          <w:numId w:val="14"/>
        </w:numPr>
        <w:rPr>
          <w:lang w:val="en-US"/>
        </w:rPr>
      </w:pPr>
      <w:r w:rsidRPr="00645621">
        <w:t xml:space="preserve">Funding should be calculated using the following formula: claimable travel time (in minutes) </w:t>
      </w:r>
      <w:r>
        <w:t>equals</w:t>
      </w:r>
      <w:r w:rsidRPr="00645621">
        <w:t xml:space="preserve"> (total km travelled </w:t>
      </w:r>
      <w:r>
        <w:t xml:space="preserve">minus </w:t>
      </w:r>
      <w:r w:rsidRPr="00645621">
        <w:t xml:space="preserve">10) </w:t>
      </w:r>
      <w:r>
        <w:t>divided by</w:t>
      </w:r>
      <w:r w:rsidRPr="00645621">
        <w:t xml:space="preserve"> 60. This assumes that on average the travel speed is 60km</w:t>
      </w:r>
      <w:r>
        <w:t xml:space="preserve"> per </w:t>
      </w:r>
      <w:r w:rsidRPr="00645621">
        <w:t>h</w:t>
      </w:r>
      <w:r>
        <w:t>our</w:t>
      </w:r>
      <w:r w:rsidRPr="00645621">
        <w:t xml:space="preserve"> and is consistent with the </w:t>
      </w:r>
      <w:hyperlink r:id="rId5" w:history="1">
        <w:r w:rsidRPr="00645621">
          <w:rPr>
            <w:rStyle w:val="Hyperlink"/>
          </w:rPr>
          <w:t>Claimable Travel Calculator</w:t>
        </w:r>
      </w:hyperlink>
      <w:r w:rsidRPr="00645621">
        <w:t xml:space="preserve"> on the NDIS website.</w:t>
      </w:r>
    </w:p>
    <w:p w:rsidR="004D678A" w:rsidRDefault="004D678A" w:rsidP="004D678A">
      <w:pPr>
        <w:pStyle w:val="Heading2"/>
      </w:pPr>
      <w:r>
        <w:t>Scenario 4</w:t>
      </w:r>
    </w:p>
    <w:p w:rsidR="004D678A" w:rsidRDefault="004D678A" w:rsidP="004D678A">
      <w:pPr>
        <w:rPr>
          <w:lang w:val="en-US"/>
        </w:rPr>
      </w:pPr>
      <w:r w:rsidRPr="004D678A">
        <w:rPr>
          <w:lang w:val="en-US"/>
        </w:rPr>
        <w:t>Remote or very remote travel</w:t>
      </w:r>
      <w:r>
        <w:rPr>
          <w:lang w:val="en-US"/>
        </w:rPr>
        <w:t>.</w:t>
      </w:r>
    </w:p>
    <w:p w:rsidR="004D678A" w:rsidRDefault="009E6C7C" w:rsidP="004D678A">
      <w:pPr>
        <w:pStyle w:val="Heading3"/>
        <w:rPr>
          <w:lang w:val="en-US"/>
        </w:rPr>
      </w:pPr>
      <w:r>
        <w:rPr>
          <w:lang w:val="en-US"/>
        </w:rPr>
        <w:t>When can providers recover cost</w:t>
      </w:r>
    </w:p>
    <w:p w:rsidR="004D678A" w:rsidRDefault="004D678A" w:rsidP="004D678A">
      <w:pPr>
        <w:pStyle w:val="BodyText"/>
      </w:pPr>
      <w:r w:rsidRPr="00645621">
        <w:t xml:space="preserve">Services are delivered in remote or very remote regions. For more information regarding geographical locations refer to the </w:t>
      </w:r>
      <w:hyperlink r:id="rId6" w:history="1">
        <w:r w:rsidRPr="00645621">
          <w:rPr>
            <w:rStyle w:val="Hyperlink"/>
          </w:rPr>
          <w:t xml:space="preserve">Modified </w:t>
        </w:r>
        <w:proofErr w:type="spellStart"/>
        <w:r w:rsidRPr="00645621">
          <w:rPr>
            <w:rStyle w:val="Hyperlink"/>
          </w:rPr>
          <w:t>Monash</w:t>
        </w:r>
        <w:proofErr w:type="spellEnd"/>
        <w:r w:rsidRPr="00645621">
          <w:rPr>
            <w:rStyle w:val="Hyperlink"/>
          </w:rPr>
          <w:t xml:space="preserve"> Model</w:t>
        </w:r>
      </w:hyperlink>
      <w:r w:rsidRPr="00645621">
        <w:t>.</w:t>
      </w:r>
    </w:p>
    <w:p w:rsidR="004D678A" w:rsidRDefault="004D678A" w:rsidP="004D678A">
      <w:pPr>
        <w:pStyle w:val="Heading3"/>
      </w:pPr>
      <w:r>
        <w:t>Charge</w:t>
      </w:r>
    </w:p>
    <w:p w:rsidR="004D678A" w:rsidRDefault="004D678A" w:rsidP="004D678A">
      <w:pPr>
        <w:rPr>
          <w:lang w:val="en-US"/>
        </w:rPr>
      </w:pPr>
      <w:r w:rsidRPr="004D678A">
        <w:rPr>
          <w:lang w:val="en-US"/>
        </w:rPr>
        <w:t>Subject to relevant loading or agreement with the NDIA and provider. This is a quotable item.</w:t>
      </w:r>
    </w:p>
    <w:p w:rsidR="004D678A" w:rsidRDefault="004D678A" w:rsidP="004D678A">
      <w:pPr>
        <w:pStyle w:val="Heading3"/>
      </w:pPr>
      <w:r>
        <w:t>Support category</w:t>
      </w:r>
    </w:p>
    <w:p w:rsidR="004D678A" w:rsidRDefault="004D678A" w:rsidP="004D678A">
      <w:pPr>
        <w:rPr>
          <w:lang w:val="en-US"/>
        </w:rPr>
      </w:pPr>
      <w:r w:rsidRPr="004D678A">
        <w:rPr>
          <w:lang w:val="en-US"/>
        </w:rPr>
        <w:t>Core or Capacity Building Supports (as appropriate)</w:t>
      </w:r>
      <w:r>
        <w:rPr>
          <w:lang w:val="en-US"/>
        </w:rPr>
        <w:t>.</w:t>
      </w:r>
    </w:p>
    <w:p w:rsidR="004D678A" w:rsidRDefault="004D678A" w:rsidP="004D678A">
      <w:pPr>
        <w:pStyle w:val="Heading2"/>
      </w:pPr>
      <w:r>
        <w:t>Guidance for scenario 4</w:t>
      </w:r>
    </w:p>
    <w:p w:rsidR="004D678A" w:rsidRDefault="004D678A" w:rsidP="004D678A">
      <w:pPr>
        <w:rPr>
          <w:lang w:val="en-US"/>
        </w:rPr>
      </w:pPr>
      <w:r w:rsidRPr="004D678A">
        <w:rPr>
          <w:lang w:val="en-US"/>
        </w:rPr>
        <w:t>Prices in remote and very remote areas are respectively 20</w:t>
      </w:r>
      <w:r>
        <w:rPr>
          <w:lang w:val="en-US"/>
        </w:rPr>
        <w:t xml:space="preserve"> percent</w:t>
      </w:r>
      <w:r w:rsidRPr="004D678A">
        <w:rPr>
          <w:lang w:val="en-US"/>
        </w:rPr>
        <w:t xml:space="preserve"> and 25</w:t>
      </w:r>
      <w:r>
        <w:rPr>
          <w:lang w:val="en-US"/>
        </w:rPr>
        <w:t xml:space="preserve"> percent</w:t>
      </w:r>
      <w:r w:rsidRPr="004D678A">
        <w:rPr>
          <w:lang w:val="en-US"/>
        </w:rPr>
        <w:t xml:space="preserve"> higher than supports delivered in other areas. If local area providers are n</w:t>
      </w:r>
      <w:r w:rsidR="00F066A0">
        <w:rPr>
          <w:lang w:val="en-US"/>
        </w:rPr>
        <w:t>ot available in remote or very r</w:t>
      </w:r>
      <w:r w:rsidRPr="004D678A">
        <w:rPr>
          <w:lang w:val="en-US"/>
        </w:rPr>
        <w:t>emote areas, the NDIA may enter into agreements with other providers to provide supports, for example, those in thin markets.</w:t>
      </w:r>
    </w:p>
    <w:p w:rsidR="009D0C5F" w:rsidRDefault="009D0C5F" w:rsidP="004D678A">
      <w:pPr>
        <w:rPr>
          <w:lang w:val="en-US"/>
        </w:rPr>
      </w:pPr>
    </w:p>
    <w:p w:rsidR="009D0C5F" w:rsidRPr="004D678A" w:rsidRDefault="009D0C5F" w:rsidP="004D678A">
      <w:pPr>
        <w:rPr>
          <w:lang w:val="en-US"/>
        </w:rPr>
      </w:pPr>
      <w:r>
        <w:rPr>
          <w:lang w:val="en-US"/>
        </w:rPr>
        <w:t>End of document.</w:t>
      </w:r>
    </w:p>
    <w:sectPr w:rsidR="009D0C5F" w:rsidRPr="004D6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B68"/>
    <w:multiLevelType w:val="hybridMultilevel"/>
    <w:tmpl w:val="DFA6810E"/>
    <w:lvl w:ilvl="0" w:tplc="8D4E5A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535FF"/>
    <w:multiLevelType w:val="hybridMultilevel"/>
    <w:tmpl w:val="70F2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D639B"/>
    <w:multiLevelType w:val="hybridMultilevel"/>
    <w:tmpl w:val="075C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A5281"/>
    <w:multiLevelType w:val="hybridMultilevel"/>
    <w:tmpl w:val="BE44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nsid w:val="34316A12"/>
    <w:multiLevelType w:val="hybridMultilevel"/>
    <w:tmpl w:val="148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CB7929"/>
    <w:multiLevelType w:val="hybridMultilevel"/>
    <w:tmpl w:val="DCFAE554"/>
    <w:lvl w:ilvl="0" w:tplc="846CC09E">
      <w:start w:val="1"/>
      <w:numFmt w:val="bullet"/>
      <w:lvlText w:val="•"/>
      <w:lvlJc w:val="left"/>
      <w:pPr>
        <w:tabs>
          <w:tab w:val="num" w:pos="720"/>
        </w:tabs>
        <w:ind w:left="720" w:hanging="360"/>
      </w:pPr>
      <w:rPr>
        <w:rFonts w:ascii="Arial" w:hAnsi="Arial" w:hint="default"/>
      </w:rPr>
    </w:lvl>
    <w:lvl w:ilvl="1" w:tplc="29064A3E" w:tentative="1">
      <w:start w:val="1"/>
      <w:numFmt w:val="bullet"/>
      <w:lvlText w:val="•"/>
      <w:lvlJc w:val="left"/>
      <w:pPr>
        <w:tabs>
          <w:tab w:val="num" w:pos="1440"/>
        </w:tabs>
        <w:ind w:left="1440" w:hanging="360"/>
      </w:pPr>
      <w:rPr>
        <w:rFonts w:ascii="Arial" w:hAnsi="Arial" w:hint="default"/>
      </w:rPr>
    </w:lvl>
    <w:lvl w:ilvl="2" w:tplc="9176F102" w:tentative="1">
      <w:start w:val="1"/>
      <w:numFmt w:val="bullet"/>
      <w:lvlText w:val="•"/>
      <w:lvlJc w:val="left"/>
      <w:pPr>
        <w:tabs>
          <w:tab w:val="num" w:pos="2160"/>
        </w:tabs>
        <w:ind w:left="2160" w:hanging="360"/>
      </w:pPr>
      <w:rPr>
        <w:rFonts w:ascii="Arial" w:hAnsi="Arial" w:hint="default"/>
      </w:rPr>
    </w:lvl>
    <w:lvl w:ilvl="3" w:tplc="838283FA" w:tentative="1">
      <w:start w:val="1"/>
      <w:numFmt w:val="bullet"/>
      <w:lvlText w:val="•"/>
      <w:lvlJc w:val="left"/>
      <w:pPr>
        <w:tabs>
          <w:tab w:val="num" w:pos="2880"/>
        </w:tabs>
        <w:ind w:left="2880" w:hanging="360"/>
      </w:pPr>
      <w:rPr>
        <w:rFonts w:ascii="Arial" w:hAnsi="Arial" w:hint="default"/>
      </w:rPr>
    </w:lvl>
    <w:lvl w:ilvl="4" w:tplc="70B8A956" w:tentative="1">
      <w:start w:val="1"/>
      <w:numFmt w:val="bullet"/>
      <w:lvlText w:val="•"/>
      <w:lvlJc w:val="left"/>
      <w:pPr>
        <w:tabs>
          <w:tab w:val="num" w:pos="3600"/>
        </w:tabs>
        <w:ind w:left="3600" w:hanging="360"/>
      </w:pPr>
      <w:rPr>
        <w:rFonts w:ascii="Arial" w:hAnsi="Arial" w:hint="default"/>
      </w:rPr>
    </w:lvl>
    <w:lvl w:ilvl="5" w:tplc="E1760716" w:tentative="1">
      <w:start w:val="1"/>
      <w:numFmt w:val="bullet"/>
      <w:lvlText w:val="•"/>
      <w:lvlJc w:val="left"/>
      <w:pPr>
        <w:tabs>
          <w:tab w:val="num" w:pos="4320"/>
        </w:tabs>
        <w:ind w:left="4320" w:hanging="360"/>
      </w:pPr>
      <w:rPr>
        <w:rFonts w:ascii="Arial" w:hAnsi="Arial" w:hint="default"/>
      </w:rPr>
    </w:lvl>
    <w:lvl w:ilvl="6" w:tplc="5A9ED3C6" w:tentative="1">
      <w:start w:val="1"/>
      <w:numFmt w:val="bullet"/>
      <w:lvlText w:val="•"/>
      <w:lvlJc w:val="left"/>
      <w:pPr>
        <w:tabs>
          <w:tab w:val="num" w:pos="5040"/>
        </w:tabs>
        <w:ind w:left="5040" w:hanging="360"/>
      </w:pPr>
      <w:rPr>
        <w:rFonts w:ascii="Arial" w:hAnsi="Arial" w:hint="default"/>
      </w:rPr>
    </w:lvl>
    <w:lvl w:ilvl="7" w:tplc="E20C823C" w:tentative="1">
      <w:start w:val="1"/>
      <w:numFmt w:val="bullet"/>
      <w:lvlText w:val="•"/>
      <w:lvlJc w:val="left"/>
      <w:pPr>
        <w:tabs>
          <w:tab w:val="num" w:pos="5760"/>
        </w:tabs>
        <w:ind w:left="5760" w:hanging="360"/>
      </w:pPr>
      <w:rPr>
        <w:rFonts w:ascii="Arial" w:hAnsi="Arial" w:hint="default"/>
      </w:rPr>
    </w:lvl>
    <w:lvl w:ilvl="8" w:tplc="C0F4FFD4" w:tentative="1">
      <w:start w:val="1"/>
      <w:numFmt w:val="bullet"/>
      <w:lvlText w:val="•"/>
      <w:lvlJc w:val="left"/>
      <w:pPr>
        <w:tabs>
          <w:tab w:val="num" w:pos="6480"/>
        </w:tabs>
        <w:ind w:left="6480" w:hanging="360"/>
      </w:pPr>
      <w:rPr>
        <w:rFonts w:ascii="Arial" w:hAnsi="Arial" w:hint="default"/>
      </w:rPr>
    </w:lvl>
  </w:abstractNum>
  <w:abstractNum w:abstractNumId="7">
    <w:nsid w:val="3FB678D2"/>
    <w:multiLevelType w:val="hybridMultilevel"/>
    <w:tmpl w:val="CA3A91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C3060C"/>
    <w:multiLevelType w:val="hybridMultilevel"/>
    <w:tmpl w:val="3F225AB2"/>
    <w:lvl w:ilvl="0" w:tplc="CC2A1722">
      <w:start w:val="1"/>
      <w:numFmt w:val="bullet"/>
      <w:lvlText w:val="•"/>
      <w:lvlJc w:val="left"/>
      <w:pPr>
        <w:tabs>
          <w:tab w:val="num" w:pos="720"/>
        </w:tabs>
        <w:ind w:left="720" w:hanging="360"/>
      </w:pPr>
      <w:rPr>
        <w:rFonts w:ascii="Arial" w:hAnsi="Arial" w:hint="default"/>
      </w:rPr>
    </w:lvl>
    <w:lvl w:ilvl="1" w:tplc="B9FEFA14" w:tentative="1">
      <w:start w:val="1"/>
      <w:numFmt w:val="bullet"/>
      <w:lvlText w:val="•"/>
      <w:lvlJc w:val="left"/>
      <w:pPr>
        <w:tabs>
          <w:tab w:val="num" w:pos="1440"/>
        </w:tabs>
        <w:ind w:left="1440" w:hanging="360"/>
      </w:pPr>
      <w:rPr>
        <w:rFonts w:ascii="Arial" w:hAnsi="Arial" w:hint="default"/>
      </w:rPr>
    </w:lvl>
    <w:lvl w:ilvl="2" w:tplc="9D60056C" w:tentative="1">
      <w:start w:val="1"/>
      <w:numFmt w:val="bullet"/>
      <w:lvlText w:val="•"/>
      <w:lvlJc w:val="left"/>
      <w:pPr>
        <w:tabs>
          <w:tab w:val="num" w:pos="2160"/>
        </w:tabs>
        <w:ind w:left="2160" w:hanging="360"/>
      </w:pPr>
      <w:rPr>
        <w:rFonts w:ascii="Arial" w:hAnsi="Arial" w:hint="default"/>
      </w:rPr>
    </w:lvl>
    <w:lvl w:ilvl="3" w:tplc="56265BD2" w:tentative="1">
      <w:start w:val="1"/>
      <w:numFmt w:val="bullet"/>
      <w:lvlText w:val="•"/>
      <w:lvlJc w:val="left"/>
      <w:pPr>
        <w:tabs>
          <w:tab w:val="num" w:pos="2880"/>
        </w:tabs>
        <w:ind w:left="2880" w:hanging="360"/>
      </w:pPr>
      <w:rPr>
        <w:rFonts w:ascii="Arial" w:hAnsi="Arial" w:hint="default"/>
      </w:rPr>
    </w:lvl>
    <w:lvl w:ilvl="4" w:tplc="F89E4A42" w:tentative="1">
      <w:start w:val="1"/>
      <w:numFmt w:val="bullet"/>
      <w:lvlText w:val="•"/>
      <w:lvlJc w:val="left"/>
      <w:pPr>
        <w:tabs>
          <w:tab w:val="num" w:pos="3600"/>
        </w:tabs>
        <w:ind w:left="3600" w:hanging="360"/>
      </w:pPr>
      <w:rPr>
        <w:rFonts w:ascii="Arial" w:hAnsi="Arial" w:hint="default"/>
      </w:rPr>
    </w:lvl>
    <w:lvl w:ilvl="5" w:tplc="4E36D432" w:tentative="1">
      <w:start w:val="1"/>
      <w:numFmt w:val="bullet"/>
      <w:lvlText w:val="•"/>
      <w:lvlJc w:val="left"/>
      <w:pPr>
        <w:tabs>
          <w:tab w:val="num" w:pos="4320"/>
        </w:tabs>
        <w:ind w:left="4320" w:hanging="360"/>
      </w:pPr>
      <w:rPr>
        <w:rFonts w:ascii="Arial" w:hAnsi="Arial" w:hint="default"/>
      </w:rPr>
    </w:lvl>
    <w:lvl w:ilvl="6" w:tplc="3594FA9E" w:tentative="1">
      <w:start w:val="1"/>
      <w:numFmt w:val="bullet"/>
      <w:lvlText w:val="•"/>
      <w:lvlJc w:val="left"/>
      <w:pPr>
        <w:tabs>
          <w:tab w:val="num" w:pos="5040"/>
        </w:tabs>
        <w:ind w:left="5040" w:hanging="360"/>
      </w:pPr>
      <w:rPr>
        <w:rFonts w:ascii="Arial" w:hAnsi="Arial" w:hint="default"/>
      </w:rPr>
    </w:lvl>
    <w:lvl w:ilvl="7" w:tplc="4C8CF854" w:tentative="1">
      <w:start w:val="1"/>
      <w:numFmt w:val="bullet"/>
      <w:lvlText w:val="•"/>
      <w:lvlJc w:val="left"/>
      <w:pPr>
        <w:tabs>
          <w:tab w:val="num" w:pos="5760"/>
        </w:tabs>
        <w:ind w:left="5760" w:hanging="360"/>
      </w:pPr>
      <w:rPr>
        <w:rFonts w:ascii="Arial" w:hAnsi="Arial" w:hint="default"/>
      </w:rPr>
    </w:lvl>
    <w:lvl w:ilvl="8" w:tplc="440E4D4A" w:tentative="1">
      <w:start w:val="1"/>
      <w:numFmt w:val="bullet"/>
      <w:lvlText w:val="•"/>
      <w:lvlJc w:val="left"/>
      <w:pPr>
        <w:tabs>
          <w:tab w:val="num" w:pos="6480"/>
        </w:tabs>
        <w:ind w:left="6480" w:hanging="360"/>
      </w:pPr>
      <w:rPr>
        <w:rFonts w:ascii="Arial" w:hAnsi="Arial" w:hint="default"/>
      </w:rPr>
    </w:lvl>
  </w:abstractNum>
  <w:abstractNum w:abstractNumId="9">
    <w:nsid w:val="68B24CE0"/>
    <w:multiLevelType w:val="hybridMultilevel"/>
    <w:tmpl w:val="0862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E05355"/>
    <w:multiLevelType w:val="hybridMultilevel"/>
    <w:tmpl w:val="5A026B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A9C0C22"/>
    <w:multiLevelType w:val="hybridMultilevel"/>
    <w:tmpl w:val="654A3B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8"/>
  </w:num>
  <w:num w:numId="6">
    <w:abstractNumId w:val="6"/>
  </w:num>
  <w:num w:numId="7">
    <w:abstractNumId w:val="1"/>
  </w:num>
  <w:num w:numId="8">
    <w:abstractNumId w:val="11"/>
  </w:num>
  <w:num w:numId="9">
    <w:abstractNumId w:val="10"/>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B4382"/>
    <w:rsid w:val="00194476"/>
    <w:rsid w:val="002129CE"/>
    <w:rsid w:val="002334D0"/>
    <w:rsid w:val="002606A3"/>
    <w:rsid w:val="00264DCF"/>
    <w:rsid w:val="00324599"/>
    <w:rsid w:val="00362CB2"/>
    <w:rsid w:val="00374762"/>
    <w:rsid w:val="003A12EA"/>
    <w:rsid w:val="003E3B11"/>
    <w:rsid w:val="00404B99"/>
    <w:rsid w:val="0041319A"/>
    <w:rsid w:val="00416BED"/>
    <w:rsid w:val="004916F4"/>
    <w:rsid w:val="004D678A"/>
    <w:rsid w:val="005201FC"/>
    <w:rsid w:val="005462F5"/>
    <w:rsid w:val="00573AA8"/>
    <w:rsid w:val="005D083D"/>
    <w:rsid w:val="00612B10"/>
    <w:rsid w:val="00637FF7"/>
    <w:rsid w:val="006D75A5"/>
    <w:rsid w:val="006E46F9"/>
    <w:rsid w:val="007041A0"/>
    <w:rsid w:val="00716435"/>
    <w:rsid w:val="007316AB"/>
    <w:rsid w:val="008E024C"/>
    <w:rsid w:val="009233A0"/>
    <w:rsid w:val="0095315E"/>
    <w:rsid w:val="009D0C5F"/>
    <w:rsid w:val="009E35E2"/>
    <w:rsid w:val="009E6C7C"/>
    <w:rsid w:val="00A96F49"/>
    <w:rsid w:val="00AA4CAA"/>
    <w:rsid w:val="00AA7A13"/>
    <w:rsid w:val="00AD033A"/>
    <w:rsid w:val="00AE6360"/>
    <w:rsid w:val="00B83103"/>
    <w:rsid w:val="00BD1B29"/>
    <w:rsid w:val="00C37D10"/>
    <w:rsid w:val="00CA0093"/>
    <w:rsid w:val="00CC123E"/>
    <w:rsid w:val="00CD18A4"/>
    <w:rsid w:val="00D96205"/>
    <w:rsid w:val="00E366CC"/>
    <w:rsid w:val="00E97DA6"/>
    <w:rsid w:val="00EA0ADE"/>
    <w:rsid w:val="00F060A2"/>
    <w:rsid w:val="00F066A0"/>
    <w:rsid w:val="00F06CE5"/>
    <w:rsid w:val="00F24F1B"/>
    <w:rsid w:val="00F90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B2AAF-3F67-43BF-B4CB-5FA64D2B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A5"/>
    <w:pPr>
      <w:spacing w:after="0" w:line="276" w:lineRule="auto"/>
    </w:pPr>
    <w:rPr>
      <w:rFonts w:eastAsiaTheme="minorEastAsia"/>
      <w:szCs w:val="24"/>
    </w:rPr>
  </w:style>
  <w:style w:type="paragraph" w:styleId="Heading1">
    <w:name w:val="heading 1"/>
    <w:basedOn w:val="Normal"/>
    <w:next w:val="Normal"/>
    <w:link w:val="Heading1Char"/>
    <w:autoRedefine/>
    <w:uiPriority w:val="9"/>
    <w:qFormat/>
    <w:rsid w:val="00CD18A4"/>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1319A"/>
    <w:pPr>
      <w:keepNext/>
      <w:keepLines/>
      <w:spacing w:before="40" w:after="12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41319A"/>
    <w:pPr>
      <w:keepNext/>
      <w:keepLines/>
      <w:spacing w:before="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8A4"/>
    <w:rPr>
      <w:rFonts w:eastAsiaTheme="majorEastAsia" w:cstheme="majorBidi"/>
      <w:b/>
      <w:sz w:val="36"/>
      <w:szCs w:val="32"/>
    </w:rPr>
  </w:style>
  <w:style w:type="paragraph" w:styleId="BodyText">
    <w:name w:val="Body Text"/>
    <w:basedOn w:val="Normal"/>
    <w:link w:val="BodyTextChar"/>
    <w:autoRedefine/>
    <w:uiPriority w:val="1"/>
    <w:qFormat/>
    <w:rsid w:val="006D75A5"/>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6D75A5"/>
    <w:rPr>
      <w:rFonts w:eastAsia="Calibri" w:cs="Calibri"/>
      <w:szCs w:val="24"/>
      <w:lang w:val="en-US"/>
    </w:rPr>
  </w:style>
  <w:style w:type="character" w:customStyle="1" w:styleId="Heading2Char">
    <w:name w:val="Heading 2 Char"/>
    <w:basedOn w:val="DefaultParagraphFont"/>
    <w:link w:val="Heading2"/>
    <w:uiPriority w:val="9"/>
    <w:rsid w:val="0041319A"/>
    <w:rPr>
      <w:rFonts w:eastAsiaTheme="majorEastAsia" w:cstheme="majorBidi"/>
      <w:b/>
      <w:sz w:val="32"/>
      <w:szCs w:val="26"/>
      <w:lang w:val="en-US"/>
    </w:rPr>
  </w:style>
  <w:style w:type="character" w:customStyle="1" w:styleId="Heading3Char">
    <w:name w:val="Heading 3 Char"/>
    <w:basedOn w:val="DefaultParagraphFont"/>
    <w:link w:val="Heading3"/>
    <w:uiPriority w:val="9"/>
    <w:rsid w:val="0041319A"/>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CA0093"/>
    <w:pPr>
      <w:numPr>
        <w:numId w:val="4"/>
      </w:numPr>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0093"/>
    <w:rPr>
      <w:color w:val="0563C1" w:themeColor="hyperlink"/>
      <w:u w:val="single"/>
    </w:rPr>
  </w:style>
  <w:style w:type="paragraph" w:styleId="NoSpacing">
    <w:name w:val="No Spacing"/>
    <w:uiPriority w:val="1"/>
    <w:qFormat/>
    <w:rsid w:val="0041319A"/>
    <w:pPr>
      <w:spacing w:after="0" w:line="240" w:lineRule="auto"/>
    </w:pPr>
    <w:rPr>
      <w:rFonts w:eastAsiaTheme="minorEastAsia"/>
      <w:szCs w:val="24"/>
    </w:rPr>
  </w:style>
  <w:style w:type="table" w:styleId="TableGrid">
    <w:name w:val="Table Grid"/>
    <w:basedOn w:val="TableNormal"/>
    <w:uiPriority w:val="39"/>
    <w:rsid w:val="004D678A"/>
    <w:pPr>
      <w:widowControl w:val="0"/>
      <w:autoSpaceDE w:val="0"/>
      <w:autoSpaceDN w:val="0"/>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8754">
      <w:bodyDiv w:val="1"/>
      <w:marLeft w:val="0"/>
      <w:marRight w:val="0"/>
      <w:marTop w:val="0"/>
      <w:marBottom w:val="0"/>
      <w:divBdr>
        <w:top w:val="none" w:sz="0" w:space="0" w:color="auto"/>
        <w:left w:val="none" w:sz="0" w:space="0" w:color="auto"/>
        <w:bottom w:val="none" w:sz="0" w:space="0" w:color="auto"/>
        <w:right w:val="none" w:sz="0" w:space="0" w:color="auto"/>
      </w:divBdr>
    </w:div>
    <w:div w:id="995767454">
      <w:bodyDiv w:val="1"/>
      <w:marLeft w:val="0"/>
      <w:marRight w:val="0"/>
      <w:marTop w:val="0"/>
      <w:marBottom w:val="0"/>
      <w:divBdr>
        <w:top w:val="none" w:sz="0" w:space="0" w:color="auto"/>
        <w:left w:val="none" w:sz="0" w:space="0" w:color="auto"/>
        <w:bottom w:val="none" w:sz="0" w:space="0" w:color="auto"/>
        <w:right w:val="none" w:sz="0" w:space="0" w:color="auto"/>
      </w:divBdr>
    </w:div>
    <w:div w:id="1229919738">
      <w:bodyDiv w:val="1"/>
      <w:marLeft w:val="0"/>
      <w:marRight w:val="0"/>
      <w:marTop w:val="0"/>
      <w:marBottom w:val="0"/>
      <w:divBdr>
        <w:top w:val="none" w:sz="0" w:space="0" w:color="auto"/>
        <w:left w:val="none" w:sz="0" w:space="0" w:color="auto"/>
        <w:bottom w:val="none" w:sz="0" w:space="0" w:color="auto"/>
        <w:right w:val="none" w:sz="0" w:space="0" w:color="auto"/>
      </w:divBdr>
      <w:divsChild>
        <w:div w:id="383409268">
          <w:marLeft w:val="446"/>
          <w:marRight w:val="0"/>
          <w:marTop w:val="0"/>
          <w:marBottom w:val="0"/>
          <w:divBdr>
            <w:top w:val="none" w:sz="0" w:space="0" w:color="auto"/>
            <w:left w:val="none" w:sz="0" w:space="0" w:color="auto"/>
            <w:bottom w:val="none" w:sz="0" w:space="0" w:color="auto"/>
            <w:right w:val="none" w:sz="0" w:space="0" w:color="auto"/>
          </w:divBdr>
        </w:div>
        <w:div w:id="1040279153">
          <w:marLeft w:val="446"/>
          <w:marRight w:val="0"/>
          <w:marTop w:val="0"/>
          <w:marBottom w:val="0"/>
          <w:divBdr>
            <w:top w:val="none" w:sz="0" w:space="0" w:color="auto"/>
            <w:left w:val="none" w:sz="0" w:space="0" w:color="auto"/>
            <w:bottom w:val="none" w:sz="0" w:space="0" w:color="auto"/>
            <w:right w:val="none" w:sz="0" w:space="0" w:color="auto"/>
          </w:divBdr>
        </w:div>
        <w:div w:id="1923369920">
          <w:marLeft w:val="446"/>
          <w:marRight w:val="0"/>
          <w:marTop w:val="0"/>
          <w:marBottom w:val="0"/>
          <w:divBdr>
            <w:top w:val="none" w:sz="0" w:space="0" w:color="auto"/>
            <w:left w:val="none" w:sz="0" w:space="0" w:color="auto"/>
            <w:bottom w:val="none" w:sz="0" w:space="0" w:color="auto"/>
            <w:right w:val="none" w:sz="0" w:space="0" w:color="auto"/>
          </w:divBdr>
        </w:div>
        <w:div w:id="1141534741">
          <w:marLeft w:val="446"/>
          <w:marRight w:val="0"/>
          <w:marTop w:val="0"/>
          <w:marBottom w:val="0"/>
          <w:divBdr>
            <w:top w:val="none" w:sz="0" w:space="0" w:color="auto"/>
            <w:left w:val="none" w:sz="0" w:space="0" w:color="auto"/>
            <w:bottom w:val="none" w:sz="0" w:space="0" w:color="auto"/>
            <w:right w:val="none" w:sz="0" w:space="0" w:color="auto"/>
          </w:divBdr>
        </w:div>
        <w:div w:id="822890295">
          <w:marLeft w:val="446"/>
          <w:marRight w:val="0"/>
          <w:marTop w:val="0"/>
          <w:marBottom w:val="0"/>
          <w:divBdr>
            <w:top w:val="none" w:sz="0" w:space="0" w:color="auto"/>
            <w:left w:val="none" w:sz="0" w:space="0" w:color="auto"/>
            <w:bottom w:val="none" w:sz="0" w:space="0" w:color="auto"/>
            <w:right w:val="none" w:sz="0" w:space="0" w:color="auto"/>
          </w:divBdr>
        </w:div>
        <w:div w:id="1124614102">
          <w:marLeft w:val="446"/>
          <w:marRight w:val="0"/>
          <w:marTop w:val="0"/>
          <w:marBottom w:val="0"/>
          <w:divBdr>
            <w:top w:val="none" w:sz="0" w:space="0" w:color="auto"/>
            <w:left w:val="none" w:sz="0" w:space="0" w:color="auto"/>
            <w:bottom w:val="none" w:sz="0" w:space="0" w:color="auto"/>
            <w:right w:val="none" w:sz="0" w:space="0" w:color="auto"/>
          </w:divBdr>
        </w:div>
        <w:div w:id="220018617">
          <w:marLeft w:val="446"/>
          <w:marRight w:val="0"/>
          <w:marTop w:val="0"/>
          <w:marBottom w:val="0"/>
          <w:divBdr>
            <w:top w:val="none" w:sz="0" w:space="0" w:color="auto"/>
            <w:left w:val="none" w:sz="0" w:space="0" w:color="auto"/>
            <w:bottom w:val="none" w:sz="0" w:space="0" w:color="auto"/>
            <w:right w:val="none" w:sz="0" w:space="0" w:color="auto"/>
          </w:divBdr>
        </w:div>
        <w:div w:id="1970939992">
          <w:marLeft w:val="446"/>
          <w:marRight w:val="0"/>
          <w:marTop w:val="0"/>
          <w:marBottom w:val="0"/>
          <w:divBdr>
            <w:top w:val="none" w:sz="0" w:space="0" w:color="auto"/>
            <w:left w:val="none" w:sz="0" w:space="0" w:color="auto"/>
            <w:bottom w:val="none" w:sz="0" w:space="0" w:color="auto"/>
            <w:right w:val="none" w:sz="0" w:space="0" w:color="auto"/>
          </w:divBdr>
        </w:div>
        <w:div w:id="1996493717">
          <w:marLeft w:val="446"/>
          <w:marRight w:val="0"/>
          <w:marTop w:val="0"/>
          <w:marBottom w:val="0"/>
          <w:divBdr>
            <w:top w:val="none" w:sz="0" w:space="0" w:color="auto"/>
            <w:left w:val="none" w:sz="0" w:space="0" w:color="auto"/>
            <w:bottom w:val="none" w:sz="0" w:space="0" w:color="auto"/>
            <w:right w:val="none" w:sz="0" w:space="0" w:color="auto"/>
          </w:divBdr>
        </w:div>
      </w:divsChild>
    </w:div>
    <w:div w:id="17066349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311">
          <w:marLeft w:val="547"/>
          <w:marRight w:val="0"/>
          <w:marTop w:val="0"/>
          <w:marBottom w:val="0"/>
          <w:divBdr>
            <w:top w:val="none" w:sz="0" w:space="0" w:color="auto"/>
            <w:left w:val="none" w:sz="0" w:space="0" w:color="auto"/>
            <w:bottom w:val="none" w:sz="0" w:space="0" w:color="auto"/>
            <w:right w:val="none" w:sz="0" w:space="0" w:color="auto"/>
          </w:divBdr>
        </w:div>
        <w:div w:id="986933629">
          <w:marLeft w:val="547"/>
          <w:marRight w:val="0"/>
          <w:marTop w:val="0"/>
          <w:marBottom w:val="0"/>
          <w:divBdr>
            <w:top w:val="none" w:sz="0" w:space="0" w:color="auto"/>
            <w:left w:val="none" w:sz="0" w:space="0" w:color="auto"/>
            <w:bottom w:val="none" w:sz="0" w:space="0" w:color="auto"/>
            <w:right w:val="none" w:sz="0" w:space="0" w:color="auto"/>
          </w:divBdr>
        </w:div>
        <w:div w:id="1990787869">
          <w:marLeft w:val="547"/>
          <w:marRight w:val="0"/>
          <w:marTop w:val="0"/>
          <w:marBottom w:val="0"/>
          <w:divBdr>
            <w:top w:val="none" w:sz="0" w:space="0" w:color="auto"/>
            <w:left w:val="none" w:sz="0" w:space="0" w:color="auto"/>
            <w:bottom w:val="none" w:sz="0" w:space="0" w:color="auto"/>
            <w:right w:val="none" w:sz="0" w:space="0" w:color="auto"/>
          </w:divBdr>
        </w:div>
        <w:div w:id="776876752">
          <w:marLeft w:val="547"/>
          <w:marRight w:val="0"/>
          <w:marTop w:val="0"/>
          <w:marBottom w:val="0"/>
          <w:divBdr>
            <w:top w:val="none" w:sz="0" w:space="0" w:color="auto"/>
            <w:left w:val="none" w:sz="0" w:space="0" w:color="auto"/>
            <w:bottom w:val="none" w:sz="0" w:space="0" w:color="auto"/>
            <w:right w:val="none" w:sz="0" w:space="0" w:color="auto"/>
          </w:divBdr>
        </w:div>
      </w:divsChild>
    </w:div>
    <w:div w:id="1859931066">
      <w:bodyDiv w:val="1"/>
      <w:marLeft w:val="0"/>
      <w:marRight w:val="0"/>
      <w:marTop w:val="0"/>
      <w:marBottom w:val="0"/>
      <w:divBdr>
        <w:top w:val="none" w:sz="0" w:space="0" w:color="auto"/>
        <w:left w:val="none" w:sz="0" w:space="0" w:color="auto"/>
        <w:bottom w:val="none" w:sz="0" w:space="0" w:color="auto"/>
        <w:right w:val="none" w:sz="0" w:space="0" w:color="auto"/>
      </w:divBdr>
      <w:divsChild>
        <w:div w:id="1172143878">
          <w:marLeft w:val="446"/>
          <w:marRight w:val="0"/>
          <w:marTop w:val="0"/>
          <w:marBottom w:val="0"/>
          <w:divBdr>
            <w:top w:val="none" w:sz="0" w:space="0" w:color="auto"/>
            <w:left w:val="none" w:sz="0" w:space="0" w:color="auto"/>
            <w:bottom w:val="none" w:sz="0" w:space="0" w:color="auto"/>
            <w:right w:val="none" w:sz="0" w:space="0" w:color="auto"/>
          </w:divBdr>
        </w:div>
        <w:div w:id="1586766200">
          <w:marLeft w:val="446"/>
          <w:marRight w:val="0"/>
          <w:marTop w:val="0"/>
          <w:marBottom w:val="0"/>
          <w:divBdr>
            <w:top w:val="none" w:sz="0" w:space="0" w:color="auto"/>
            <w:left w:val="none" w:sz="0" w:space="0" w:color="auto"/>
            <w:bottom w:val="none" w:sz="0" w:space="0" w:color="auto"/>
            <w:right w:val="none" w:sz="0" w:space="0" w:color="auto"/>
          </w:divBdr>
        </w:div>
        <w:div w:id="470901709">
          <w:marLeft w:val="446"/>
          <w:marRight w:val="0"/>
          <w:marTop w:val="0"/>
          <w:marBottom w:val="0"/>
          <w:divBdr>
            <w:top w:val="none" w:sz="0" w:space="0" w:color="auto"/>
            <w:left w:val="none" w:sz="0" w:space="0" w:color="auto"/>
            <w:bottom w:val="none" w:sz="0" w:space="0" w:color="auto"/>
            <w:right w:val="none" w:sz="0" w:space="0" w:color="auto"/>
          </w:divBdr>
        </w:div>
        <w:div w:id="1165046228">
          <w:marLeft w:val="446"/>
          <w:marRight w:val="0"/>
          <w:marTop w:val="0"/>
          <w:marBottom w:val="0"/>
          <w:divBdr>
            <w:top w:val="none" w:sz="0" w:space="0" w:color="auto"/>
            <w:left w:val="none" w:sz="0" w:space="0" w:color="auto"/>
            <w:bottom w:val="none" w:sz="0" w:space="0" w:color="auto"/>
            <w:right w:val="none" w:sz="0" w:space="0" w:color="auto"/>
          </w:divBdr>
        </w:div>
        <w:div w:id="110900274">
          <w:marLeft w:val="446"/>
          <w:marRight w:val="0"/>
          <w:marTop w:val="0"/>
          <w:marBottom w:val="0"/>
          <w:divBdr>
            <w:top w:val="none" w:sz="0" w:space="0" w:color="auto"/>
            <w:left w:val="none" w:sz="0" w:space="0" w:color="auto"/>
            <w:bottom w:val="none" w:sz="0" w:space="0" w:color="auto"/>
            <w:right w:val="none" w:sz="0" w:space="0" w:color="auto"/>
          </w:divBdr>
        </w:div>
      </w:divsChild>
    </w:div>
    <w:div w:id="2028557907">
      <w:bodyDiv w:val="1"/>
      <w:marLeft w:val="0"/>
      <w:marRight w:val="0"/>
      <w:marTop w:val="0"/>
      <w:marBottom w:val="0"/>
      <w:divBdr>
        <w:top w:val="none" w:sz="0" w:space="0" w:color="auto"/>
        <w:left w:val="none" w:sz="0" w:space="0" w:color="auto"/>
        <w:bottom w:val="none" w:sz="0" w:space="0" w:color="auto"/>
        <w:right w:val="none" w:sz="0" w:space="0" w:color="auto"/>
      </w:divBdr>
    </w:div>
    <w:div w:id="2034262282">
      <w:bodyDiv w:val="1"/>
      <w:marLeft w:val="0"/>
      <w:marRight w:val="0"/>
      <w:marTop w:val="0"/>
      <w:marBottom w:val="0"/>
      <w:divBdr>
        <w:top w:val="none" w:sz="0" w:space="0" w:color="auto"/>
        <w:left w:val="none" w:sz="0" w:space="0" w:color="auto"/>
        <w:bottom w:val="none" w:sz="0" w:space="0" w:color="auto"/>
        <w:right w:val="none" w:sz="0" w:space="0" w:color="auto"/>
      </w:divBdr>
    </w:div>
    <w:div w:id="20964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connect.gov.au/internet/otd/publishing.nsf/Content/MMM_locator" TargetMode="External"/><Relationship Id="rId5" Type="http://schemas.openxmlformats.org/officeDocument/2006/relationships/hyperlink" Target="https://www.ndis.gov.au/providers/pricing-and-pa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81F9E78C.dotm</Template>
  <TotalTime>30</TotalTime>
  <Pages>3</Pages>
  <Words>713</Words>
  <Characters>3762</Characters>
  <Application>Microsoft Office Word</Application>
  <DocSecurity>0</DocSecurity>
  <Lines>91</Lines>
  <Paragraphs>63</Paragraphs>
  <ScaleCrop>false</ScaleCrop>
  <HeadingPairs>
    <vt:vector size="2" baseType="variant">
      <vt:variant>
        <vt:lpstr>Title</vt:lpstr>
      </vt:variant>
      <vt:variant>
        <vt:i4>1</vt:i4>
      </vt:variant>
    </vt:vector>
  </HeadingPairs>
  <TitlesOfParts>
    <vt:vector size="1" baseType="lpstr">
      <vt:lpstr>Plan Reviews Accessible Slides</vt:lpstr>
    </vt:vector>
  </TitlesOfParts>
  <Company>Microsoft</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Practical Guide. Appendix 1: Provider Travel and Participant Transport Summary</dc:title>
  <dc:subject/>
  <dc:creator>Samsara Dunston</dc:creator>
  <cp:keywords/>
  <dc:description/>
  <cp:lastModifiedBy>Zoe Mathys</cp:lastModifiedBy>
  <cp:revision>7</cp:revision>
  <dcterms:created xsi:type="dcterms:W3CDTF">2017-12-07T21:35:00Z</dcterms:created>
  <dcterms:modified xsi:type="dcterms:W3CDTF">2017-12-07T23:57:00Z</dcterms:modified>
</cp:coreProperties>
</file>