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4E" w:rsidRPr="00727311" w:rsidRDefault="00727311" w:rsidP="00727311">
      <w:pPr>
        <w:pStyle w:val="Title"/>
        <w:rPr>
          <w:rFonts w:ascii="Arial" w:hAnsi="Arial" w:cs="Arial"/>
        </w:rPr>
      </w:pPr>
      <w:r>
        <w:rPr>
          <w:noProof/>
          <w:lang w:eastAsia="en-AU"/>
        </w:rPr>
        <w:drawing>
          <wp:inline distT="0" distB="0" distL="0" distR="0">
            <wp:extent cx="6296025" cy="1047750"/>
            <wp:effectExtent l="0" t="0" r="9525" b="0"/>
            <wp:docPr id="1" name="Picture 1" descr="National Disability Services Practica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VIC\Folders$\Megan.Murphy\My Pictures\National Disability Services Practical Gu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1047750"/>
                    </a:xfrm>
                    <a:prstGeom prst="rect">
                      <a:avLst/>
                    </a:prstGeom>
                    <a:noFill/>
                    <a:ln>
                      <a:noFill/>
                    </a:ln>
                  </pic:spPr>
                </pic:pic>
              </a:graphicData>
            </a:graphic>
          </wp:inline>
        </w:drawing>
      </w:r>
      <w:r w:rsidR="00EE0684" w:rsidRPr="00727311">
        <w:rPr>
          <w:rFonts w:ascii="Arial" w:hAnsi="Arial" w:cs="Arial"/>
        </w:rPr>
        <w:t>Appendix 1: Example of NDIS Funding</w:t>
      </w:r>
    </w:p>
    <w:p w:rsidR="00EE0684" w:rsidRPr="00727311" w:rsidRDefault="00EE0684" w:rsidP="00EE0684">
      <w:pPr>
        <w:pStyle w:val="TableParagraph"/>
        <w:rPr>
          <w:rFonts w:ascii="Arial" w:hAnsi="Arial" w:cs="Arial"/>
          <w:sz w:val="28"/>
          <w:szCs w:val="28"/>
          <w:lang w:val="en-AU"/>
        </w:rPr>
      </w:pPr>
      <w:r w:rsidRPr="00727311">
        <w:rPr>
          <w:rFonts w:ascii="Arial" w:hAnsi="Arial" w:cs="Arial"/>
          <w:sz w:val="28"/>
          <w:szCs w:val="28"/>
          <w:lang w:val="en-AU"/>
        </w:rPr>
        <w:t xml:space="preserve">This appendix complements the Practical Guide titled, </w:t>
      </w:r>
      <w:r w:rsidRPr="00727311">
        <w:rPr>
          <w:rFonts w:ascii="Arial" w:hAnsi="Arial" w:cs="Arial"/>
          <w:i/>
          <w:sz w:val="28"/>
          <w:szCs w:val="28"/>
          <w:lang w:val="en-AU"/>
        </w:rPr>
        <w:t>Understanding NDIS Plan Funding</w:t>
      </w:r>
      <w:r w:rsidRPr="00727311">
        <w:rPr>
          <w:rFonts w:ascii="Arial" w:hAnsi="Arial" w:cs="Arial"/>
          <w:sz w:val="28"/>
          <w:szCs w:val="28"/>
          <w:lang w:val="en-AU"/>
        </w:rPr>
        <w:t>.</w:t>
      </w:r>
    </w:p>
    <w:p w:rsidR="003873CA" w:rsidRPr="00727311" w:rsidRDefault="003873CA" w:rsidP="00EE0684">
      <w:pPr>
        <w:pStyle w:val="Heading2"/>
        <w:rPr>
          <w:rFonts w:ascii="Arial" w:hAnsi="Arial" w:cs="Arial"/>
        </w:rPr>
      </w:pPr>
      <w:r w:rsidRPr="00727311">
        <w:rPr>
          <w:rFonts w:ascii="Arial" w:hAnsi="Arial" w:cs="Arial"/>
        </w:rPr>
        <w:t>Table 1: Core Support funding</w:t>
      </w:r>
      <w:bookmarkStart w:id="0" w:name="_GoBack"/>
      <w:bookmarkEnd w:id="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1: Core Support Funding"/>
        <w:tblDescription w:val="This table is an example of how Core Support funding may appear in a NDIS Plan. It includes comments to help guide the provider to better understand what the funding and associated description means."/>
      </w:tblPr>
      <w:tblGrid>
        <w:gridCol w:w="4694"/>
        <w:gridCol w:w="5216"/>
      </w:tblGrid>
      <w:tr w:rsidR="003873CA" w:rsidRPr="00727311" w:rsidTr="00727311">
        <w:trPr>
          <w:tblHeader/>
        </w:trPr>
        <w:tc>
          <w:tcPr>
            <w:tcW w:w="4694" w:type="dxa"/>
          </w:tcPr>
          <w:p w:rsidR="003873CA" w:rsidRPr="00727311" w:rsidRDefault="003873CA" w:rsidP="007113B7">
            <w:pPr>
              <w:rPr>
                <w:rFonts w:ascii="Arial" w:hAnsi="Arial" w:cs="Arial"/>
              </w:rPr>
            </w:pPr>
            <w:bookmarkStart w:id="1" w:name="RowTitle_1" w:colFirst="0" w:colLast="0"/>
            <w:r w:rsidRPr="00727311">
              <w:rPr>
                <w:rFonts w:ascii="Arial" w:hAnsi="Arial" w:cs="Arial"/>
                <w:b/>
              </w:rPr>
              <w:t>Support Area</w:t>
            </w:r>
          </w:p>
        </w:tc>
        <w:tc>
          <w:tcPr>
            <w:tcW w:w="5216" w:type="dxa"/>
          </w:tcPr>
          <w:p w:rsidR="003873CA" w:rsidRPr="00727311" w:rsidRDefault="003873CA" w:rsidP="007113B7">
            <w:pPr>
              <w:rPr>
                <w:rFonts w:ascii="Arial" w:hAnsi="Arial" w:cs="Arial"/>
              </w:rPr>
            </w:pPr>
            <w:r w:rsidRPr="00727311">
              <w:rPr>
                <w:rFonts w:ascii="Arial" w:hAnsi="Arial" w:cs="Arial"/>
              </w:rPr>
              <w:t>Core supports</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b/>
              </w:rPr>
              <w:t>Comment</w:t>
            </w:r>
            <w:r w:rsidRPr="00727311">
              <w:rPr>
                <w:rFonts w:ascii="Arial" w:hAnsi="Arial" w:cs="Arial"/>
              </w:rPr>
              <w:t>: All support categories that fall under Core supports can be used flexibly within Core categories. This means that the total funding allocated to Core supports can be used interchangeably across: Assistance with Daily Life, Transport, Consumables; and Assistance with Social and Community Participation.</w:t>
            </w:r>
          </w:p>
        </w:tc>
      </w:tr>
      <w:tr w:rsidR="003873CA" w:rsidRPr="00727311" w:rsidTr="00727311">
        <w:tc>
          <w:tcPr>
            <w:tcW w:w="4694" w:type="dxa"/>
          </w:tcPr>
          <w:p w:rsidR="003873CA" w:rsidRPr="00727311" w:rsidRDefault="003873CA" w:rsidP="007113B7">
            <w:pPr>
              <w:rPr>
                <w:rFonts w:ascii="Arial" w:hAnsi="Arial" w:cs="Arial"/>
                <w:b/>
              </w:rPr>
            </w:pPr>
            <w:r w:rsidRPr="00727311">
              <w:rPr>
                <w:rFonts w:ascii="Arial" w:hAnsi="Arial" w:cs="Arial"/>
                <w:b/>
              </w:rPr>
              <w:t>Budget</w:t>
            </w:r>
          </w:p>
        </w:tc>
        <w:tc>
          <w:tcPr>
            <w:tcW w:w="5216" w:type="dxa"/>
          </w:tcPr>
          <w:p w:rsidR="003873CA" w:rsidRPr="00727311" w:rsidRDefault="003873CA" w:rsidP="007113B7">
            <w:pPr>
              <w:rPr>
                <w:rFonts w:ascii="Arial" w:hAnsi="Arial" w:cs="Arial"/>
              </w:rPr>
            </w:pPr>
            <w:r w:rsidRPr="00727311">
              <w:rPr>
                <w:rFonts w:ascii="Arial" w:hAnsi="Arial" w:cs="Arial"/>
              </w:rPr>
              <w:t>$18,649.80</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b/>
              </w:rPr>
              <w:t>Comment</w:t>
            </w:r>
            <w:r w:rsidRPr="00727311">
              <w:rPr>
                <w:rFonts w:ascii="Arial" w:hAnsi="Arial" w:cs="Arial"/>
              </w:rPr>
              <w:t>: This funding is intended to last the length of the plan. This will be a set period and may vary between participant plans.</w:t>
            </w:r>
          </w:p>
        </w:tc>
      </w:tr>
      <w:tr w:rsidR="003873CA" w:rsidRPr="00727311" w:rsidTr="00727311">
        <w:tc>
          <w:tcPr>
            <w:tcW w:w="4694" w:type="dxa"/>
          </w:tcPr>
          <w:p w:rsidR="003873CA" w:rsidRPr="00727311" w:rsidRDefault="003873CA" w:rsidP="007113B7">
            <w:pPr>
              <w:rPr>
                <w:rFonts w:ascii="Arial" w:hAnsi="Arial" w:cs="Arial"/>
              </w:rPr>
            </w:pPr>
            <w:r w:rsidRPr="00727311">
              <w:rPr>
                <w:rFonts w:ascii="Arial" w:hAnsi="Arial" w:cs="Arial"/>
                <w:b/>
              </w:rPr>
              <w:t>Details</w:t>
            </w:r>
          </w:p>
        </w:tc>
        <w:tc>
          <w:tcPr>
            <w:tcW w:w="5216" w:type="dxa"/>
          </w:tcPr>
          <w:p w:rsidR="003873CA" w:rsidRPr="00727311" w:rsidRDefault="003873CA" w:rsidP="007113B7">
            <w:pPr>
              <w:rPr>
                <w:rFonts w:ascii="Arial" w:hAnsi="Arial" w:cs="Arial"/>
              </w:rPr>
            </w:pPr>
            <w:r w:rsidRPr="00727311">
              <w:rPr>
                <w:rFonts w:ascii="Arial" w:hAnsi="Arial" w:cs="Arial"/>
              </w:rPr>
              <w:t xml:space="preserve">First 6 months of plan: </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rPr>
              <w:t>Support worker to assist John Doe (example) engage with community so that he can develop his interpersonal skills. To be directed by the work of John Doe’s OT/psychologist/speech therapist. To attempt to link with disability specific social/recreational groups (8 hours x 26 weeks for first 6 months of the plan, then 4 hours per week x 26 weeks for the final 6 months of the plan).</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rPr>
              <w:t xml:space="preserve">Social and recreational groups so that John Doe can develop his interpersonal skills x 6 </w:t>
            </w:r>
            <w:r w:rsidRPr="00727311">
              <w:rPr>
                <w:rFonts w:ascii="Arial" w:hAnsi="Arial" w:cs="Arial"/>
              </w:rPr>
              <w:lastRenderedPageBreak/>
              <w:t>hours per week x 26 weeks (final 6 months of the plan).</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b/>
              </w:rPr>
              <w:t>Comment</w:t>
            </w:r>
            <w:r w:rsidRPr="00727311">
              <w:rPr>
                <w:rFonts w:ascii="Arial" w:hAnsi="Arial" w:cs="Arial"/>
              </w:rPr>
              <w:t>: The Participant does not need to access their core support funding in the way described in ‘Details’. This is intended to be a guide for the participant and providers, and reflects what was discussed in the planning meeting. The participant may choose to use this funding across Core support categories. Providers are encouraged to discuss with participants how they would like to access their funding to achieve their goals detailed in their plan.</w:t>
            </w:r>
          </w:p>
        </w:tc>
      </w:tr>
      <w:tr w:rsidR="003873CA" w:rsidRPr="00727311" w:rsidTr="00727311">
        <w:tc>
          <w:tcPr>
            <w:tcW w:w="4694" w:type="dxa"/>
          </w:tcPr>
          <w:p w:rsidR="003873CA" w:rsidRPr="00727311" w:rsidRDefault="003873CA" w:rsidP="007113B7">
            <w:pPr>
              <w:rPr>
                <w:rFonts w:ascii="Arial" w:hAnsi="Arial" w:cs="Arial"/>
              </w:rPr>
            </w:pPr>
            <w:r w:rsidRPr="00727311">
              <w:rPr>
                <w:rFonts w:ascii="Arial" w:hAnsi="Arial" w:cs="Arial"/>
                <w:b/>
              </w:rPr>
              <w:lastRenderedPageBreak/>
              <w:t>How will the supports be paid</w:t>
            </w:r>
            <w:r w:rsidRPr="00727311">
              <w:rPr>
                <w:rFonts w:ascii="Arial" w:hAnsi="Arial" w:cs="Arial"/>
              </w:rPr>
              <w:t>:</w:t>
            </w:r>
          </w:p>
        </w:tc>
        <w:tc>
          <w:tcPr>
            <w:tcW w:w="5216" w:type="dxa"/>
          </w:tcPr>
          <w:p w:rsidR="003873CA" w:rsidRPr="00727311" w:rsidRDefault="003873CA" w:rsidP="007113B7">
            <w:pPr>
              <w:rPr>
                <w:rFonts w:ascii="Arial" w:hAnsi="Arial" w:cs="Arial"/>
              </w:rPr>
            </w:pPr>
            <w:r w:rsidRPr="00727311">
              <w:rPr>
                <w:rFonts w:ascii="Arial" w:hAnsi="Arial" w:cs="Arial"/>
              </w:rPr>
              <w:t>NDIS will pay my plan manager directly for these supports.</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b/>
              </w:rPr>
              <w:t>Comment:</w:t>
            </w:r>
            <w:r w:rsidRPr="00727311">
              <w:rPr>
                <w:rFonts w:ascii="Arial" w:hAnsi="Arial" w:cs="Arial"/>
              </w:rPr>
              <w:t xml:space="preserve"> This description indicates that the funding is managed by a plan manager/financial intermediary. The provider will need to send their invoices/claims directly to the plan manager. The plan manager will then claim through the participant portal and pay the provider for the supports provided.</w:t>
            </w:r>
          </w:p>
        </w:tc>
      </w:tr>
      <w:bookmarkEnd w:id="1"/>
    </w:tbl>
    <w:p w:rsidR="00727311" w:rsidRDefault="00727311" w:rsidP="003873CA">
      <w:pPr>
        <w:pStyle w:val="Heading3"/>
        <w:rPr>
          <w:rFonts w:ascii="Arial" w:hAnsi="Arial" w:cs="Arial"/>
        </w:rPr>
      </w:pPr>
    </w:p>
    <w:p w:rsidR="003873CA" w:rsidRPr="00727311" w:rsidRDefault="003873CA" w:rsidP="003873CA">
      <w:pPr>
        <w:pStyle w:val="Heading3"/>
        <w:rPr>
          <w:rFonts w:ascii="Arial" w:hAnsi="Arial" w:cs="Arial"/>
        </w:rPr>
      </w:pPr>
      <w:r w:rsidRPr="00727311">
        <w:rPr>
          <w:rFonts w:ascii="Arial" w:hAnsi="Arial" w:cs="Arial"/>
        </w:rPr>
        <w:t>Table 2: Capacity Building support category funding (Improved daily living)</w:t>
      </w:r>
    </w:p>
    <w:p w:rsidR="003873CA" w:rsidRPr="00727311" w:rsidRDefault="003873CA" w:rsidP="003873CA">
      <w:pPr>
        <w:pStyle w:val="TableParagraph"/>
        <w:rPr>
          <w:rFonts w:ascii="Arial" w:hAnsi="Arial" w:cs="Arial"/>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2: Capacity Building support category funding (Improved daily living)"/>
        <w:tblDescription w:val="This table is an example of how a Capacity Building support category may appear in a NDIS Plan. It includes comments to help guide the provider to better understand what the funding and associated description means."/>
      </w:tblPr>
      <w:tblGrid>
        <w:gridCol w:w="4718"/>
        <w:gridCol w:w="5192"/>
      </w:tblGrid>
      <w:tr w:rsidR="003873CA" w:rsidRPr="00727311" w:rsidTr="00727311">
        <w:trPr>
          <w:tblHeader/>
        </w:trPr>
        <w:tc>
          <w:tcPr>
            <w:tcW w:w="4865" w:type="dxa"/>
          </w:tcPr>
          <w:p w:rsidR="003873CA" w:rsidRPr="00727311" w:rsidRDefault="003873CA" w:rsidP="007113B7">
            <w:pPr>
              <w:rPr>
                <w:rFonts w:ascii="Arial" w:hAnsi="Arial" w:cs="Arial"/>
                <w:b/>
              </w:rPr>
            </w:pPr>
            <w:bookmarkStart w:id="2" w:name="RowTitle_2" w:colFirst="0" w:colLast="0"/>
            <w:r w:rsidRPr="00727311">
              <w:rPr>
                <w:rFonts w:ascii="Arial" w:hAnsi="Arial" w:cs="Arial"/>
                <w:b/>
              </w:rPr>
              <w:t>Support Area</w:t>
            </w:r>
          </w:p>
        </w:tc>
        <w:tc>
          <w:tcPr>
            <w:tcW w:w="5336" w:type="dxa"/>
          </w:tcPr>
          <w:p w:rsidR="003873CA" w:rsidRPr="00727311" w:rsidRDefault="003873CA" w:rsidP="007113B7">
            <w:pPr>
              <w:rPr>
                <w:rFonts w:ascii="Arial" w:hAnsi="Arial" w:cs="Arial"/>
              </w:rPr>
            </w:pPr>
            <w:r w:rsidRPr="00727311">
              <w:rPr>
                <w:rFonts w:ascii="Arial" w:hAnsi="Arial" w:cs="Arial"/>
              </w:rPr>
              <w:t>Improved daily living</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b/>
              </w:rPr>
              <w:t>Comment</w:t>
            </w:r>
            <w:r w:rsidRPr="00727311">
              <w:rPr>
                <w:rFonts w:ascii="Arial" w:hAnsi="Arial" w:cs="Arial"/>
              </w:rPr>
              <w:t>:</w:t>
            </w:r>
            <w:r w:rsidRPr="00727311">
              <w:rPr>
                <w:rFonts w:ascii="Arial" w:eastAsiaTheme="minorHAnsi" w:hAnsi="Arial" w:cs="Arial"/>
                <w:sz w:val="22"/>
                <w:szCs w:val="22"/>
              </w:rPr>
              <w:t xml:space="preserve"> </w:t>
            </w:r>
            <w:r w:rsidRPr="00727311">
              <w:rPr>
                <w:rFonts w:ascii="Arial" w:hAnsi="Arial" w:cs="Arial"/>
              </w:rPr>
              <w:t xml:space="preserve">This refers to therapy supports including, but not limited to, counselling, assessment and support by a nurse, </w:t>
            </w:r>
            <w:proofErr w:type="spellStart"/>
            <w:r w:rsidRPr="00727311">
              <w:rPr>
                <w:rFonts w:ascii="Arial" w:hAnsi="Arial" w:cs="Arial"/>
              </w:rPr>
              <w:t>specialised</w:t>
            </w:r>
            <w:proofErr w:type="spellEnd"/>
            <w:r w:rsidRPr="00727311">
              <w:rPr>
                <w:rFonts w:ascii="Arial" w:hAnsi="Arial" w:cs="Arial"/>
              </w:rPr>
              <w:t xml:space="preserve"> driver training and individual assessment, therapy and/or training. This support category is flexible.</w:t>
            </w:r>
          </w:p>
        </w:tc>
      </w:tr>
      <w:tr w:rsidR="003873CA" w:rsidRPr="00727311" w:rsidTr="003873CA">
        <w:tc>
          <w:tcPr>
            <w:tcW w:w="4865" w:type="dxa"/>
          </w:tcPr>
          <w:p w:rsidR="003873CA" w:rsidRPr="00727311" w:rsidRDefault="003873CA" w:rsidP="007113B7">
            <w:pPr>
              <w:rPr>
                <w:rFonts w:ascii="Arial" w:hAnsi="Arial" w:cs="Arial"/>
                <w:b/>
              </w:rPr>
            </w:pPr>
            <w:r w:rsidRPr="00727311">
              <w:rPr>
                <w:rFonts w:ascii="Arial" w:hAnsi="Arial" w:cs="Arial"/>
                <w:b/>
              </w:rPr>
              <w:t>Budget</w:t>
            </w:r>
          </w:p>
        </w:tc>
        <w:tc>
          <w:tcPr>
            <w:tcW w:w="5336" w:type="dxa"/>
          </w:tcPr>
          <w:p w:rsidR="003873CA" w:rsidRPr="00727311" w:rsidRDefault="003873CA" w:rsidP="007113B7">
            <w:pPr>
              <w:rPr>
                <w:rFonts w:ascii="Arial" w:hAnsi="Arial" w:cs="Arial"/>
              </w:rPr>
            </w:pPr>
            <w:r w:rsidRPr="00727311">
              <w:rPr>
                <w:rFonts w:ascii="Arial" w:hAnsi="Arial" w:cs="Arial"/>
              </w:rPr>
              <w:t>$6,561.03</w:t>
            </w:r>
          </w:p>
        </w:tc>
      </w:tr>
      <w:tr w:rsidR="003873CA" w:rsidRPr="00727311" w:rsidTr="003873CA">
        <w:tc>
          <w:tcPr>
            <w:tcW w:w="4865" w:type="dxa"/>
          </w:tcPr>
          <w:p w:rsidR="003873CA" w:rsidRPr="00727311" w:rsidRDefault="003873CA" w:rsidP="007113B7">
            <w:pPr>
              <w:rPr>
                <w:rFonts w:ascii="Arial" w:hAnsi="Arial" w:cs="Arial"/>
                <w:b/>
              </w:rPr>
            </w:pPr>
            <w:r w:rsidRPr="00727311">
              <w:rPr>
                <w:rFonts w:ascii="Arial" w:hAnsi="Arial" w:cs="Arial"/>
                <w:b/>
              </w:rPr>
              <w:t>Details</w:t>
            </w:r>
          </w:p>
        </w:tc>
        <w:tc>
          <w:tcPr>
            <w:tcW w:w="5336" w:type="dxa"/>
          </w:tcPr>
          <w:p w:rsidR="003873CA" w:rsidRPr="00727311" w:rsidRDefault="003873CA" w:rsidP="007113B7">
            <w:pPr>
              <w:rPr>
                <w:rFonts w:ascii="Arial" w:hAnsi="Arial" w:cs="Arial"/>
              </w:rPr>
            </w:pPr>
            <w:r w:rsidRPr="00727311">
              <w:rPr>
                <w:rFonts w:ascii="Arial" w:hAnsi="Arial" w:cs="Arial"/>
              </w:rPr>
              <w:t>Individual Counselling – 10 sessions</w:t>
            </w:r>
          </w:p>
          <w:p w:rsidR="003873CA" w:rsidRPr="00727311" w:rsidRDefault="003873CA" w:rsidP="007113B7">
            <w:pPr>
              <w:rPr>
                <w:rFonts w:ascii="Arial" w:hAnsi="Arial" w:cs="Arial"/>
              </w:rPr>
            </w:pPr>
            <w:r w:rsidRPr="00727311">
              <w:rPr>
                <w:rFonts w:ascii="Arial" w:hAnsi="Arial" w:cs="Arial"/>
              </w:rPr>
              <w:t>Individual Assessment, therapy or training – 29 hours</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b/>
              </w:rPr>
              <w:t>Comment</w:t>
            </w:r>
            <w:r w:rsidRPr="00727311">
              <w:rPr>
                <w:rFonts w:ascii="Arial" w:hAnsi="Arial" w:cs="Arial"/>
              </w:rPr>
              <w:t>: This could include therapy supports such as, but not limited to, Speech Therapy, Occupational Therapy and Physiotherapy.</w:t>
            </w:r>
          </w:p>
        </w:tc>
      </w:tr>
      <w:tr w:rsidR="003873CA" w:rsidRPr="00727311" w:rsidTr="003873CA">
        <w:tc>
          <w:tcPr>
            <w:tcW w:w="4865" w:type="dxa"/>
          </w:tcPr>
          <w:p w:rsidR="003873CA" w:rsidRPr="00727311" w:rsidRDefault="003873CA" w:rsidP="007113B7">
            <w:pPr>
              <w:rPr>
                <w:rFonts w:ascii="Arial" w:hAnsi="Arial" w:cs="Arial"/>
                <w:b/>
              </w:rPr>
            </w:pPr>
            <w:r w:rsidRPr="00727311">
              <w:rPr>
                <w:rFonts w:ascii="Arial" w:hAnsi="Arial" w:cs="Arial"/>
                <w:b/>
              </w:rPr>
              <w:t>How will the supports be paid</w:t>
            </w:r>
          </w:p>
        </w:tc>
        <w:tc>
          <w:tcPr>
            <w:tcW w:w="5336" w:type="dxa"/>
          </w:tcPr>
          <w:p w:rsidR="003873CA" w:rsidRPr="00727311" w:rsidRDefault="003873CA" w:rsidP="007113B7">
            <w:pPr>
              <w:rPr>
                <w:rFonts w:ascii="Arial" w:hAnsi="Arial" w:cs="Arial"/>
              </w:rPr>
            </w:pPr>
            <w:r w:rsidRPr="00727311">
              <w:rPr>
                <w:rFonts w:ascii="Arial" w:hAnsi="Arial" w:cs="Arial"/>
              </w:rPr>
              <w:t>NDIS will pay my plan manager directly for these supports</w:t>
            </w:r>
          </w:p>
        </w:tc>
      </w:tr>
      <w:bookmarkEnd w:id="2"/>
    </w:tbl>
    <w:p w:rsidR="003873CA" w:rsidRPr="00727311" w:rsidRDefault="003873CA" w:rsidP="003873CA">
      <w:pPr>
        <w:pStyle w:val="Heading3"/>
        <w:rPr>
          <w:rFonts w:ascii="Arial" w:hAnsi="Arial" w:cs="Arial"/>
        </w:rPr>
      </w:pPr>
    </w:p>
    <w:p w:rsidR="003873CA" w:rsidRPr="00727311" w:rsidRDefault="003873CA" w:rsidP="003873CA">
      <w:pPr>
        <w:pStyle w:val="Heading3"/>
        <w:rPr>
          <w:rFonts w:ascii="Arial" w:hAnsi="Arial" w:cs="Arial"/>
        </w:rPr>
      </w:pPr>
      <w:r w:rsidRPr="00727311">
        <w:rPr>
          <w:rFonts w:ascii="Arial" w:hAnsi="Arial" w:cs="Arial"/>
        </w:rPr>
        <w:t>Table 2: Core Support funding</w:t>
      </w:r>
    </w:p>
    <w:p w:rsidR="003873CA" w:rsidRPr="00727311" w:rsidRDefault="003873CA" w:rsidP="003873CA">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3: Capacity Building support category funding (Support Coordination)"/>
        <w:tblDescription w:val="This table is an example of how a Capacity Building support category may appear in a NDIS Plan. It includes comments to help guide the provider to better understand what the funding and associated description means."/>
      </w:tblPr>
      <w:tblGrid>
        <w:gridCol w:w="4715"/>
        <w:gridCol w:w="5195"/>
      </w:tblGrid>
      <w:tr w:rsidR="003873CA" w:rsidRPr="00727311" w:rsidTr="00727311">
        <w:trPr>
          <w:tblHeader/>
        </w:trPr>
        <w:tc>
          <w:tcPr>
            <w:tcW w:w="4865" w:type="dxa"/>
          </w:tcPr>
          <w:p w:rsidR="003873CA" w:rsidRPr="00727311" w:rsidRDefault="003873CA" w:rsidP="007113B7">
            <w:pPr>
              <w:rPr>
                <w:rFonts w:ascii="Arial" w:hAnsi="Arial" w:cs="Arial"/>
                <w:b/>
              </w:rPr>
            </w:pPr>
            <w:bookmarkStart w:id="3" w:name="RowTitle_3" w:colFirst="0" w:colLast="0"/>
            <w:r w:rsidRPr="00727311">
              <w:rPr>
                <w:rFonts w:ascii="Arial" w:hAnsi="Arial" w:cs="Arial"/>
                <w:b/>
              </w:rPr>
              <w:t>Support Area</w:t>
            </w:r>
          </w:p>
        </w:tc>
        <w:tc>
          <w:tcPr>
            <w:tcW w:w="5336" w:type="dxa"/>
          </w:tcPr>
          <w:p w:rsidR="003873CA" w:rsidRPr="00727311" w:rsidRDefault="003873CA" w:rsidP="007113B7">
            <w:pPr>
              <w:rPr>
                <w:rFonts w:ascii="Arial" w:hAnsi="Arial" w:cs="Arial"/>
              </w:rPr>
            </w:pPr>
            <w:r w:rsidRPr="00727311">
              <w:rPr>
                <w:rFonts w:ascii="Arial" w:hAnsi="Arial" w:cs="Arial"/>
              </w:rPr>
              <w:t>Support Coordination</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b/>
              </w:rPr>
              <w:t>Comment</w:t>
            </w:r>
            <w:r w:rsidRPr="00727311">
              <w:rPr>
                <w:rFonts w:ascii="Arial" w:hAnsi="Arial" w:cs="Arial"/>
              </w:rPr>
              <w:t>: This refers to Coordination of Supports. This support category is flexible</w:t>
            </w:r>
          </w:p>
        </w:tc>
      </w:tr>
      <w:tr w:rsidR="003873CA" w:rsidRPr="00727311" w:rsidTr="003873CA">
        <w:tc>
          <w:tcPr>
            <w:tcW w:w="4865" w:type="dxa"/>
          </w:tcPr>
          <w:p w:rsidR="003873CA" w:rsidRPr="00727311" w:rsidRDefault="003873CA" w:rsidP="007113B7">
            <w:pPr>
              <w:rPr>
                <w:rFonts w:ascii="Arial" w:hAnsi="Arial" w:cs="Arial"/>
                <w:b/>
              </w:rPr>
            </w:pPr>
            <w:r w:rsidRPr="00727311">
              <w:rPr>
                <w:rFonts w:ascii="Arial" w:hAnsi="Arial" w:cs="Arial"/>
                <w:b/>
              </w:rPr>
              <w:t>Budget</w:t>
            </w:r>
          </w:p>
        </w:tc>
        <w:tc>
          <w:tcPr>
            <w:tcW w:w="5336" w:type="dxa"/>
          </w:tcPr>
          <w:p w:rsidR="003873CA" w:rsidRPr="00727311" w:rsidRDefault="003873CA" w:rsidP="007113B7">
            <w:pPr>
              <w:rPr>
                <w:rFonts w:ascii="Arial" w:hAnsi="Arial" w:cs="Arial"/>
              </w:rPr>
            </w:pPr>
            <w:r w:rsidRPr="00727311">
              <w:rPr>
                <w:rFonts w:ascii="Arial" w:hAnsi="Arial" w:cs="Arial"/>
              </w:rPr>
              <w:t>$4,798.04</w:t>
            </w:r>
          </w:p>
        </w:tc>
      </w:tr>
      <w:tr w:rsidR="003873CA" w:rsidRPr="00727311" w:rsidTr="003873CA">
        <w:tc>
          <w:tcPr>
            <w:tcW w:w="4865" w:type="dxa"/>
          </w:tcPr>
          <w:p w:rsidR="003873CA" w:rsidRPr="00727311" w:rsidRDefault="003873CA" w:rsidP="007113B7">
            <w:pPr>
              <w:rPr>
                <w:rFonts w:ascii="Arial" w:hAnsi="Arial" w:cs="Arial"/>
                <w:b/>
              </w:rPr>
            </w:pPr>
            <w:r w:rsidRPr="00727311">
              <w:rPr>
                <w:rFonts w:ascii="Arial" w:hAnsi="Arial" w:cs="Arial"/>
                <w:b/>
              </w:rPr>
              <w:t>Details</w:t>
            </w:r>
          </w:p>
        </w:tc>
        <w:tc>
          <w:tcPr>
            <w:tcW w:w="5336" w:type="dxa"/>
          </w:tcPr>
          <w:p w:rsidR="003873CA" w:rsidRPr="00727311" w:rsidRDefault="003873CA" w:rsidP="007113B7">
            <w:pPr>
              <w:rPr>
                <w:rFonts w:ascii="Arial" w:hAnsi="Arial" w:cs="Arial"/>
              </w:rPr>
            </w:pPr>
            <w:r w:rsidRPr="00727311">
              <w:rPr>
                <w:rFonts w:ascii="Arial" w:hAnsi="Arial" w:cs="Arial"/>
              </w:rPr>
              <w:t>Coordination of supports 1 hour per week for 52 weeks</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b/>
              </w:rPr>
              <w:t>Comment</w:t>
            </w:r>
            <w:r w:rsidRPr="00727311">
              <w:rPr>
                <w:rFonts w:ascii="Arial" w:hAnsi="Arial" w:cs="Arial"/>
              </w:rPr>
              <w:t>: In application providers may find that the intensity of support required may vary throughout the duration of the plan i.e. participant may require more than 1 hour/week support at the commencement of the plan. In total the provider has been funded to provide 52 hours over the duration of the plan. These can be used flexibly within the total annual number of hours.</w:t>
            </w:r>
          </w:p>
        </w:tc>
      </w:tr>
      <w:tr w:rsidR="003873CA" w:rsidRPr="00727311" w:rsidTr="003873CA">
        <w:tc>
          <w:tcPr>
            <w:tcW w:w="4865" w:type="dxa"/>
          </w:tcPr>
          <w:p w:rsidR="003873CA" w:rsidRPr="00727311" w:rsidRDefault="003873CA" w:rsidP="007113B7">
            <w:pPr>
              <w:rPr>
                <w:rFonts w:ascii="Arial" w:hAnsi="Arial" w:cs="Arial"/>
                <w:b/>
              </w:rPr>
            </w:pPr>
            <w:r w:rsidRPr="00727311">
              <w:rPr>
                <w:rFonts w:ascii="Arial" w:hAnsi="Arial" w:cs="Arial"/>
                <w:b/>
              </w:rPr>
              <w:t>How will the supports be paid</w:t>
            </w:r>
          </w:p>
        </w:tc>
        <w:tc>
          <w:tcPr>
            <w:tcW w:w="5336" w:type="dxa"/>
          </w:tcPr>
          <w:p w:rsidR="003873CA" w:rsidRPr="00727311" w:rsidRDefault="003873CA" w:rsidP="007113B7">
            <w:pPr>
              <w:rPr>
                <w:rFonts w:ascii="Arial" w:hAnsi="Arial" w:cs="Arial"/>
              </w:rPr>
            </w:pPr>
            <w:r w:rsidRPr="00727311">
              <w:rPr>
                <w:rFonts w:ascii="Arial" w:hAnsi="Arial" w:cs="Arial"/>
              </w:rPr>
              <w:t>NDIS will pay my support provider directly for these supports</w:t>
            </w:r>
          </w:p>
          <w:p w:rsidR="003873CA" w:rsidRPr="00727311" w:rsidRDefault="003873CA" w:rsidP="007113B7">
            <w:pPr>
              <w:rPr>
                <w:rFonts w:ascii="Arial" w:hAnsi="Arial" w:cs="Arial"/>
              </w:rPr>
            </w:pPr>
          </w:p>
          <w:p w:rsidR="003873CA" w:rsidRPr="00727311" w:rsidRDefault="003873CA" w:rsidP="007113B7">
            <w:pPr>
              <w:rPr>
                <w:rFonts w:ascii="Arial" w:hAnsi="Arial" w:cs="Arial"/>
              </w:rPr>
            </w:pPr>
            <w:r w:rsidRPr="00727311">
              <w:rPr>
                <w:rFonts w:ascii="Arial" w:hAnsi="Arial" w:cs="Arial"/>
                <w:b/>
              </w:rPr>
              <w:t>Comment</w:t>
            </w:r>
            <w:r w:rsidRPr="00727311">
              <w:rPr>
                <w:rFonts w:ascii="Arial" w:hAnsi="Arial" w:cs="Arial"/>
              </w:rPr>
              <w:t>: This description indicates that the funding is managed by NDIS. Providers will need to access the Provider Portal to submit a payment request for the support provided.</w:t>
            </w:r>
          </w:p>
        </w:tc>
      </w:tr>
      <w:bookmarkEnd w:id="3"/>
    </w:tbl>
    <w:p w:rsidR="00BC3C47" w:rsidRPr="00727311" w:rsidRDefault="00BC3C47" w:rsidP="00BC3C47">
      <w:pPr>
        <w:rPr>
          <w:rFonts w:ascii="Arial" w:eastAsia="Arial" w:hAnsi="Arial" w:cs="Arial"/>
          <w:sz w:val="2"/>
          <w:szCs w:val="2"/>
        </w:rPr>
      </w:pPr>
    </w:p>
    <w:p w:rsidR="00BC3C47" w:rsidRPr="00727311" w:rsidRDefault="00BC3C47" w:rsidP="00BC3C47">
      <w:pPr>
        <w:rPr>
          <w:rFonts w:ascii="Arial" w:eastAsia="Arial" w:hAnsi="Arial" w:cs="Arial"/>
          <w:sz w:val="2"/>
          <w:szCs w:val="2"/>
        </w:rPr>
      </w:pPr>
    </w:p>
    <w:p w:rsidR="00BC3C47" w:rsidRPr="00727311" w:rsidRDefault="00BC3C47" w:rsidP="00BC3C47">
      <w:pPr>
        <w:rPr>
          <w:rFonts w:ascii="Arial" w:eastAsia="Arial" w:hAnsi="Arial" w:cs="Arial"/>
          <w:sz w:val="2"/>
          <w:szCs w:val="2"/>
        </w:rPr>
      </w:pPr>
    </w:p>
    <w:sectPr w:rsidR="00BC3C47" w:rsidRPr="00727311" w:rsidSect="0034754D">
      <w:footerReference w:type="default" r:id="rId9"/>
      <w:pgSz w:w="11900" w:h="16850"/>
      <w:pgMar w:top="240" w:right="880" w:bottom="240" w:left="1100" w:header="0" w:footer="68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1F" w:rsidRDefault="00FA231F">
      <w:r>
        <w:separator/>
      </w:r>
    </w:p>
  </w:endnote>
  <w:endnote w:type="continuationSeparator" w:id="0">
    <w:p w:rsidR="00FA231F" w:rsidRDefault="00FA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C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684" w:rsidRPr="002C1EFF" w:rsidRDefault="00EE0684" w:rsidP="00EE0684">
    <w:pPr>
      <w:pStyle w:val="Footer"/>
      <w:rPr>
        <w:rFonts w:ascii="HelveticaNeueLT Std Cn" w:hAnsi="HelveticaNeueLT Std Cn"/>
        <w:b/>
        <w:color w:val="2D5A7D"/>
      </w:rPr>
    </w:pPr>
    <w:r w:rsidRPr="002C1EFF">
      <w:rPr>
        <w:rFonts w:ascii="HelveticaNeueLT Std Cn" w:hAnsi="HelveticaNeueLT Std Cn"/>
        <w:b/>
        <w:color w:val="2D5A7D"/>
      </w:rPr>
      <w:t xml:space="preserve">Version 1: </w:t>
    </w:r>
    <w:r>
      <w:rPr>
        <w:rFonts w:ascii="HelveticaNeueLT Std Cn" w:hAnsi="HelveticaNeueLT Std Cn"/>
        <w:b/>
        <w:color w:val="2D5A7D"/>
      </w:rPr>
      <w:t>May</w:t>
    </w:r>
    <w:r w:rsidRPr="002C1EFF">
      <w:rPr>
        <w:rFonts w:ascii="HelveticaNeueLT Std Cn" w:hAnsi="HelveticaNeueLT Std Cn"/>
        <w:b/>
        <w:color w:val="2D5A7D"/>
      </w:rPr>
      <w:t xml:space="preserve"> 2017</w:t>
    </w:r>
    <w:r w:rsidR="00727311">
      <w:rPr>
        <w:rFonts w:ascii="HelveticaNeueLT Std Cn" w:hAnsi="HelveticaNeueLT Std Cn"/>
        <w:b/>
        <w:color w:val="2D5A7D"/>
      </w:rPr>
      <w:t xml:space="preserve"> </w:t>
    </w:r>
    <w:r w:rsidRPr="002C1EFF">
      <w:rPr>
        <w:rFonts w:ascii="HelveticaNeueLT Std Cn" w:hAnsi="HelveticaNeueLT Std Cn"/>
        <w:b/>
        <w:color w:val="2D5A7D"/>
      </w:rPr>
      <w:t>Author: NDS Victoria, Sector Support Team</w:t>
    </w:r>
    <w:r w:rsidRPr="002C1EFF">
      <w:rPr>
        <w:rStyle w:val="PageNumber"/>
        <w:rFonts w:ascii="HelveticaNeueLT Std Cn" w:hAnsi="HelveticaNeueLT Std Cn"/>
        <w:b/>
        <w:color w:val="2D5A7D"/>
      </w:rPr>
      <w:tab/>
    </w:r>
  </w:p>
  <w:p w:rsidR="00181AB2" w:rsidRDefault="00181AB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1F" w:rsidRDefault="00FA231F">
      <w:r>
        <w:separator/>
      </w:r>
    </w:p>
  </w:footnote>
  <w:footnote w:type="continuationSeparator" w:id="0">
    <w:p w:rsidR="00FA231F" w:rsidRDefault="00FA2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725"/>
    <w:multiLevelType w:val="hybridMultilevel"/>
    <w:tmpl w:val="0A908466"/>
    <w:lvl w:ilvl="0" w:tplc="E2F8EA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21E18"/>
    <w:multiLevelType w:val="hybridMultilevel"/>
    <w:tmpl w:val="48A43E42"/>
    <w:lvl w:ilvl="0" w:tplc="BB10EE9C">
      <w:start w:val="1"/>
      <w:numFmt w:val="bullet"/>
      <w:lvlText w:val=""/>
      <w:lvlJc w:val="left"/>
      <w:pPr>
        <w:ind w:left="1053" w:hanging="360"/>
      </w:pPr>
      <w:rPr>
        <w:rFonts w:ascii="Symbol" w:eastAsia="Symbol" w:hAnsi="Symbol" w:hint="default"/>
        <w:sz w:val="22"/>
        <w:szCs w:val="22"/>
      </w:rPr>
    </w:lvl>
    <w:lvl w:ilvl="1" w:tplc="9F169CF2">
      <w:start w:val="1"/>
      <w:numFmt w:val="bullet"/>
      <w:lvlText w:val="•"/>
      <w:lvlJc w:val="left"/>
      <w:pPr>
        <w:ind w:left="2023" w:hanging="360"/>
      </w:pPr>
      <w:rPr>
        <w:rFonts w:hint="default"/>
      </w:rPr>
    </w:lvl>
    <w:lvl w:ilvl="2" w:tplc="783294E6">
      <w:start w:val="1"/>
      <w:numFmt w:val="bullet"/>
      <w:lvlText w:val="•"/>
      <w:lvlJc w:val="left"/>
      <w:pPr>
        <w:ind w:left="2994" w:hanging="360"/>
      </w:pPr>
      <w:rPr>
        <w:rFonts w:hint="default"/>
      </w:rPr>
    </w:lvl>
    <w:lvl w:ilvl="3" w:tplc="B3903548">
      <w:start w:val="1"/>
      <w:numFmt w:val="bullet"/>
      <w:lvlText w:val="•"/>
      <w:lvlJc w:val="left"/>
      <w:pPr>
        <w:ind w:left="3965" w:hanging="360"/>
      </w:pPr>
      <w:rPr>
        <w:rFonts w:hint="default"/>
      </w:rPr>
    </w:lvl>
    <w:lvl w:ilvl="4" w:tplc="54085026">
      <w:start w:val="1"/>
      <w:numFmt w:val="bullet"/>
      <w:lvlText w:val="•"/>
      <w:lvlJc w:val="left"/>
      <w:pPr>
        <w:ind w:left="4935" w:hanging="360"/>
      </w:pPr>
      <w:rPr>
        <w:rFonts w:hint="default"/>
      </w:rPr>
    </w:lvl>
    <w:lvl w:ilvl="5" w:tplc="4016DD98">
      <w:start w:val="1"/>
      <w:numFmt w:val="bullet"/>
      <w:lvlText w:val="•"/>
      <w:lvlJc w:val="left"/>
      <w:pPr>
        <w:ind w:left="5906" w:hanging="360"/>
      </w:pPr>
      <w:rPr>
        <w:rFonts w:hint="default"/>
      </w:rPr>
    </w:lvl>
    <w:lvl w:ilvl="6" w:tplc="B19ACC6E">
      <w:start w:val="1"/>
      <w:numFmt w:val="bullet"/>
      <w:lvlText w:val="•"/>
      <w:lvlJc w:val="left"/>
      <w:pPr>
        <w:ind w:left="6876" w:hanging="360"/>
      </w:pPr>
      <w:rPr>
        <w:rFonts w:hint="default"/>
      </w:rPr>
    </w:lvl>
    <w:lvl w:ilvl="7" w:tplc="4E2AFE1A">
      <w:start w:val="1"/>
      <w:numFmt w:val="bullet"/>
      <w:lvlText w:val="•"/>
      <w:lvlJc w:val="left"/>
      <w:pPr>
        <w:ind w:left="7847" w:hanging="360"/>
      </w:pPr>
      <w:rPr>
        <w:rFonts w:hint="default"/>
      </w:rPr>
    </w:lvl>
    <w:lvl w:ilvl="8" w:tplc="E592C92E">
      <w:start w:val="1"/>
      <w:numFmt w:val="bullet"/>
      <w:lvlText w:val="•"/>
      <w:lvlJc w:val="left"/>
      <w:pPr>
        <w:ind w:left="8818" w:hanging="360"/>
      </w:pPr>
      <w:rPr>
        <w:rFonts w:hint="default"/>
      </w:rPr>
    </w:lvl>
  </w:abstractNum>
  <w:abstractNum w:abstractNumId="2" w15:restartNumberingAfterBreak="0">
    <w:nsid w:val="30672496"/>
    <w:multiLevelType w:val="multilevel"/>
    <w:tmpl w:val="62E68720"/>
    <w:lvl w:ilvl="0">
      <w:start w:val="5"/>
      <w:numFmt w:val="lowerLetter"/>
      <w:lvlText w:val="%1"/>
      <w:lvlJc w:val="left"/>
      <w:pPr>
        <w:ind w:left="572" w:hanging="420"/>
      </w:pPr>
      <w:rPr>
        <w:rFonts w:hint="default"/>
      </w:rPr>
    </w:lvl>
    <w:lvl w:ilvl="1">
      <w:start w:val="7"/>
      <w:numFmt w:val="lowerLetter"/>
      <w:lvlText w:val="%1.%2."/>
      <w:lvlJc w:val="left"/>
      <w:pPr>
        <w:ind w:left="572" w:hanging="420"/>
      </w:pPr>
      <w:rPr>
        <w:rFonts w:ascii="Arial" w:eastAsia="Arial" w:hAnsi="Arial" w:hint="default"/>
        <w:i/>
        <w:spacing w:val="-3"/>
        <w:sz w:val="22"/>
        <w:szCs w:val="22"/>
      </w:rPr>
    </w:lvl>
    <w:lvl w:ilvl="2">
      <w:start w:val="1"/>
      <w:numFmt w:val="bullet"/>
      <w:lvlText w:val=""/>
      <w:lvlJc w:val="left"/>
      <w:pPr>
        <w:ind w:left="873" w:hanging="360"/>
      </w:pPr>
      <w:rPr>
        <w:rFonts w:ascii="Symbol" w:eastAsia="Symbol" w:hAnsi="Symbol" w:hint="default"/>
        <w:sz w:val="22"/>
        <w:szCs w:val="22"/>
      </w:rPr>
    </w:lvl>
    <w:lvl w:ilvl="3">
      <w:start w:val="1"/>
      <w:numFmt w:val="bullet"/>
      <w:lvlText w:val=""/>
      <w:lvlJc w:val="left"/>
      <w:pPr>
        <w:ind w:left="953" w:hanging="360"/>
      </w:pPr>
      <w:rPr>
        <w:rFonts w:ascii="Symbol" w:eastAsia="Symbol" w:hAnsi="Symbol" w:hint="default"/>
        <w:sz w:val="22"/>
        <w:szCs w:val="22"/>
      </w:rPr>
    </w:lvl>
    <w:lvl w:ilvl="4">
      <w:start w:val="1"/>
      <w:numFmt w:val="bullet"/>
      <w:lvlText w:val="•"/>
      <w:lvlJc w:val="left"/>
      <w:pPr>
        <w:ind w:left="3359" w:hanging="360"/>
      </w:pPr>
      <w:rPr>
        <w:rFonts w:hint="default"/>
      </w:rPr>
    </w:lvl>
    <w:lvl w:ilvl="5">
      <w:start w:val="1"/>
      <w:numFmt w:val="bullet"/>
      <w:lvlText w:val="•"/>
      <w:lvlJc w:val="left"/>
      <w:pPr>
        <w:ind w:left="4563" w:hanging="360"/>
      </w:pPr>
      <w:rPr>
        <w:rFonts w:hint="default"/>
      </w:rPr>
    </w:lvl>
    <w:lvl w:ilvl="6">
      <w:start w:val="1"/>
      <w:numFmt w:val="bullet"/>
      <w:lvlText w:val="•"/>
      <w:lvlJc w:val="left"/>
      <w:pPr>
        <w:ind w:left="5766" w:hanging="360"/>
      </w:pPr>
      <w:rPr>
        <w:rFonts w:hint="default"/>
      </w:rPr>
    </w:lvl>
    <w:lvl w:ilvl="7">
      <w:start w:val="1"/>
      <w:numFmt w:val="bullet"/>
      <w:lvlText w:val="•"/>
      <w:lvlJc w:val="left"/>
      <w:pPr>
        <w:ind w:left="6969" w:hanging="360"/>
      </w:pPr>
      <w:rPr>
        <w:rFonts w:hint="default"/>
      </w:rPr>
    </w:lvl>
    <w:lvl w:ilvl="8">
      <w:start w:val="1"/>
      <w:numFmt w:val="bullet"/>
      <w:lvlText w:val="•"/>
      <w:lvlJc w:val="left"/>
      <w:pPr>
        <w:ind w:left="8172" w:hanging="360"/>
      </w:pPr>
      <w:rPr>
        <w:rFonts w:hint="default"/>
      </w:rPr>
    </w:lvl>
  </w:abstractNum>
  <w:abstractNum w:abstractNumId="3" w15:restartNumberingAfterBreak="0">
    <w:nsid w:val="3AB97948"/>
    <w:multiLevelType w:val="hybridMultilevel"/>
    <w:tmpl w:val="1B76FCA6"/>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4" w15:restartNumberingAfterBreak="0">
    <w:nsid w:val="5D747D48"/>
    <w:multiLevelType w:val="hybridMultilevel"/>
    <w:tmpl w:val="F042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293F0C"/>
    <w:multiLevelType w:val="multilevel"/>
    <w:tmpl w:val="62E68720"/>
    <w:lvl w:ilvl="0">
      <w:start w:val="5"/>
      <w:numFmt w:val="lowerLetter"/>
      <w:lvlText w:val="%1"/>
      <w:lvlJc w:val="left"/>
      <w:pPr>
        <w:ind w:left="572" w:hanging="420"/>
      </w:pPr>
      <w:rPr>
        <w:rFonts w:hint="default"/>
      </w:rPr>
    </w:lvl>
    <w:lvl w:ilvl="1">
      <w:start w:val="7"/>
      <w:numFmt w:val="lowerLetter"/>
      <w:lvlText w:val="%1.%2."/>
      <w:lvlJc w:val="left"/>
      <w:pPr>
        <w:ind w:left="572" w:hanging="420"/>
      </w:pPr>
      <w:rPr>
        <w:rFonts w:ascii="Arial" w:eastAsia="Arial" w:hAnsi="Arial" w:hint="default"/>
        <w:i/>
        <w:spacing w:val="-3"/>
        <w:sz w:val="22"/>
        <w:szCs w:val="22"/>
      </w:rPr>
    </w:lvl>
    <w:lvl w:ilvl="2">
      <w:start w:val="1"/>
      <w:numFmt w:val="bullet"/>
      <w:lvlText w:val=""/>
      <w:lvlJc w:val="left"/>
      <w:pPr>
        <w:ind w:left="873" w:hanging="360"/>
      </w:pPr>
      <w:rPr>
        <w:rFonts w:ascii="Symbol" w:eastAsia="Symbol" w:hAnsi="Symbol" w:hint="default"/>
        <w:sz w:val="22"/>
        <w:szCs w:val="22"/>
      </w:rPr>
    </w:lvl>
    <w:lvl w:ilvl="3">
      <w:start w:val="1"/>
      <w:numFmt w:val="bullet"/>
      <w:lvlText w:val=""/>
      <w:lvlJc w:val="left"/>
      <w:pPr>
        <w:ind w:left="953" w:hanging="360"/>
      </w:pPr>
      <w:rPr>
        <w:rFonts w:ascii="Symbol" w:eastAsia="Symbol" w:hAnsi="Symbol" w:hint="default"/>
        <w:sz w:val="22"/>
        <w:szCs w:val="22"/>
      </w:rPr>
    </w:lvl>
    <w:lvl w:ilvl="4">
      <w:start w:val="1"/>
      <w:numFmt w:val="bullet"/>
      <w:lvlText w:val="•"/>
      <w:lvlJc w:val="left"/>
      <w:pPr>
        <w:ind w:left="3359" w:hanging="360"/>
      </w:pPr>
      <w:rPr>
        <w:rFonts w:hint="default"/>
      </w:rPr>
    </w:lvl>
    <w:lvl w:ilvl="5">
      <w:start w:val="1"/>
      <w:numFmt w:val="bullet"/>
      <w:lvlText w:val="•"/>
      <w:lvlJc w:val="left"/>
      <w:pPr>
        <w:ind w:left="4563" w:hanging="360"/>
      </w:pPr>
      <w:rPr>
        <w:rFonts w:hint="default"/>
      </w:rPr>
    </w:lvl>
    <w:lvl w:ilvl="6">
      <w:start w:val="1"/>
      <w:numFmt w:val="bullet"/>
      <w:lvlText w:val="•"/>
      <w:lvlJc w:val="left"/>
      <w:pPr>
        <w:ind w:left="5766" w:hanging="360"/>
      </w:pPr>
      <w:rPr>
        <w:rFonts w:hint="default"/>
      </w:rPr>
    </w:lvl>
    <w:lvl w:ilvl="7">
      <w:start w:val="1"/>
      <w:numFmt w:val="bullet"/>
      <w:lvlText w:val="•"/>
      <w:lvlJc w:val="left"/>
      <w:pPr>
        <w:ind w:left="6969" w:hanging="360"/>
      </w:pPr>
      <w:rPr>
        <w:rFonts w:hint="default"/>
      </w:rPr>
    </w:lvl>
    <w:lvl w:ilvl="8">
      <w:start w:val="1"/>
      <w:numFmt w:val="bullet"/>
      <w:lvlText w:val="•"/>
      <w:lvlJc w:val="left"/>
      <w:pPr>
        <w:ind w:left="8172" w:hanging="360"/>
      </w:pPr>
      <w:rPr>
        <w:rFonts w:hint="default"/>
      </w:rPr>
    </w:lvl>
  </w:abstractNum>
  <w:abstractNum w:abstractNumId="6" w15:restartNumberingAfterBreak="0">
    <w:nsid w:val="7C3A1074"/>
    <w:multiLevelType w:val="hybridMultilevel"/>
    <w:tmpl w:val="B406C026"/>
    <w:lvl w:ilvl="0" w:tplc="F1829070">
      <w:start w:val="1"/>
      <w:numFmt w:val="bullet"/>
      <w:lvlText w:val=""/>
      <w:lvlJc w:val="left"/>
      <w:pPr>
        <w:ind w:left="873" w:hanging="360"/>
      </w:pPr>
      <w:rPr>
        <w:rFonts w:ascii="Symbol" w:eastAsia="Symbol" w:hAnsi="Symbol" w:hint="default"/>
        <w:sz w:val="22"/>
        <w:szCs w:val="22"/>
      </w:rPr>
    </w:lvl>
    <w:lvl w:ilvl="1" w:tplc="BB40FC92">
      <w:start w:val="1"/>
      <w:numFmt w:val="bullet"/>
      <w:lvlText w:val="•"/>
      <w:lvlJc w:val="left"/>
      <w:pPr>
        <w:ind w:left="1843" w:hanging="360"/>
      </w:pPr>
      <w:rPr>
        <w:rFonts w:hint="default"/>
      </w:rPr>
    </w:lvl>
    <w:lvl w:ilvl="2" w:tplc="FD4AAB3A">
      <w:start w:val="1"/>
      <w:numFmt w:val="bullet"/>
      <w:lvlText w:val="•"/>
      <w:lvlJc w:val="left"/>
      <w:pPr>
        <w:ind w:left="2814" w:hanging="360"/>
      </w:pPr>
      <w:rPr>
        <w:rFonts w:hint="default"/>
      </w:rPr>
    </w:lvl>
    <w:lvl w:ilvl="3" w:tplc="769CDA30">
      <w:start w:val="1"/>
      <w:numFmt w:val="bullet"/>
      <w:lvlText w:val="•"/>
      <w:lvlJc w:val="left"/>
      <w:pPr>
        <w:ind w:left="3785" w:hanging="360"/>
      </w:pPr>
      <w:rPr>
        <w:rFonts w:hint="default"/>
      </w:rPr>
    </w:lvl>
    <w:lvl w:ilvl="4" w:tplc="10FA88E0">
      <w:start w:val="1"/>
      <w:numFmt w:val="bullet"/>
      <w:lvlText w:val="•"/>
      <w:lvlJc w:val="left"/>
      <w:pPr>
        <w:ind w:left="4755" w:hanging="360"/>
      </w:pPr>
      <w:rPr>
        <w:rFonts w:hint="default"/>
      </w:rPr>
    </w:lvl>
    <w:lvl w:ilvl="5" w:tplc="6EFA0F34">
      <w:start w:val="1"/>
      <w:numFmt w:val="bullet"/>
      <w:lvlText w:val="•"/>
      <w:lvlJc w:val="left"/>
      <w:pPr>
        <w:ind w:left="5726" w:hanging="360"/>
      </w:pPr>
      <w:rPr>
        <w:rFonts w:hint="default"/>
      </w:rPr>
    </w:lvl>
    <w:lvl w:ilvl="6" w:tplc="B9F46E58">
      <w:start w:val="1"/>
      <w:numFmt w:val="bullet"/>
      <w:lvlText w:val="•"/>
      <w:lvlJc w:val="left"/>
      <w:pPr>
        <w:ind w:left="6696" w:hanging="360"/>
      </w:pPr>
      <w:rPr>
        <w:rFonts w:hint="default"/>
      </w:rPr>
    </w:lvl>
    <w:lvl w:ilvl="7" w:tplc="B21ED60C">
      <w:start w:val="1"/>
      <w:numFmt w:val="bullet"/>
      <w:lvlText w:val="•"/>
      <w:lvlJc w:val="left"/>
      <w:pPr>
        <w:ind w:left="7667" w:hanging="360"/>
      </w:pPr>
      <w:rPr>
        <w:rFonts w:hint="default"/>
      </w:rPr>
    </w:lvl>
    <w:lvl w:ilvl="8" w:tplc="09240766">
      <w:start w:val="1"/>
      <w:numFmt w:val="bullet"/>
      <w:lvlText w:val="•"/>
      <w:lvlJc w:val="left"/>
      <w:pPr>
        <w:ind w:left="8638" w:hanging="360"/>
      </w:pPr>
      <w:rPr>
        <w:rFont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0D"/>
    <w:rsid w:val="00023C12"/>
    <w:rsid w:val="000455C6"/>
    <w:rsid w:val="00081891"/>
    <w:rsid w:val="00091961"/>
    <w:rsid w:val="000B1FD1"/>
    <w:rsid w:val="000D2AE9"/>
    <w:rsid w:val="000D7F92"/>
    <w:rsid w:val="00104E84"/>
    <w:rsid w:val="001462B1"/>
    <w:rsid w:val="00181AB2"/>
    <w:rsid w:val="00186CE9"/>
    <w:rsid w:val="00211AF0"/>
    <w:rsid w:val="00271B7F"/>
    <w:rsid w:val="002A0FF9"/>
    <w:rsid w:val="002A709B"/>
    <w:rsid w:val="00330CF8"/>
    <w:rsid w:val="0034754D"/>
    <w:rsid w:val="003873CA"/>
    <w:rsid w:val="0039488C"/>
    <w:rsid w:val="003F5D7C"/>
    <w:rsid w:val="0041606B"/>
    <w:rsid w:val="004C77F4"/>
    <w:rsid w:val="00525568"/>
    <w:rsid w:val="00531884"/>
    <w:rsid w:val="005905D2"/>
    <w:rsid w:val="005924D7"/>
    <w:rsid w:val="006020E4"/>
    <w:rsid w:val="006454D2"/>
    <w:rsid w:val="006621C6"/>
    <w:rsid w:val="006759C4"/>
    <w:rsid w:val="00694980"/>
    <w:rsid w:val="007012C2"/>
    <w:rsid w:val="00727311"/>
    <w:rsid w:val="007433C3"/>
    <w:rsid w:val="007E79E8"/>
    <w:rsid w:val="00862DDC"/>
    <w:rsid w:val="0089221B"/>
    <w:rsid w:val="008B1B31"/>
    <w:rsid w:val="008F0C55"/>
    <w:rsid w:val="00901EBA"/>
    <w:rsid w:val="00926E9D"/>
    <w:rsid w:val="00931DC9"/>
    <w:rsid w:val="00932923"/>
    <w:rsid w:val="009A23B9"/>
    <w:rsid w:val="009E3CCF"/>
    <w:rsid w:val="00A07DAC"/>
    <w:rsid w:val="00A245E3"/>
    <w:rsid w:val="00A24DE4"/>
    <w:rsid w:val="00A663BC"/>
    <w:rsid w:val="00A90273"/>
    <w:rsid w:val="00AA0135"/>
    <w:rsid w:val="00AB3009"/>
    <w:rsid w:val="00AE10AC"/>
    <w:rsid w:val="00B33FE0"/>
    <w:rsid w:val="00B44297"/>
    <w:rsid w:val="00B62277"/>
    <w:rsid w:val="00B6284B"/>
    <w:rsid w:val="00BC3C47"/>
    <w:rsid w:val="00BD0647"/>
    <w:rsid w:val="00BE52EA"/>
    <w:rsid w:val="00C132B3"/>
    <w:rsid w:val="00C7026F"/>
    <w:rsid w:val="00CD182A"/>
    <w:rsid w:val="00D0685B"/>
    <w:rsid w:val="00D07B59"/>
    <w:rsid w:val="00D3558A"/>
    <w:rsid w:val="00D411D0"/>
    <w:rsid w:val="00D44F65"/>
    <w:rsid w:val="00D64F70"/>
    <w:rsid w:val="00DD7416"/>
    <w:rsid w:val="00DF1D1A"/>
    <w:rsid w:val="00E3597C"/>
    <w:rsid w:val="00E3790D"/>
    <w:rsid w:val="00E95BF7"/>
    <w:rsid w:val="00EA116F"/>
    <w:rsid w:val="00EA32E0"/>
    <w:rsid w:val="00EE0684"/>
    <w:rsid w:val="00F00537"/>
    <w:rsid w:val="00F61C80"/>
    <w:rsid w:val="00FA231F"/>
    <w:rsid w:val="00FC02B9"/>
    <w:rsid w:val="00FE5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7A52A7D-9F43-4E04-AE24-53D82F57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RHC Heading"/>
    <w:basedOn w:val="Normal"/>
    <w:link w:val="Heading1Char"/>
    <w:qFormat/>
    <w:pPr>
      <w:ind w:left="152"/>
      <w:outlineLvl w:val="0"/>
    </w:pPr>
    <w:rPr>
      <w:rFonts w:ascii="Arial" w:eastAsia="Arial" w:hAnsi="Arial"/>
      <w:b/>
      <w:bCs/>
      <w:sz w:val="28"/>
      <w:szCs w:val="28"/>
    </w:rPr>
  </w:style>
  <w:style w:type="paragraph" w:styleId="Heading2">
    <w:name w:val="heading 2"/>
    <w:basedOn w:val="Heading1"/>
    <w:next w:val="Normal"/>
    <w:link w:val="Heading2Char"/>
    <w:autoRedefine/>
    <w:uiPriority w:val="9"/>
    <w:unhideWhenUsed/>
    <w:qFormat/>
    <w:rsid w:val="00EE0684"/>
    <w:pPr>
      <w:keepNext/>
      <w:keepLines/>
      <w:widowControl/>
      <w:spacing w:before="280" w:after="160" w:line="276" w:lineRule="auto"/>
      <w:ind w:left="0" w:right="-40"/>
      <w:outlineLvl w:val="1"/>
    </w:pPr>
    <w:rPr>
      <w:rFonts w:ascii="HelveticaNeueLT Std Cn" w:eastAsiaTheme="majorEastAsia" w:hAnsi="HelveticaNeueLT Std Cn" w:cstheme="majorBidi"/>
      <w:color w:val="3B6E8F"/>
      <w:szCs w:val="32"/>
    </w:rPr>
  </w:style>
  <w:style w:type="paragraph" w:styleId="Heading3">
    <w:name w:val="heading 3"/>
    <w:basedOn w:val="Normal"/>
    <w:next w:val="Normal"/>
    <w:link w:val="Heading3Char"/>
    <w:uiPriority w:val="9"/>
    <w:unhideWhenUsed/>
    <w:qFormat/>
    <w:rsid w:val="003873CA"/>
    <w:pPr>
      <w:keepNext/>
      <w:keepLines/>
      <w:spacing w:before="40"/>
      <w:outlineLvl w:val="2"/>
    </w:pPr>
    <w:rPr>
      <w:rFonts w:ascii="HelveticaNeueLT Std Cn" w:eastAsiaTheme="majorEastAsia" w:hAnsi="HelveticaNeueLT Std Cn" w:cstheme="majorBidi"/>
      <w:b/>
      <w:color w:val="3B6E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873"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unhideWhenUsed/>
    <w:rsid w:val="006020E4"/>
    <w:rPr>
      <w:sz w:val="20"/>
      <w:szCs w:val="20"/>
    </w:rPr>
  </w:style>
  <w:style w:type="character" w:customStyle="1" w:styleId="CommentTextChar">
    <w:name w:val="Comment Text Char"/>
    <w:basedOn w:val="DefaultParagraphFont"/>
    <w:link w:val="CommentText"/>
    <w:uiPriority w:val="99"/>
    <w:rsid w:val="006020E4"/>
    <w:rPr>
      <w:sz w:val="20"/>
      <w:szCs w:val="20"/>
    </w:rPr>
  </w:style>
  <w:style w:type="paragraph" w:styleId="CommentSubject">
    <w:name w:val="annotation subject"/>
    <w:basedOn w:val="CommentText"/>
    <w:next w:val="CommentText"/>
    <w:link w:val="CommentSubjectChar"/>
    <w:uiPriority w:val="99"/>
    <w:semiHidden/>
    <w:unhideWhenUsed/>
    <w:rsid w:val="006020E4"/>
    <w:rPr>
      <w:b/>
      <w:bCs/>
    </w:rPr>
  </w:style>
  <w:style w:type="character" w:customStyle="1" w:styleId="CommentSubjectChar">
    <w:name w:val="Comment Subject Char"/>
    <w:basedOn w:val="CommentTextChar"/>
    <w:link w:val="CommentSubject"/>
    <w:uiPriority w:val="99"/>
    <w:semiHidden/>
    <w:rsid w:val="006020E4"/>
    <w:rPr>
      <w:b/>
      <w:bCs/>
      <w:sz w:val="20"/>
      <w:szCs w:val="20"/>
    </w:rPr>
  </w:style>
  <w:style w:type="paragraph" w:styleId="BalloonText">
    <w:name w:val="Balloon Text"/>
    <w:basedOn w:val="Normal"/>
    <w:link w:val="BalloonTextChar"/>
    <w:uiPriority w:val="99"/>
    <w:semiHidden/>
    <w:unhideWhenUsed/>
    <w:rsid w:val="00602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E4"/>
    <w:rPr>
      <w:rFonts w:ascii="Segoe UI" w:hAnsi="Segoe UI" w:cs="Segoe UI"/>
      <w:sz w:val="18"/>
      <w:szCs w:val="18"/>
    </w:rPr>
  </w:style>
  <w:style w:type="paragraph" w:styleId="Header">
    <w:name w:val="header"/>
    <w:basedOn w:val="Normal"/>
    <w:link w:val="HeaderChar"/>
    <w:uiPriority w:val="99"/>
    <w:unhideWhenUsed/>
    <w:rsid w:val="007433C3"/>
    <w:pPr>
      <w:tabs>
        <w:tab w:val="center" w:pos="4513"/>
        <w:tab w:val="right" w:pos="9026"/>
      </w:tabs>
    </w:pPr>
  </w:style>
  <w:style w:type="character" w:customStyle="1" w:styleId="HeaderChar">
    <w:name w:val="Header Char"/>
    <w:basedOn w:val="DefaultParagraphFont"/>
    <w:link w:val="Header"/>
    <w:uiPriority w:val="99"/>
    <w:rsid w:val="007433C3"/>
  </w:style>
  <w:style w:type="paragraph" w:styleId="Footer">
    <w:name w:val="footer"/>
    <w:basedOn w:val="Normal"/>
    <w:link w:val="FooterChar"/>
    <w:uiPriority w:val="99"/>
    <w:unhideWhenUsed/>
    <w:rsid w:val="007433C3"/>
    <w:pPr>
      <w:tabs>
        <w:tab w:val="center" w:pos="4513"/>
        <w:tab w:val="right" w:pos="9026"/>
      </w:tabs>
    </w:pPr>
  </w:style>
  <w:style w:type="character" w:customStyle="1" w:styleId="FooterChar">
    <w:name w:val="Footer Char"/>
    <w:basedOn w:val="DefaultParagraphFont"/>
    <w:link w:val="Footer"/>
    <w:uiPriority w:val="99"/>
    <w:rsid w:val="007433C3"/>
  </w:style>
  <w:style w:type="character" w:customStyle="1" w:styleId="Heading2Char">
    <w:name w:val="Heading 2 Char"/>
    <w:basedOn w:val="DefaultParagraphFont"/>
    <w:link w:val="Heading2"/>
    <w:uiPriority w:val="9"/>
    <w:rsid w:val="00EE0684"/>
    <w:rPr>
      <w:rFonts w:ascii="HelveticaNeueLT Std Cn" w:eastAsiaTheme="majorEastAsia" w:hAnsi="HelveticaNeueLT Std Cn" w:cstheme="majorBidi"/>
      <w:b/>
      <w:bCs/>
      <w:color w:val="3B6E8F"/>
      <w:sz w:val="28"/>
      <w:szCs w:val="32"/>
    </w:rPr>
  </w:style>
  <w:style w:type="character" w:customStyle="1" w:styleId="Heading1Char">
    <w:name w:val="Heading 1 Char"/>
    <w:aliases w:val="RHC Heading Char"/>
    <w:basedOn w:val="DefaultParagraphFont"/>
    <w:link w:val="Heading1"/>
    <w:rsid w:val="00926E9D"/>
    <w:rPr>
      <w:rFonts w:ascii="Arial" w:eastAsia="Arial" w:hAnsi="Arial"/>
      <w:b/>
      <w:bCs/>
      <w:sz w:val="28"/>
      <w:szCs w:val="28"/>
    </w:rPr>
  </w:style>
  <w:style w:type="paragraph" w:customStyle="1" w:styleId="BannerHeading">
    <w:name w:val="Banner Heading"/>
    <w:basedOn w:val="Header"/>
    <w:qFormat/>
    <w:rsid w:val="00CD182A"/>
    <w:pPr>
      <w:widowControl/>
      <w:tabs>
        <w:tab w:val="clear" w:pos="4513"/>
        <w:tab w:val="clear" w:pos="9026"/>
        <w:tab w:val="center" w:pos="4320"/>
        <w:tab w:val="right" w:pos="8640"/>
      </w:tabs>
      <w:spacing w:after="120" w:line="276" w:lineRule="auto"/>
      <w:ind w:left="4320" w:right="-40"/>
    </w:pPr>
    <w:rPr>
      <w:rFonts w:ascii="Arial" w:eastAsia="Times New Roman" w:hAnsi="Arial" w:cs="Arial"/>
      <w:b/>
      <w:noProof/>
      <w:color w:val="FFFFFF"/>
      <w:sz w:val="56"/>
      <w:szCs w:val="48"/>
    </w:rPr>
  </w:style>
  <w:style w:type="paragraph" w:styleId="FootnoteText">
    <w:name w:val="footnote text"/>
    <w:basedOn w:val="Normal"/>
    <w:link w:val="FootnoteTextChar"/>
    <w:uiPriority w:val="99"/>
    <w:semiHidden/>
    <w:unhideWhenUsed/>
    <w:rsid w:val="00C7026F"/>
    <w:rPr>
      <w:sz w:val="20"/>
      <w:szCs w:val="20"/>
    </w:rPr>
  </w:style>
  <w:style w:type="character" w:customStyle="1" w:styleId="FootnoteTextChar">
    <w:name w:val="Footnote Text Char"/>
    <w:basedOn w:val="DefaultParagraphFont"/>
    <w:link w:val="FootnoteText"/>
    <w:uiPriority w:val="99"/>
    <w:semiHidden/>
    <w:rsid w:val="00C7026F"/>
    <w:rPr>
      <w:sz w:val="20"/>
      <w:szCs w:val="20"/>
    </w:rPr>
  </w:style>
  <w:style w:type="character" w:styleId="FootnoteReference">
    <w:name w:val="footnote reference"/>
    <w:basedOn w:val="DefaultParagraphFont"/>
    <w:uiPriority w:val="99"/>
    <w:semiHidden/>
    <w:unhideWhenUsed/>
    <w:rsid w:val="00C7026F"/>
    <w:rPr>
      <w:vertAlign w:val="superscript"/>
    </w:rPr>
  </w:style>
  <w:style w:type="paragraph" w:styleId="EndnoteText">
    <w:name w:val="endnote text"/>
    <w:basedOn w:val="Normal"/>
    <w:link w:val="EndnoteTextChar"/>
    <w:uiPriority w:val="99"/>
    <w:semiHidden/>
    <w:unhideWhenUsed/>
    <w:rsid w:val="00EA116F"/>
    <w:rPr>
      <w:sz w:val="20"/>
      <w:szCs w:val="20"/>
    </w:rPr>
  </w:style>
  <w:style w:type="character" w:customStyle="1" w:styleId="EndnoteTextChar">
    <w:name w:val="Endnote Text Char"/>
    <w:basedOn w:val="DefaultParagraphFont"/>
    <w:link w:val="EndnoteText"/>
    <w:uiPriority w:val="99"/>
    <w:semiHidden/>
    <w:rsid w:val="00EA116F"/>
    <w:rPr>
      <w:sz w:val="20"/>
      <w:szCs w:val="20"/>
    </w:rPr>
  </w:style>
  <w:style w:type="character" w:styleId="EndnoteReference">
    <w:name w:val="endnote reference"/>
    <w:basedOn w:val="DefaultParagraphFont"/>
    <w:uiPriority w:val="99"/>
    <w:semiHidden/>
    <w:unhideWhenUsed/>
    <w:rsid w:val="00EA116F"/>
    <w:rPr>
      <w:vertAlign w:val="superscript"/>
    </w:rPr>
  </w:style>
  <w:style w:type="character" w:styleId="Hyperlink">
    <w:name w:val="Hyperlink"/>
    <w:basedOn w:val="DefaultParagraphFont"/>
    <w:uiPriority w:val="99"/>
    <w:unhideWhenUsed/>
    <w:rsid w:val="0039488C"/>
    <w:rPr>
      <w:color w:val="0000FF" w:themeColor="hyperlink"/>
      <w:u w:val="single"/>
    </w:rPr>
  </w:style>
  <w:style w:type="table" w:styleId="TableGrid">
    <w:name w:val="Table Grid"/>
    <w:basedOn w:val="TableNormal"/>
    <w:uiPriority w:val="59"/>
    <w:rsid w:val="003873CA"/>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873CA"/>
    <w:rPr>
      <w:rFonts w:ascii="HelveticaNeueLT Std Cn" w:eastAsiaTheme="majorEastAsia" w:hAnsi="HelveticaNeueLT Std Cn" w:cstheme="majorBidi"/>
      <w:b/>
      <w:color w:val="3B6E91"/>
      <w:sz w:val="24"/>
      <w:szCs w:val="24"/>
    </w:rPr>
  </w:style>
  <w:style w:type="paragraph" w:styleId="Title">
    <w:name w:val="Title"/>
    <w:basedOn w:val="Normal"/>
    <w:next w:val="Normal"/>
    <w:link w:val="TitleChar"/>
    <w:autoRedefine/>
    <w:uiPriority w:val="10"/>
    <w:qFormat/>
    <w:rsid w:val="00727311"/>
    <w:pPr>
      <w:widowControl/>
      <w:spacing w:before="360" w:after="180" w:line="360" w:lineRule="auto"/>
      <w:ind w:right="-40"/>
      <w:contextualSpacing/>
      <w:jc w:val="both"/>
    </w:pPr>
    <w:rPr>
      <w:rFonts w:ascii="HelveticaNeueLT Std Cn" w:eastAsiaTheme="majorEastAsia" w:hAnsi="HelveticaNeueLT Std Cn" w:cstheme="majorBidi"/>
      <w:color w:val="436A85"/>
      <w:spacing w:val="5"/>
      <w:kern w:val="28"/>
      <w:sz w:val="48"/>
      <w:szCs w:val="52"/>
      <w:lang w:val="en-AU"/>
    </w:rPr>
  </w:style>
  <w:style w:type="character" w:customStyle="1" w:styleId="TitleChar">
    <w:name w:val="Title Char"/>
    <w:basedOn w:val="DefaultParagraphFont"/>
    <w:link w:val="Title"/>
    <w:uiPriority w:val="10"/>
    <w:rsid w:val="00727311"/>
    <w:rPr>
      <w:rFonts w:ascii="HelveticaNeueLT Std Cn" w:eastAsiaTheme="majorEastAsia" w:hAnsi="HelveticaNeueLT Std Cn" w:cstheme="majorBidi"/>
      <w:color w:val="436A85"/>
      <w:spacing w:val="5"/>
      <w:kern w:val="28"/>
      <w:sz w:val="48"/>
      <w:szCs w:val="52"/>
      <w:lang w:val="en-AU"/>
    </w:rPr>
  </w:style>
  <w:style w:type="character" w:styleId="PageNumber">
    <w:name w:val="page number"/>
    <w:basedOn w:val="DefaultParagraphFont"/>
    <w:uiPriority w:val="99"/>
    <w:semiHidden/>
    <w:unhideWhenUsed/>
    <w:rsid w:val="00EE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59934">
      <w:bodyDiv w:val="1"/>
      <w:marLeft w:val="0"/>
      <w:marRight w:val="0"/>
      <w:marTop w:val="0"/>
      <w:marBottom w:val="0"/>
      <w:divBdr>
        <w:top w:val="none" w:sz="0" w:space="0" w:color="auto"/>
        <w:left w:val="none" w:sz="0" w:space="0" w:color="auto"/>
        <w:bottom w:val="none" w:sz="0" w:space="0" w:color="auto"/>
        <w:right w:val="none" w:sz="0" w:space="0" w:color="auto"/>
      </w:divBdr>
    </w:div>
    <w:div w:id="195186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228F-D7B3-4DB4-85AD-413C26BB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2D855BC1.dotm</Template>
  <TotalTime>1</TotalTime>
  <Pages>3</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Making a Service Agreement with your Provider</vt:lpstr>
    </vt:vector>
  </TitlesOfParts>
  <Company>Microsoft</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Service Agreement with your Provider</dc:title>
  <dc:subject>NDIS</dc:subject>
  <dc:creator>NDIA</dc:creator>
  <cp:lastModifiedBy>Megan Murphy</cp:lastModifiedBy>
  <cp:revision>2</cp:revision>
  <cp:lastPrinted>2017-04-27T05:25:00Z</cp:lastPrinted>
  <dcterms:created xsi:type="dcterms:W3CDTF">2017-05-08T23:56:00Z</dcterms:created>
  <dcterms:modified xsi:type="dcterms:W3CDTF">2017-05-08T23:56:00Z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2017-01-18T00:00:00Z</vt:filetime>
  </property>
</Properties>
</file>