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42" w:rsidRDefault="00D14342" w:rsidP="00D14342">
      <w:pPr>
        <w:jc w:val="center"/>
        <w:rPr>
          <w:b/>
        </w:rPr>
      </w:pPr>
      <w:r w:rsidRPr="00520DA3">
        <w:rPr>
          <w:b/>
        </w:rPr>
        <w:t>Safer Services Toolkit</w:t>
      </w:r>
      <w:r w:rsidR="00B5027B">
        <w:rPr>
          <w:b/>
        </w:rPr>
        <w:t xml:space="preserve"> Overview</w:t>
      </w:r>
      <w:r w:rsidRPr="00520DA3">
        <w:rPr>
          <w:b/>
        </w:rPr>
        <w:t>:</w:t>
      </w:r>
      <w:r>
        <w:rPr>
          <w:b/>
        </w:rPr>
        <w:t xml:space="preserve"> </w:t>
      </w:r>
      <w:r w:rsidRPr="00520DA3">
        <w:rPr>
          <w:b/>
        </w:rPr>
        <w:t>List of tools and resources</w:t>
      </w:r>
    </w:p>
    <w:p w:rsidR="00D14342" w:rsidRDefault="00D14342" w:rsidP="00D14342">
      <w:pPr>
        <w:rPr>
          <w:b/>
        </w:rPr>
      </w:pPr>
      <w:r>
        <w:rPr>
          <w:b/>
        </w:rPr>
        <w:t>You can find the Toolkit on:</w:t>
      </w:r>
    </w:p>
    <w:p w:rsidR="004D05FC" w:rsidRDefault="009B2314">
      <w:r w:rsidRPr="009B2314">
        <w:rPr>
          <w:rStyle w:val="Hyperlink"/>
          <w:rFonts w:cs="Arial"/>
          <w:szCs w:val="24"/>
        </w:rPr>
        <w:t>https://www.nds.org.au/zero-tolerance-framework/preventing-abuse</w:t>
      </w:r>
    </w:p>
    <w:tbl>
      <w:tblPr>
        <w:tblStyle w:val="TableGrid"/>
        <w:tblW w:w="14170" w:type="dxa"/>
        <w:tblLook w:val="04A0" w:firstRow="1" w:lastRow="0" w:firstColumn="1" w:lastColumn="0" w:noHBand="0" w:noVBand="1"/>
        <w:tblCaption w:val="Area, tool and description"/>
        <w:tblDescription w:val="Area: Where to start, Tool: Safer services plan includes: plan template and Facilitators guide. Description: The plan is aimed at assisting organisations to identify their vision for best practice in safeguarding, explore current practices, strengths, gaps, areas for improvement, and actions to follow. The plan may form part of your organisation's overaching Quality and Safeguarding Framework. Another Tool: Quality and Safeguarding Champions. Description: This document provides a description of who are the Quality and Safeguarding Chanpions and how organisations can support their development."/>
      </w:tblPr>
      <w:tblGrid>
        <w:gridCol w:w="3487"/>
        <w:gridCol w:w="4588"/>
        <w:gridCol w:w="6095"/>
      </w:tblGrid>
      <w:tr w:rsidR="00D14342" w:rsidTr="004F539B">
        <w:trPr>
          <w:tblHeader/>
        </w:trPr>
        <w:tc>
          <w:tcPr>
            <w:tcW w:w="3487" w:type="dxa"/>
            <w:shd w:val="clear" w:color="auto" w:fill="E2EFD9" w:themeFill="accent6" w:themeFillTint="33"/>
          </w:tcPr>
          <w:p w:rsidR="00D14342" w:rsidRPr="00D14342" w:rsidRDefault="00D14342">
            <w:pPr>
              <w:rPr>
                <w:b/>
              </w:rPr>
            </w:pPr>
            <w:r w:rsidRPr="00D14342">
              <w:rPr>
                <w:b/>
              </w:rPr>
              <w:t xml:space="preserve">Area </w:t>
            </w:r>
          </w:p>
        </w:tc>
        <w:tc>
          <w:tcPr>
            <w:tcW w:w="4588" w:type="dxa"/>
            <w:shd w:val="clear" w:color="auto" w:fill="E2EFD9" w:themeFill="accent6" w:themeFillTint="33"/>
          </w:tcPr>
          <w:p w:rsidR="00D14342" w:rsidRPr="00D14342" w:rsidRDefault="00D14342">
            <w:pPr>
              <w:rPr>
                <w:b/>
              </w:rPr>
            </w:pPr>
            <w:r w:rsidRPr="00D14342">
              <w:rPr>
                <w:b/>
              </w:rPr>
              <w:t>Tool</w:t>
            </w:r>
          </w:p>
        </w:tc>
        <w:tc>
          <w:tcPr>
            <w:tcW w:w="6095" w:type="dxa"/>
            <w:shd w:val="clear" w:color="auto" w:fill="E2EFD9" w:themeFill="accent6" w:themeFillTint="33"/>
          </w:tcPr>
          <w:p w:rsidR="00D14342" w:rsidRPr="00D14342" w:rsidRDefault="00D14342">
            <w:pPr>
              <w:rPr>
                <w:b/>
              </w:rPr>
            </w:pPr>
            <w:r w:rsidRPr="00D14342">
              <w:rPr>
                <w:b/>
              </w:rPr>
              <w:t>Description</w:t>
            </w:r>
          </w:p>
        </w:tc>
      </w:tr>
      <w:tr w:rsidR="00D14342" w:rsidTr="00D14342">
        <w:tc>
          <w:tcPr>
            <w:tcW w:w="3487" w:type="dxa"/>
          </w:tcPr>
          <w:p w:rsidR="00D14342" w:rsidRPr="00D14342" w:rsidRDefault="00D14342">
            <w:pPr>
              <w:rPr>
                <w:b/>
              </w:rPr>
            </w:pPr>
            <w:r w:rsidRPr="00D14342">
              <w:rPr>
                <w:b/>
              </w:rPr>
              <w:t>Where to start?</w:t>
            </w:r>
          </w:p>
        </w:tc>
        <w:tc>
          <w:tcPr>
            <w:tcW w:w="4588" w:type="dxa"/>
          </w:tcPr>
          <w:p w:rsidR="00D14342" w:rsidRPr="00781074" w:rsidRDefault="00D14342">
            <w:pPr>
              <w:rPr>
                <w:b/>
              </w:rPr>
            </w:pPr>
            <w:r w:rsidRPr="00781074">
              <w:rPr>
                <w:b/>
              </w:rPr>
              <w:t>Safer Services Plan</w:t>
            </w:r>
          </w:p>
          <w:p w:rsidR="0049757C" w:rsidRDefault="0049757C">
            <w:r>
              <w:t>Includes:</w:t>
            </w:r>
          </w:p>
          <w:p w:rsidR="0049757C" w:rsidRPr="0049757C" w:rsidRDefault="0049757C" w:rsidP="0049757C">
            <w:pPr>
              <w:pStyle w:val="ListParagraph"/>
              <w:numPr>
                <w:ilvl w:val="0"/>
                <w:numId w:val="4"/>
              </w:numPr>
            </w:pPr>
            <w:r>
              <w:rPr>
                <w:rFonts w:ascii="Arial" w:hAnsi="Arial" w:cs="Arial"/>
              </w:rPr>
              <w:t xml:space="preserve">Plan template </w:t>
            </w:r>
          </w:p>
          <w:p w:rsidR="0049757C" w:rsidRDefault="0049757C" w:rsidP="0049757C">
            <w:pPr>
              <w:pStyle w:val="ListParagraph"/>
              <w:numPr>
                <w:ilvl w:val="0"/>
                <w:numId w:val="4"/>
              </w:numPr>
            </w:pPr>
            <w:r>
              <w:rPr>
                <w:rFonts w:ascii="Arial" w:hAnsi="Arial" w:cs="Arial"/>
              </w:rPr>
              <w:t>Facilitator</w:t>
            </w:r>
            <w:r w:rsidR="00641340">
              <w:rPr>
                <w:rFonts w:ascii="Arial" w:hAnsi="Arial" w:cs="Arial"/>
              </w:rPr>
              <w:t>'</w:t>
            </w:r>
            <w:r>
              <w:rPr>
                <w:rFonts w:ascii="Arial" w:hAnsi="Arial" w:cs="Arial"/>
              </w:rPr>
              <w:t>s guide</w:t>
            </w:r>
          </w:p>
        </w:tc>
        <w:tc>
          <w:tcPr>
            <w:tcW w:w="6095" w:type="dxa"/>
          </w:tcPr>
          <w:p w:rsidR="00B5027B" w:rsidRDefault="00B5027B" w:rsidP="00B5027B">
            <w:r>
              <w:t xml:space="preserve">This plan is aimed at assisting organisations to identify their vision for best practice in safeguarding, explore current practices, strengths, gaps, areas for improvement, and actions to follow. The plan may form part of your organisation’s overarching Quality and Safeguarding Framework. </w:t>
            </w:r>
          </w:p>
          <w:p w:rsidR="00D14342" w:rsidRDefault="00D14342"/>
        </w:tc>
      </w:tr>
      <w:tr w:rsidR="006806FE" w:rsidTr="00D14342">
        <w:tc>
          <w:tcPr>
            <w:tcW w:w="3487" w:type="dxa"/>
          </w:tcPr>
          <w:p w:rsidR="006806FE" w:rsidRPr="00D14342" w:rsidRDefault="006806FE">
            <w:pPr>
              <w:rPr>
                <w:b/>
              </w:rPr>
            </w:pPr>
          </w:p>
        </w:tc>
        <w:tc>
          <w:tcPr>
            <w:tcW w:w="4588" w:type="dxa"/>
          </w:tcPr>
          <w:p w:rsidR="006806FE" w:rsidRPr="00781074" w:rsidRDefault="006806FE">
            <w:pPr>
              <w:rPr>
                <w:b/>
              </w:rPr>
            </w:pPr>
            <w:r>
              <w:rPr>
                <w:b/>
              </w:rPr>
              <w:t>Quality and Safeguarding Champions</w:t>
            </w:r>
          </w:p>
        </w:tc>
        <w:tc>
          <w:tcPr>
            <w:tcW w:w="6095" w:type="dxa"/>
          </w:tcPr>
          <w:p w:rsidR="006806FE" w:rsidRDefault="006806FE" w:rsidP="00B5027B">
            <w:r>
              <w:t>This document provide</w:t>
            </w:r>
            <w:r w:rsidR="00F1494F">
              <w:t>s a description</w:t>
            </w:r>
            <w:r>
              <w:t xml:space="preserve"> of who are the Quality and Safeguarding Champions and how organisations can support their development.</w:t>
            </w:r>
          </w:p>
          <w:p w:rsidR="00F1494F" w:rsidRDefault="00F1494F" w:rsidP="00B5027B"/>
        </w:tc>
      </w:tr>
    </w:tbl>
    <w:p w:rsidR="0014385B" w:rsidRDefault="0014385B"/>
    <w:tbl>
      <w:tblPr>
        <w:tblStyle w:val="TableGrid"/>
        <w:tblW w:w="14170" w:type="dxa"/>
        <w:tblLook w:val="04A0" w:firstRow="1" w:lastRow="0" w:firstColumn="1" w:lastColumn="0" w:noHBand="0" w:noVBand="1"/>
        <w:tblCaption w:val="Safeguarding in Practice Tools and Resources "/>
        <w:tblDescription w:val="Area, Tool and Desciption. Area: Developmental. Tool: Talkig about Safer Services includes: Power Point presentation with notes, Facilitator’s guide , A worksheet. Description: This is a train the trainer workshop designed to explore reasons why abuse and neglect occur, the concepts of dignity of risk, duty of care and Supported Decision Making while reflecting on our practices and areas for improvement. Tool: Key Convrsations includes:Key Conversations Cards and Facilitator’s guide. Description: This is a tool with some key safeguarding conversation starters to deepen team understanding around abuse, neglect, safeguards and restrictive practices. Exploring the Key Conversations may also help your team identify some current concerns about individuals or practice and raise them to your attention. Tool: Values Based-Practices. Description: This tool is designed to reflect on key values-based practices, how they are implemented within your organisation, identify areas for continuous improvement and develop actions to follow. Area: Preventitive. Tool: Policy Development Checklist. Description: This checklist outlines the process that can be used to develop or review the content of any organisational policy. It includes information about why a policy is needed, research requirements and contents as well as practical considerations to support implementation. Tool: Organisational Health Check. Description: This tool aims to reflect on the maturity of an organisation’s commitment to safeguarding, the governance and accountability measures that are in place, including systems and practices used by the organisation in ensuring high quality and safe services. It also identifies areas for continuous improvement and develop actions to follow. Tool: Safeguarding Meeting Kit includes: Process Flow Chart, Guidelines, Templates, Register. Description: This is a suite of tools that can be used by organisations to develop a structure and process around Safeguarding people they support. It is aimed to assist teams to have conversations with relevant stakeholders about safeguarding, explore possible risk and support and strategies that we can put in place. Tool: Responding to Concerns. Description: This tool is designed to support staff to raise concerns.&#10;&#10;"/>
      </w:tblPr>
      <w:tblGrid>
        <w:gridCol w:w="3487"/>
        <w:gridCol w:w="4588"/>
        <w:gridCol w:w="6095"/>
      </w:tblGrid>
      <w:tr w:rsidR="00D14342" w:rsidTr="00640E4B">
        <w:trPr>
          <w:tblHeader/>
        </w:trPr>
        <w:tc>
          <w:tcPr>
            <w:tcW w:w="14170" w:type="dxa"/>
            <w:gridSpan w:val="3"/>
            <w:shd w:val="clear" w:color="auto" w:fill="DEEAF6" w:themeFill="accent1" w:themeFillTint="33"/>
          </w:tcPr>
          <w:p w:rsidR="00D14342" w:rsidRPr="00D14342" w:rsidRDefault="00D14342" w:rsidP="00D14342">
            <w:pPr>
              <w:jc w:val="center"/>
              <w:rPr>
                <w:b/>
              </w:rPr>
            </w:pPr>
            <w:r w:rsidRPr="00D14342">
              <w:rPr>
                <w:b/>
              </w:rPr>
              <w:t>Safeguarding in Practice Tools and Resources</w:t>
            </w:r>
          </w:p>
        </w:tc>
      </w:tr>
      <w:tr w:rsidR="00D14342" w:rsidTr="00640E4B">
        <w:trPr>
          <w:tblHeader/>
        </w:trPr>
        <w:tc>
          <w:tcPr>
            <w:tcW w:w="3487" w:type="dxa"/>
            <w:shd w:val="clear" w:color="auto" w:fill="E2EFD9" w:themeFill="accent6" w:themeFillTint="33"/>
          </w:tcPr>
          <w:p w:rsidR="00D14342" w:rsidRPr="00D14342" w:rsidRDefault="00D14342">
            <w:pPr>
              <w:rPr>
                <w:b/>
              </w:rPr>
            </w:pPr>
            <w:r w:rsidRPr="00D14342">
              <w:rPr>
                <w:b/>
              </w:rPr>
              <w:t xml:space="preserve">Area </w:t>
            </w:r>
          </w:p>
        </w:tc>
        <w:tc>
          <w:tcPr>
            <w:tcW w:w="4588" w:type="dxa"/>
            <w:shd w:val="clear" w:color="auto" w:fill="E2EFD9" w:themeFill="accent6" w:themeFillTint="33"/>
          </w:tcPr>
          <w:p w:rsidR="00D14342" w:rsidRPr="00D14342" w:rsidRDefault="00D14342">
            <w:pPr>
              <w:rPr>
                <w:b/>
              </w:rPr>
            </w:pPr>
            <w:r w:rsidRPr="00D14342">
              <w:rPr>
                <w:b/>
              </w:rPr>
              <w:t>Tool</w:t>
            </w:r>
          </w:p>
        </w:tc>
        <w:tc>
          <w:tcPr>
            <w:tcW w:w="6095" w:type="dxa"/>
            <w:shd w:val="clear" w:color="auto" w:fill="E2EFD9" w:themeFill="accent6" w:themeFillTint="33"/>
          </w:tcPr>
          <w:p w:rsidR="00D14342" w:rsidRPr="00D14342" w:rsidRDefault="00D14342">
            <w:pPr>
              <w:rPr>
                <w:b/>
              </w:rPr>
            </w:pPr>
            <w:r w:rsidRPr="00D14342">
              <w:rPr>
                <w:b/>
              </w:rPr>
              <w:t>Description</w:t>
            </w:r>
          </w:p>
        </w:tc>
      </w:tr>
      <w:tr w:rsidR="00D14342" w:rsidTr="00D14342">
        <w:tc>
          <w:tcPr>
            <w:tcW w:w="3487" w:type="dxa"/>
            <w:vMerge w:val="restart"/>
          </w:tcPr>
          <w:p w:rsidR="00D14342" w:rsidRDefault="00D14342">
            <w:pPr>
              <w:rPr>
                <w:rFonts w:cs="Arial"/>
                <w:b/>
                <w:color w:val="000000"/>
                <w:szCs w:val="24"/>
              </w:rPr>
            </w:pPr>
          </w:p>
          <w:p w:rsidR="00D14342" w:rsidRDefault="00D14342">
            <w:r>
              <w:rPr>
                <w:rFonts w:cs="Arial"/>
                <w:b/>
                <w:color w:val="000000"/>
                <w:szCs w:val="24"/>
              </w:rPr>
              <w:t>Developmental</w:t>
            </w:r>
            <w:r w:rsidR="00CF2C24">
              <w:rPr>
                <w:rFonts w:cs="Arial"/>
                <w:b/>
                <w:color w:val="000000"/>
                <w:szCs w:val="24"/>
              </w:rPr>
              <w:t xml:space="preserve"> </w:t>
            </w:r>
          </w:p>
        </w:tc>
        <w:tc>
          <w:tcPr>
            <w:tcW w:w="4588" w:type="dxa"/>
          </w:tcPr>
          <w:p w:rsidR="00D14342" w:rsidRPr="00781074" w:rsidRDefault="00D14342">
            <w:pPr>
              <w:rPr>
                <w:b/>
              </w:rPr>
            </w:pPr>
            <w:r w:rsidRPr="00781074">
              <w:rPr>
                <w:b/>
              </w:rPr>
              <w:t>Talking about Safer Services</w:t>
            </w:r>
          </w:p>
          <w:p w:rsidR="0049757C" w:rsidRDefault="0049757C">
            <w:r>
              <w:t>Includes:</w:t>
            </w:r>
          </w:p>
          <w:p w:rsidR="0049757C" w:rsidRDefault="0049757C" w:rsidP="0049757C">
            <w:pPr>
              <w:pStyle w:val="ListParagraph"/>
              <w:numPr>
                <w:ilvl w:val="0"/>
                <w:numId w:val="3"/>
              </w:numPr>
              <w:rPr>
                <w:rFonts w:ascii="Arial" w:hAnsi="Arial" w:cs="Arial"/>
              </w:rPr>
            </w:pPr>
            <w:r w:rsidRPr="0049757C">
              <w:rPr>
                <w:rFonts w:ascii="Arial" w:hAnsi="Arial" w:cs="Arial"/>
              </w:rPr>
              <w:t>Power Point presentation with notes</w:t>
            </w:r>
          </w:p>
          <w:p w:rsidR="0049757C" w:rsidRDefault="0049757C" w:rsidP="0049757C">
            <w:pPr>
              <w:pStyle w:val="ListParagraph"/>
              <w:numPr>
                <w:ilvl w:val="0"/>
                <w:numId w:val="3"/>
              </w:numPr>
              <w:rPr>
                <w:rFonts w:ascii="Arial" w:hAnsi="Arial" w:cs="Arial"/>
              </w:rPr>
            </w:pPr>
            <w:r>
              <w:rPr>
                <w:rFonts w:ascii="Arial" w:hAnsi="Arial" w:cs="Arial"/>
              </w:rPr>
              <w:t>Facilitator</w:t>
            </w:r>
            <w:r w:rsidR="00641340">
              <w:rPr>
                <w:rFonts w:ascii="Arial" w:hAnsi="Arial" w:cs="Arial"/>
              </w:rPr>
              <w:t>’</w:t>
            </w:r>
            <w:r>
              <w:rPr>
                <w:rFonts w:ascii="Arial" w:hAnsi="Arial" w:cs="Arial"/>
              </w:rPr>
              <w:t xml:space="preserve">s guide </w:t>
            </w:r>
          </w:p>
          <w:p w:rsidR="0049757C" w:rsidRDefault="0049757C" w:rsidP="0049757C">
            <w:pPr>
              <w:pStyle w:val="ListParagraph"/>
              <w:numPr>
                <w:ilvl w:val="0"/>
                <w:numId w:val="3"/>
              </w:numPr>
              <w:rPr>
                <w:rFonts w:ascii="Arial" w:hAnsi="Arial" w:cs="Arial"/>
              </w:rPr>
            </w:pPr>
            <w:r>
              <w:rPr>
                <w:rFonts w:ascii="Arial" w:hAnsi="Arial" w:cs="Arial"/>
              </w:rPr>
              <w:t>A worksheet</w:t>
            </w:r>
          </w:p>
          <w:p w:rsidR="0049757C" w:rsidRPr="0049757C" w:rsidRDefault="0049757C" w:rsidP="0049757C">
            <w:pPr>
              <w:rPr>
                <w:rFonts w:cs="Arial"/>
              </w:rPr>
            </w:pPr>
          </w:p>
        </w:tc>
        <w:tc>
          <w:tcPr>
            <w:tcW w:w="6095" w:type="dxa"/>
          </w:tcPr>
          <w:p w:rsidR="00D14342" w:rsidRDefault="0049757C" w:rsidP="0049757C">
            <w:r>
              <w:rPr>
                <w:rFonts w:cs="Arial"/>
                <w:color w:val="000000"/>
                <w:szCs w:val="24"/>
              </w:rPr>
              <w:t>This is a t</w:t>
            </w:r>
            <w:r w:rsidR="00D14342">
              <w:rPr>
                <w:rFonts w:cs="Arial"/>
                <w:color w:val="000000"/>
                <w:szCs w:val="24"/>
              </w:rPr>
              <w:t>rain the trainer workshop</w:t>
            </w:r>
            <w:r>
              <w:rPr>
                <w:rFonts w:cs="Arial"/>
                <w:color w:val="000000"/>
                <w:szCs w:val="24"/>
              </w:rPr>
              <w:t xml:space="preserve"> designed to </w:t>
            </w:r>
            <w:r>
              <w:rPr>
                <w:rFonts w:cs="Arial"/>
                <w:color w:val="000000"/>
                <w:lang w:val="en-US"/>
              </w:rPr>
              <w:t>e</w:t>
            </w:r>
            <w:r w:rsidRPr="0049757C">
              <w:rPr>
                <w:rFonts w:cs="Arial"/>
                <w:color w:val="000000"/>
                <w:lang w:val="en-US"/>
              </w:rPr>
              <w:t>xplore reasons why abuse and neglect occur</w:t>
            </w:r>
            <w:r>
              <w:rPr>
                <w:rFonts w:cs="Arial"/>
                <w:color w:val="000000"/>
                <w:lang w:val="en-US"/>
              </w:rPr>
              <w:t xml:space="preserve">, the concepts </w:t>
            </w:r>
            <w:r w:rsidRPr="0049757C">
              <w:rPr>
                <w:rFonts w:cs="Arial"/>
                <w:color w:val="000000"/>
              </w:rPr>
              <w:t xml:space="preserve">of dignity of risk, duty of care and </w:t>
            </w:r>
            <w:r w:rsidRPr="0049757C">
              <w:rPr>
                <w:rFonts w:cs="Arial"/>
                <w:color w:val="000000"/>
                <w:lang w:val="en-US"/>
              </w:rPr>
              <w:t>Supported Decision Making</w:t>
            </w:r>
            <w:r>
              <w:rPr>
                <w:rFonts w:cs="Arial"/>
                <w:color w:val="000000"/>
                <w:lang w:val="en-US"/>
              </w:rPr>
              <w:t xml:space="preserve"> while reflecting on our practices and areas for improvement. </w:t>
            </w:r>
          </w:p>
        </w:tc>
      </w:tr>
      <w:tr w:rsidR="00D14342" w:rsidTr="00D14342">
        <w:tc>
          <w:tcPr>
            <w:tcW w:w="3487" w:type="dxa"/>
            <w:vMerge/>
          </w:tcPr>
          <w:p w:rsidR="00D14342" w:rsidRDefault="00D14342">
            <w:pPr>
              <w:rPr>
                <w:rFonts w:cs="Arial"/>
                <w:b/>
                <w:color w:val="000000"/>
                <w:szCs w:val="24"/>
              </w:rPr>
            </w:pPr>
          </w:p>
        </w:tc>
        <w:tc>
          <w:tcPr>
            <w:tcW w:w="4588" w:type="dxa"/>
          </w:tcPr>
          <w:p w:rsidR="00D14342" w:rsidRPr="00781074" w:rsidRDefault="00D14342">
            <w:pPr>
              <w:rPr>
                <w:rFonts w:cs="Arial"/>
                <w:b/>
                <w:color w:val="000000"/>
                <w:szCs w:val="24"/>
              </w:rPr>
            </w:pPr>
            <w:r w:rsidRPr="00781074">
              <w:rPr>
                <w:rFonts w:cs="Arial"/>
                <w:b/>
                <w:color w:val="000000"/>
                <w:szCs w:val="24"/>
              </w:rPr>
              <w:t>Key Conversations</w:t>
            </w:r>
          </w:p>
          <w:p w:rsidR="00641340" w:rsidRDefault="00641340" w:rsidP="00641340">
            <w:r>
              <w:t>Includes:</w:t>
            </w:r>
          </w:p>
          <w:p w:rsidR="00641340" w:rsidRPr="00641340" w:rsidRDefault="00641340" w:rsidP="00641340">
            <w:pPr>
              <w:pStyle w:val="ListParagraph"/>
              <w:numPr>
                <w:ilvl w:val="0"/>
                <w:numId w:val="5"/>
              </w:numPr>
            </w:pPr>
            <w:r>
              <w:rPr>
                <w:rFonts w:ascii="Arial" w:hAnsi="Arial" w:cs="Arial"/>
              </w:rPr>
              <w:t>Key Conversations Cards</w:t>
            </w:r>
          </w:p>
          <w:p w:rsidR="00641340" w:rsidRPr="00D14342" w:rsidRDefault="00641340" w:rsidP="00641340">
            <w:pPr>
              <w:pStyle w:val="ListParagraph"/>
              <w:numPr>
                <w:ilvl w:val="0"/>
                <w:numId w:val="5"/>
              </w:numPr>
            </w:pPr>
            <w:r>
              <w:rPr>
                <w:rFonts w:ascii="Arial" w:hAnsi="Arial" w:cs="Arial"/>
              </w:rPr>
              <w:t>Facilitator’s guide</w:t>
            </w:r>
          </w:p>
        </w:tc>
        <w:tc>
          <w:tcPr>
            <w:tcW w:w="6095" w:type="dxa"/>
          </w:tcPr>
          <w:p w:rsidR="00641340" w:rsidRPr="00B44F0F" w:rsidRDefault="00641340" w:rsidP="00641340">
            <w:pPr>
              <w:rPr>
                <w:rFonts w:cs="Arial"/>
                <w:szCs w:val="24"/>
              </w:rPr>
            </w:pPr>
            <w:r>
              <w:rPr>
                <w:rFonts w:cs="Arial"/>
                <w:color w:val="000000"/>
                <w:szCs w:val="24"/>
              </w:rPr>
              <w:t xml:space="preserve">This is a tool with some key safeguarding conversation starters to deepen team understanding around abuse, neglect, safeguards and restrictive practices. </w:t>
            </w:r>
            <w:r w:rsidRPr="00B44F0F">
              <w:rPr>
                <w:rFonts w:cs="Arial"/>
                <w:szCs w:val="24"/>
              </w:rPr>
              <w:t xml:space="preserve">Exploring the Key Conversations may also help your team </w:t>
            </w:r>
            <w:r w:rsidRPr="00B44F0F">
              <w:rPr>
                <w:rFonts w:cs="Arial"/>
                <w:szCs w:val="24"/>
              </w:rPr>
              <w:lastRenderedPageBreak/>
              <w:t>identify some current concerns about individuals or practice and raise them to your attention.</w:t>
            </w:r>
          </w:p>
          <w:p w:rsidR="00D14342" w:rsidRDefault="00D14342" w:rsidP="00641340">
            <w:pPr>
              <w:rPr>
                <w:rFonts w:cs="Arial"/>
                <w:color w:val="000000"/>
                <w:szCs w:val="24"/>
              </w:rPr>
            </w:pPr>
          </w:p>
        </w:tc>
      </w:tr>
      <w:tr w:rsidR="00D14342" w:rsidTr="00D14342">
        <w:tc>
          <w:tcPr>
            <w:tcW w:w="3487" w:type="dxa"/>
            <w:vMerge/>
          </w:tcPr>
          <w:p w:rsidR="00D14342" w:rsidRDefault="00D14342">
            <w:pPr>
              <w:rPr>
                <w:rFonts w:cs="Arial"/>
                <w:b/>
                <w:color w:val="000000"/>
                <w:szCs w:val="24"/>
              </w:rPr>
            </w:pPr>
          </w:p>
        </w:tc>
        <w:tc>
          <w:tcPr>
            <w:tcW w:w="4588" w:type="dxa"/>
          </w:tcPr>
          <w:p w:rsidR="00D14342" w:rsidRPr="00781074" w:rsidRDefault="00781074" w:rsidP="00D14342">
            <w:pPr>
              <w:rPr>
                <w:rFonts w:cs="Arial"/>
                <w:b/>
                <w:color w:val="000000"/>
                <w:szCs w:val="24"/>
              </w:rPr>
            </w:pPr>
            <w:r>
              <w:rPr>
                <w:rFonts w:cs="Arial"/>
                <w:b/>
                <w:color w:val="000000"/>
                <w:szCs w:val="24"/>
              </w:rPr>
              <w:t>Values Based-Practices</w:t>
            </w:r>
          </w:p>
          <w:p w:rsidR="00640E4B" w:rsidRDefault="00640E4B" w:rsidP="00D14342">
            <w:pPr>
              <w:rPr>
                <w:rFonts w:cs="Arial"/>
                <w:color w:val="000000"/>
                <w:szCs w:val="24"/>
              </w:rPr>
            </w:pPr>
          </w:p>
          <w:p w:rsidR="00640E4B" w:rsidRDefault="00640E4B" w:rsidP="00D14342">
            <w:pPr>
              <w:rPr>
                <w:rFonts w:cs="Arial"/>
                <w:color w:val="000000"/>
                <w:szCs w:val="24"/>
              </w:rPr>
            </w:pPr>
          </w:p>
          <w:p w:rsidR="00D14342" w:rsidRPr="00D14342" w:rsidRDefault="00D14342"/>
        </w:tc>
        <w:tc>
          <w:tcPr>
            <w:tcW w:w="6095" w:type="dxa"/>
          </w:tcPr>
          <w:p w:rsidR="00640E4B" w:rsidRPr="00640E4B" w:rsidRDefault="00640E4B" w:rsidP="00640E4B">
            <w:pPr>
              <w:rPr>
                <w:rFonts w:cs="Arial"/>
                <w:szCs w:val="24"/>
                <w:lang w:val="en-GB"/>
              </w:rPr>
            </w:pPr>
            <w:r w:rsidRPr="00640E4B">
              <w:rPr>
                <w:rFonts w:cs="Arial"/>
                <w:szCs w:val="24"/>
                <w:lang w:val="en-GB"/>
              </w:rPr>
              <w:t xml:space="preserve">This tool is designed to reflect on key values-based practices, how they are implemented within your organisation, identify areas for continuous improvement and develop actions to follow. </w:t>
            </w:r>
          </w:p>
          <w:p w:rsidR="00D14342" w:rsidRDefault="00D14342">
            <w:pPr>
              <w:rPr>
                <w:rFonts w:cs="Arial"/>
                <w:color w:val="000000"/>
                <w:szCs w:val="24"/>
              </w:rPr>
            </w:pPr>
          </w:p>
        </w:tc>
      </w:tr>
      <w:tr w:rsidR="00354DD8" w:rsidTr="00D14342">
        <w:tc>
          <w:tcPr>
            <w:tcW w:w="3487" w:type="dxa"/>
            <w:vMerge w:val="restart"/>
          </w:tcPr>
          <w:p w:rsidR="00354DD8" w:rsidRDefault="00354DD8" w:rsidP="00354DD8">
            <w:pPr>
              <w:rPr>
                <w:rFonts w:cs="Arial"/>
                <w:b/>
                <w:color w:val="000000"/>
                <w:szCs w:val="24"/>
              </w:rPr>
            </w:pPr>
            <w:bookmarkStart w:id="0" w:name="_GoBack" w:colFirst="0" w:colLast="0"/>
          </w:p>
          <w:p w:rsidR="00354DD8" w:rsidRDefault="00CF2C24" w:rsidP="00354DD8">
            <w:pPr>
              <w:rPr>
                <w:rFonts w:cs="Arial"/>
                <w:b/>
                <w:color w:val="000000"/>
                <w:szCs w:val="24"/>
              </w:rPr>
            </w:pPr>
            <w:r>
              <w:rPr>
                <w:rFonts w:cs="Arial"/>
                <w:b/>
                <w:color w:val="000000"/>
                <w:szCs w:val="24"/>
              </w:rPr>
              <w:t xml:space="preserve">Preventative </w:t>
            </w:r>
          </w:p>
          <w:p w:rsidR="00354DD8" w:rsidRDefault="00354DD8">
            <w:pPr>
              <w:rPr>
                <w:rFonts w:cs="Arial"/>
                <w:b/>
                <w:color w:val="000000"/>
                <w:szCs w:val="24"/>
              </w:rPr>
            </w:pPr>
          </w:p>
        </w:tc>
        <w:tc>
          <w:tcPr>
            <w:tcW w:w="4588" w:type="dxa"/>
          </w:tcPr>
          <w:p w:rsidR="00354DD8" w:rsidRPr="00781074" w:rsidRDefault="00354DD8" w:rsidP="00354DD8">
            <w:pPr>
              <w:rPr>
                <w:b/>
              </w:rPr>
            </w:pPr>
            <w:r w:rsidRPr="00781074">
              <w:rPr>
                <w:rFonts w:cs="Arial"/>
                <w:b/>
                <w:color w:val="000000"/>
                <w:szCs w:val="24"/>
              </w:rPr>
              <w:t>Policy Development Checklist</w:t>
            </w:r>
          </w:p>
        </w:tc>
        <w:tc>
          <w:tcPr>
            <w:tcW w:w="6095" w:type="dxa"/>
          </w:tcPr>
          <w:p w:rsidR="00354DD8" w:rsidRDefault="00640E4B">
            <w:r>
              <w:t>This checklist outlines the process that can be used to</w:t>
            </w:r>
            <w:r w:rsidRPr="001A68FA">
              <w:t xml:space="preserve"> develop</w:t>
            </w:r>
            <w:r>
              <w:t xml:space="preserve"> or review</w:t>
            </w:r>
            <w:r w:rsidRPr="001A68FA">
              <w:t xml:space="preserve"> </w:t>
            </w:r>
            <w:r>
              <w:t xml:space="preserve">the content of </w:t>
            </w:r>
            <w:r w:rsidRPr="001A68FA">
              <w:t>any organisational policy</w:t>
            </w:r>
            <w:r>
              <w:t>. It includes information about why a policy is needed, research requirements and contents as well as practical considerations to support implementation.</w:t>
            </w:r>
          </w:p>
          <w:p w:rsidR="00640E4B" w:rsidRDefault="00640E4B">
            <w:pPr>
              <w:rPr>
                <w:rFonts w:cs="Arial"/>
                <w:color w:val="000000"/>
                <w:szCs w:val="24"/>
              </w:rPr>
            </w:pPr>
          </w:p>
        </w:tc>
      </w:tr>
      <w:bookmarkEnd w:id="0"/>
      <w:tr w:rsidR="00354DD8" w:rsidTr="00D14342">
        <w:tc>
          <w:tcPr>
            <w:tcW w:w="3487" w:type="dxa"/>
            <w:vMerge/>
          </w:tcPr>
          <w:p w:rsidR="00354DD8" w:rsidRDefault="00354DD8">
            <w:pPr>
              <w:rPr>
                <w:rFonts w:cs="Arial"/>
                <w:b/>
                <w:color w:val="000000"/>
                <w:szCs w:val="24"/>
              </w:rPr>
            </w:pPr>
          </w:p>
        </w:tc>
        <w:tc>
          <w:tcPr>
            <w:tcW w:w="4588" w:type="dxa"/>
          </w:tcPr>
          <w:p w:rsidR="00354DD8" w:rsidRPr="00781074" w:rsidRDefault="00354DD8" w:rsidP="00354DD8">
            <w:pPr>
              <w:rPr>
                <w:b/>
              </w:rPr>
            </w:pPr>
            <w:r w:rsidRPr="00781074">
              <w:rPr>
                <w:rFonts w:cs="Arial"/>
                <w:b/>
                <w:color w:val="000000"/>
                <w:szCs w:val="24"/>
              </w:rPr>
              <w:t>Organisational Health Check</w:t>
            </w:r>
          </w:p>
        </w:tc>
        <w:tc>
          <w:tcPr>
            <w:tcW w:w="6095" w:type="dxa"/>
          </w:tcPr>
          <w:p w:rsidR="00640E4B" w:rsidRPr="001D1901" w:rsidRDefault="00640E4B" w:rsidP="00640E4B">
            <w:pPr>
              <w:rPr>
                <w:rFonts w:cs="Arial"/>
                <w:szCs w:val="24"/>
              </w:rPr>
            </w:pPr>
            <w:r>
              <w:rPr>
                <w:rFonts w:cs="Arial"/>
                <w:szCs w:val="24"/>
              </w:rPr>
              <w:t>This tool aims</w:t>
            </w:r>
            <w:r w:rsidRPr="001B5487">
              <w:rPr>
                <w:rFonts w:cs="Arial"/>
                <w:szCs w:val="24"/>
              </w:rPr>
              <w:t xml:space="preserve"> to reflect on</w:t>
            </w:r>
            <w:r w:rsidRPr="00BF265C">
              <w:rPr>
                <w:rFonts w:cs="Arial"/>
                <w:szCs w:val="24"/>
              </w:rPr>
              <w:t xml:space="preserve"> the maturity of an organisation’s commitment to safeguarding, the governance and accountability </w:t>
            </w:r>
            <w:r>
              <w:rPr>
                <w:rFonts w:cs="Arial"/>
                <w:szCs w:val="24"/>
              </w:rPr>
              <w:t xml:space="preserve">measures that are in place, including </w:t>
            </w:r>
            <w:r w:rsidRPr="00BF265C">
              <w:rPr>
                <w:rFonts w:cs="Arial"/>
                <w:szCs w:val="24"/>
              </w:rPr>
              <w:t xml:space="preserve">systems and practices used by the organisation in ensuring high quality and safe services. </w:t>
            </w:r>
            <w:r>
              <w:rPr>
                <w:rFonts w:cs="Arial"/>
                <w:szCs w:val="24"/>
              </w:rPr>
              <w:t>It also identifies</w:t>
            </w:r>
            <w:r w:rsidRPr="001B5487">
              <w:rPr>
                <w:rFonts w:cs="Arial"/>
                <w:szCs w:val="24"/>
              </w:rPr>
              <w:t xml:space="preserve"> areas for continuous improvement and develop actions to follow.</w:t>
            </w:r>
            <w:r>
              <w:rPr>
                <w:rFonts w:cs="Arial"/>
                <w:szCs w:val="24"/>
              </w:rPr>
              <w:t xml:space="preserve"> </w:t>
            </w:r>
          </w:p>
          <w:p w:rsidR="00354DD8" w:rsidRDefault="00354DD8">
            <w:pPr>
              <w:rPr>
                <w:rFonts w:cs="Arial"/>
                <w:color w:val="000000"/>
                <w:szCs w:val="24"/>
              </w:rPr>
            </w:pPr>
          </w:p>
        </w:tc>
      </w:tr>
      <w:tr w:rsidR="00354DD8" w:rsidTr="00D14342">
        <w:tc>
          <w:tcPr>
            <w:tcW w:w="3487" w:type="dxa"/>
            <w:vMerge/>
          </w:tcPr>
          <w:p w:rsidR="00354DD8" w:rsidRDefault="00354DD8">
            <w:pPr>
              <w:rPr>
                <w:rFonts w:cs="Arial"/>
                <w:b/>
                <w:color w:val="000000"/>
                <w:szCs w:val="24"/>
              </w:rPr>
            </w:pPr>
          </w:p>
        </w:tc>
        <w:tc>
          <w:tcPr>
            <w:tcW w:w="4588" w:type="dxa"/>
          </w:tcPr>
          <w:p w:rsidR="00354DD8" w:rsidRPr="00781074" w:rsidRDefault="00354DD8" w:rsidP="00354DD8">
            <w:pPr>
              <w:rPr>
                <w:rFonts w:cs="Arial"/>
                <w:b/>
                <w:color w:val="000000"/>
                <w:szCs w:val="24"/>
              </w:rPr>
            </w:pPr>
            <w:r w:rsidRPr="00781074">
              <w:rPr>
                <w:rFonts w:cs="Arial"/>
                <w:b/>
                <w:color w:val="000000"/>
                <w:szCs w:val="24"/>
              </w:rPr>
              <w:t>Safeguarding Meeting Kit</w:t>
            </w:r>
          </w:p>
          <w:p w:rsidR="00640E4B" w:rsidRDefault="00640E4B" w:rsidP="00354DD8">
            <w:pPr>
              <w:rPr>
                <w:rFonts w:cs="Arial"/>
                <w:color w:val="000000"/>
                <w:szCs w:val="24"/>
              </w:rPr>
            </w:pPr>
            <w:r>
              <w:rPr>
                <w:rFonts w:cs="Arial"/>
                <w:color w:val="000000"/>
                <w:szCs w:val="24"/>
              </w:rPr>
              <w:t>Includes:</w:t>
            </w:r>
          </w:p>
          <w:p w:rsidR="00640E4B" w:rsidRPr="00640E4B" w:rsidRDefault="00640E4B" w:rsidP="00640E4B">
            <w:pPr>
              <w:pStyle w:val="ListParagraph"/>
              <w:numPr>
                <w:ilvl w:val="0"/>
                <w:numId w:val="6"/>
              </w:numPr>
              <w:rPr>
                <w:rFonts w:ascii="Arial" w:hAnsi="Arial" w:cs="Arial"/>
              </w:rPr>
            </w:pPr>
            <w:r w:rsidRPr="00640E4B">
              <w:rPr>
                <w:rFonts w:ascii="Arial" w:hAnsi="Arial" w:cs="Arial"/>
              </w:rPr>
              <w:t>Process Flow Chart</w:t>
            </w:r>
          </w:p>
          <w:p w:rsidR="00640E4B" w:rsidRPr="00640E4B" w:rsidRDefault="00640E4B" w:rsidP="00640E4B">
            <w:pPr>
              <w:pStyle w:val="ListParagraph"/>
              <w:numPr>
                <w:ilvl w:val="0"/>
                <w:numId w:val="6"/>
              </w:numPr>
              <w:rPr>
                <w:rFonts w:ascii="Arial" w:hAnsi="Arial" w:cs="Arial"/>
              </w:rPr>
            </w:pPr>
            <w:r w:rsidRPr="00640E4B">
              <w:rPr>
                <w:rFonts w:ascii="Arial" w:hAnsi="Arial" w:cs="Arial"/>
              </w:rPr>
              <w:t xml:space="preserve">Guidelines </w:t>
            </w:r>
          </w:p>
          <w:p w:rsidR="00640E4B" w:rsidRPr="00640E4B" w:rsidRDefault="00640E4B" w:rsidP="00640E4B">
            <w:pPr>
              <w:pStyle w:val="ListParagraph"/>
              <w:numPr>
                <w:ilvl w:val="0"/>
                <w:numId w:val="6"/>
              </w:numPr>
              <w:rPr>
                <w:rFonts w:ascii="Arial" w:hAnsi="Arial" w:cs="Arial"/>
              </w:rPr>
            </w:pPr>
            <w:r w:rsidRPr="00640E4B">
              <w:rPr>
                <w:rFonts w:ascii="Arial" w:hAnsi="Arial" w:cs="Arial"/>
              </w:rPr>
              <w:t>Templates</w:t>
            </w:r>
          </w:p>
          <w:p w:rsidR="00640E4B" w:rsidRPr="00D14342" w:rsidRDefault="00640E4B" w:rsidP="00640E4B">
            <w:pPr>
              <w:pStyle w:val="ListParagraph"/>
              <w:numPr>
                <w:ilvl w:val="0"/>
                <w:numId w:val="6"/>
              </w:numPr>
            </w:pPr>
            <w:r w:rsidRPr="00640E4B">
              <w:rPr>
                <w:rFonts w:ascii="Arial" w:hAnsi="Arial" w:cs="Arial"/>
              </w:rPr>
              <w:t>Register</w:t>
            </w:r>
          </w:p>
        </w:tc>
        <w:tc>
          <w:tcPr>
            <w:tcW w:w="6095" w:type="dxa"/>
          </w:tcPr>
          <w:p w:rsidR="00354DD8" w:rsidRDefault="00640E4B">
            <w:r>
              <w:t>This is a suite of tools that can be used by organisations to develop a structure and process around Safeguarding people they support. It is aimed to assist teams to have conversations with relevant stakeholders about safeguarding, explore possible risk and support and strategies that we can put in place.</w:t>
            </w:r>
          </w:p>
          <w:p w:rsidR="00640E4B" w:rsidRDefault="00640E4B">
            <w:pPr>
              <w:rPr>
                <w:rFonts w:cs="Arial"/>
                <w:color w:val="000000"/>
                <w:szCs w:val="24"/>
              </w:rPr>
            </w:pPr>
          </w:p>
        </w:tc>
      </w:tr>
      <w:tr w:rsidR="00354DD8" w:rsidTr="00D14342">
        <w:tc>
          <w:tcPr>
            <w:tcW w:w="3487" w:type="dxa"/>
            <w:vMerge w:val="restart"/>
          </w:tcPr>
          <w:p w:rsidR="00354DD8" w:rsidRDefault="00354DD8" w:rsidP="00354DD8">
            <w:pPr>
              <w:rPr>
                <w:rFonts w:cs="Arial"/>
                <w:b/>
                <w:color w:val="000000"/>
                <w:szCs w:val="24"/>
              </w:rPr>
            </w:pPr>
          </w:p>
          <w:p w:rsidR="00354DD8" w:rsidRDefault="00354DD8" w:rsidP="00354DD8">
            <w:pPr>
              <w:rPr>
                <w:rFonts w:cs="Arial"/>
                <w:b/>
                <w:color w:val="000000"/>
                <w:szCs w:val="24"/>
              </w:rPr>
            </w:pPr>
            <w:r w:rsidRPr="00354DD8">
              <w:rPr>
                <w:rFonts w:cs="Arial"/>
                <w:b/>
                <w:color w:val="000000"/>
                <w:szCs w:val="24"/>
              </w:rPr>
              <w:lastRenderedPageBreak/>
              <w:t>Corr</w:t>
            </w:r>
            <w:r w:rsidR="00CF2C24">
              <w:rPr>
                <w:rFonts w:cs="Arial"/>
                <w:b/>
                <w:color w:val="000000"/>
                <w:szCs w:val="24"/>
              </w:rPr>
              <w:t xml:space="preserve">ective </w:t>
            </w:r>
          </w:p>
        </w:tc>
        <w:tc>
          <w:tcPr>
            <w:tcW w:w="4588" w:type="dxa"/>
          </w:tcPr>
          <w:p w:rsidR="00354DD8" w:rsidRPr="00781074" w:rsidRDefault="00354DD8" w:rsidP="00354DD8">
            <w:pPr>
              <w:rPr>
                <w:rFonts w:cs="Arial"/>
                <w:b/>
                <w:color w:val="000000"/>
                <w:szCs w:val="24"/>
              </w:rPr>
            </w:pPr>
            <w:r w:rsidRPr="00781074">
              <w:rPr>
                <w:rFonts w:cs="Arial"/>
                <w:b/>
                <w:color w:val="000000"/>
                <w:szCs w:val="24"/>
              </w:rPr>
              <w:lastRenderedPageBreak/>
              <w:t>Responding to Concerns</w:t>
            </w:r>
          </w:p>
          <w:p w:rsidR="00CB7E8D" w:rsidRDefault="00CB7E8D" w:rsidP="00354DD8">
            <w:pPr>
              <w:rPr>
                <w:rFonts w:cs="Arial"/>
                <w:color w:val="000000"/>
                <w:szCs w:val="24"/>
              </w:rPr>
            </w:pPr>
            <w:r>
              <w:rPr>
                <w:rFonts w:cs="Arial"/>
                <w:color w:val="000000"/>
                <w:szCs w:val="24"/>
              </w:rPr>
              <w:lastRenderedPageBreak/>
              <w:t>Includes:</w:t>
            </w:r>
          </w:p>
          <w:p w:rsidR="00CB7E8D" w:rsidRPr="00CB7E8D" w:rsidRDefault="00CB7E8D" w:rsidP="00CB7E8D">
            <w:pPr>
              <w:pStyle w:val="ListParagraph"/>
              <w:numPr>
                <w:ilvl w:val="0"/>
                <w:numId w:val="7"/>
              </w:numPr>
              <w:rPr>
                <w:rFonts w:ascii="Arial" w:hAnsi="Arial" w:cs="Arial"/>
              </w:rPr>
            </w:pPr>
            <w:r w:rsidRPr="00CB7E8D">
              <w:rPr>
                <w:rFonts w:ascii="Arial" w:hAnsi="Arial" w:cs="Arial"/>
              </w:rPr>
              <w:t>Poster</w:t>
            </w:r>
          </w:p>
          <w:p w:rsidR="00CB7E8D" w:rsidRPr="00CB7E8D" w:rsidRDefault="00CB7E8D" w:rsidP="00CB7E8D">
            <w:pPr>
              <w:pStyle w:val="ListParagraph"/>
              <w:numPr>
                <w:ilvl w:val="0"/>
                <w:numId w:val="7"/>
              </w:numPr>
              <w:rPr>
                <w:rFonts w:ascii="Arial" w:hAnsi="Arial" w:cs="Arial"/>
              </w:rPr>
            </w:pPr>
            <w:r w:rsidRPr="00CB7E8D">
              <w:rPr>
                <w:rFonts w:ascii="Arial" w:hAnsi="Arial" w:cs="Arial"/>
              </w:rPr>
              <w:t>Flowchart steps description</w:t>
            </w:r>
          </w:p>
          <w:p w:rsidR="00CB7E8D" w:rsidRPr="00D14342" w:rsidRDefault="00CB7E8D" w:rsidP="00CB7E8D">
            <w:pPr>
              <w:pStyle w:val="ListParagraph"/>
              <w:numPr>
                <w:ilvl w:val="0"/>
                <w:numId w:val="7"/>
              </w:numPr>
            </w:pPr>
            <w:r w:rsidRPr="00CB7E8D">
              <w:rPr>
                <w:rFonts w:ascii="Arial" w:hAnsi="Arial" w:cs="Arial"/>
              </w:rPr>
              <w:t>Form</w:t>
            </w:r>
          </w:p>
        </w:tc>
        <w:tc>
          <w:tcPr>
            <w:tcW w:w="6095" w:type="dxa"/>
          </w:tcPr>
          <w:p w:rsidR="00354DD8" w:rsidRDefault="00617F78" w:rsidP="00150D7B">
            <w:pPr>
              <w:widowControl w:val="0"/>
              <w:spacing w:after="120"/>
              <w:rPr>
                <w:rFonts w:cs="Arial"/>
                <w:color w:val="000000"/>
                <w:szCs w:val="24"/>
              </w:rPr>
            </w:pPr>
            <w:r w:rsidRPr="00617F78">
              <w:rPr>
                <w:rFonts w:eastAsia="Times New Roman" w:cs="Arial"/>
                <w:color w:val="000000"/>
                <w:kern w:val="28"/>
                <w:szCs w:val="24"/>
                <w:lang w:val="en-GB" w:eastAsia="en-AU"/>
                <w14:cntxtAlts/>
              </w:rPr>
              <w:lastRenderedPageBreak/>
              <w:t xml:space="preserve">This tool </w:t>
            </w:r>
            <w:r>
              <w:rPr>
                <w:rFonts w:eastAsia="Times New Roman" w:cs="Arial"/>
                <w:color w:val="000000"/>
                <w:kern w:val="28"/>
                <w:szCs w:val="24"/>
                <w:lang w:val="en-GB" w:eastAsia="en-AU"/>
                <w14:cntxtAlts/>
              </w:rPr>
              <w:t>is designed to support staff to</w:t>
            </w:r>
            <w:r w:rsidRPr="00617F78">
              <w:rPr>
                <w:rFonts w:eastAsia="Times New Roman" w:cs="Arial"/>
                <w:color w:val="000000"/>
                <w:kern w:val="28"/>
                <w:szCs w:val="24"/>
                <w:lang w:val="en-GB" w:eastAsia="en-AU"/>
                <w14:cntxtAlts/>
              </w:rPr>
              <w:t xml:space="preserve"> raise concerns </w:t>
            </w:r>
            <w:r>
              <w:rPr>
                <w:rFonts w:eastAsia="Times New Roman" w:cs="Arial"/>
                <w:color w:val="000000"/>
                <w:kern w:val="28"/>
                <w:szCs w:val="24"/>
                <w:lang w:val="en-GB" w:eastAsia="en-AU"/>
                <w14:cntxtAlts/>
              </w:rPr>
              <w:lastRenderedPageBreak/>
              <w:t xml:space="preserve">at an early stage, establish a </w:t>
            </w:r>
            <w:r w:rsidRPr="00617F78">
              <w:rPr>
                <w:rFonts w:eastAsia="Times New Roman" w:cs="Arial"/>
                <w:color w:val="000000"/>
                <w:kern w:val="28"/>
                <w:szCs w:val="24"/>
                <w:lang w:val="en-GB" w:eastAsia="en-AU"/>
                <w14:cntxtAlts/>
              </w:rPr>
              <w:t>process within the organisation</w:t>
            </w:r>
            <w:r>
              <w:rPr>
                <w:rFonts w:eastAsia="Times New Roman" w:cs="Arial"/>
                <w:color w:val="000000"/>
                <w:kern w:val="28"/>
                <w:szCs w:val="24"/>
                <w:lang w:val="en-GB" w:eastAsia="en-AU"/>
                <w14:cntxtAlts/>
              </w:rPr>
              <w:t xml:space="preserve"> with a </w:t>
            </w:r>
            <w:r w:rsidRPr="00617F78">
              <w:rPr>
                <w:rFonts w:eastAsia="Times New Roman" w:cs="Arial"/>
                <w:color w:val="000000"/>
                <w:kern w:val="28"/>
                <w:szCs w:val="24"/>
                <w:lang w:val="en-GB" w:eastAsia="en-AU"/>
                <w14:cntxtAlts/>
              </w:rPr>
              <w:t>clear decision-making process to</w:t>
            </w:r>
            <w:r>
              <w:rPr>
                <w:rFonts w:eastAsia="Times New Roman" w:cs="Arial"/>
                <w:color w:val="000000"/>
                <w:kern w:val="28"/>
                <w:szCs w:val="24"/>
                <w:lang w:val="en-GB" w:eastAsia="en-AU"/>
                <w14:cntxtAlts/>
              </w:rPr>
              <w:t xml:space="preserve"> receive concerns and</w:t>
            </w:r>
            <w:r w:rsidRPr="00617F78">
              <w:rPr>
                <w:rFonts w:eastAsia="Times New Roman" w:cs="Arial"/>
                <w:color w:val="000000"/>
                <w:kern w:val="28"/>
                <w:szCs w:val="24"/>
                <w:lang w:val="en-GB" w:eastAsia="en-AU"/>
                <w14:cntxtAlts/>
              </w:rPr>
              <w:t xml:space="preserve"> </w:t>
            </w:r>
            <w:r>
              <w:rPr>
                <w:rFonts w:eastAsia="Times New Roman" w:cs="Arial"/>
                <w:color w:val="000000"/>
                <w:kern w:val="28"/>
                <w:szCs w:val="24"/>
                <w:lang w:val="en-GB" w:eastAsia="en-AU"/>
                <w14:cntxtAlts/>
              </w:rPr>
              <w:t>document them.</w:t>
            </w:r>
          </w:p>
        </w:tc>
      </w:tr>
      <w:tr w:rsidR="00354DD8" w:rsidTr="00D14342">
        <w:tc>
          <w:tcPr>
            <w:tcW w:w="3487" w:type="dxa"/>
            <w:vMerge/>
          </w:tcPr>
          <w:p w:rsidR="00354DD8" w:rsidRDefault="00354DD8">
            <w:pPr>
              <w:rPr>
                <w:rFonts w:cs="Arial"/>
                <w:b/>
                <w:color w:val="000000"/>
                <w:szCs w:val="24"/>
              </w:rPr>
            </w:pPr>
          </w:p>
        </w:tc>
        <w:tc>
          <w:tcPr>
            <w:tcW w:w="4588" w:type="dxa"/>
          </w:tcPr>
          <w:p w:rsidR="00354DD8" w:rsidRPr="00781074" w:rsidRDefault="00354DD8" w:rsidP="00354DD8">
            <w:pPr>
              <w:rPr>
                <w:rFonts w:cs="Arial"/>
                <w:b/>
                <w:color w:val="000000"/>
                <w:szCs w:val="24"/>
              </w:rPr>
            </w:pPr>
            <w:r w:rsidRPr="00781074">
              <w:rPr>
                <w:rFonts w:cs="Arial"/>
                <w:b/>
                <w:color w:val="000000"/>
                <w:szCs w:val="24"/>
              </w:rPr>
              <w:t>Investigations Workbook</w:t>
            </w:r>
          </w:p>
          <w:p w:rsidR="00A65EB8" w:rsidRDefault="00A65EB8" w:rsidP="00354DD8">
            <w:pPr>
              <w:rPr>
                <w:rFonts w:cs="Arial"/>
                <w:color w:val="000000"/>
                <w:szCs w:val="24"/>
              </w:rPr>
            </w:pPr>
            <w:r>
              <w:rPr>
                <w:rFonts w:cs="Arial"/>
                <w:color w:val="000000"/>
                <w:szCs w:val="24"/>
              </w:rPr>
              <w:t>Includes:</w:t>
            </w:r>
          </w:p>
          <w:p w:rsidR="00223609" w:rsidRDefault="00223609" w:rsidP="00A65EB8">
            <w:pPr>
              <w:pStyle w:val="ListParagraph"/>
              <w:numPr>
                <w:ilvl w:val="0"/>
                <w:numId w:val="8"/>
              </w:numPr>
              <w:rPr>
                <w:rFonts w:ascii="Arial" w:hAnsi="Arial" w:cs="Arial"/>
              </w:rPr>
            </w:pPr>
            <w:r>
              <w:rPr>
                <w:rFonts w:ascii="Arial" w:hAnsi="Arial" w:cs="Arial"/>
              </w:rPr>
              <w:t>Guidelines</w:t>
            </w:r>
          </w:p>
          <w:p w:rsidR="00A65EB8" w:rsidRPr="00A65EB8" w:rsidRDefault="00A65EB8" w:rsidP="00A65EB8">
            <w:pPr>
              <w:pStyle w:val="ListParagraph"/>
              <w:numPr>
                <w:ilvl w:val="0"/>
                <w:numId w:val="8"/>
              </w:numPr>
              <w:rPr>
                <w:rFonts w:ascii="Arial" w:hAnsi="Arial" w:cs="Arial"/>
              </w:rPr>
            </w:pPr>
            <w:r w:rsidRPr="00A65EB8">
              <w:rPr>
                <w:rFonts w:ascii="Arial" w:hAnsi="Arial" w:cs="Arial"/>
              </w:rPr>
              <w:t>Templates</w:t>
            </w:r>
          </w:p>
        </w:tc>
        <w:tc>
          <w:tcPr>
            <w:tcW w:w="6095" w:type="dxa"/>
          </w:tcPr>
          <w:p w:rsidR="00CB7E8D" w:rsidRPr="005E3223" w:rsidRDefault="00CB7E8D" w:rsidP="00CB7E8D">
            <w:r>
              <w:rPr>
                <w:rFonts w:cs="Arial"/>
                <w:szCs w:val="24"/>
              </w:rPr>
              <w:t xml:space="preserve">This workbook has been developed to support disability service providers in Western Australia to undertake </w:t>
            </w:r>
            <w:r w:rsidR="00A65EB8">
              <w:rPr>
                <w:rFonts w:cs="Arial"/>
                <w:szCs w:val="24"/>
              </w:rPr>
              <w:t>investigations.</w:t>
            </w:r>
            <w:r>
              <w:rPr>
                <w:rFonts w:cs="Arial"/>
                <w:szCs w:val="24"/>
              </w:rPr>
              <w:t xml:space="preserve"> </w:t>
            </w:r>
            <w:r w:rsidR="00A65EB8">
              <w:t xml:space="preserve">It </w:t>
            </w:r>
            <w:r>
              <w:t>is intended for senior staff with formal responsibility for conducting investigations as part of the role on behalf of their organisation.</w:t>
            </w:r>
          </w:p>
          <w:p w:rsidR="00354DD8" w:rsidRDefault="00354DD8">
            <w:pPr>
              <w:rPr>
                <w:rFonts w:cs="Arial"/>
                <w:color w:val="000000"/>
                <w:szCs w:val="24"/>
              </w:rPr>
            </w:pPr>
          </w:p>
        </w:tc>
      </w:tr>
      <w:tr w:rsidR="00354DD8" w:rsidTr="00D14342">
        <w:tc>
          <w:tcPr>
            <w:tcW w:w="3487" w:type="dxa"/>
            <w:vMerge/>
          </w:tcPr>
          <w:p w:rsidR="00354DD8" w:rsidRDefault="00354DD8">
            <w:pPr>
              <w:rPr>
                <w:rFonts w:cs="Arial"/>
                <w:b/>
                <w:color w:val="000000"/>
                <w:szCs w:val="24"/>
              </w:rPr>
            </w:pPr>
          </w:p>
        </w:tc>
        <w:tc>
          <w:tcPr>
            <w:tcW w:w="4588" w:type="dxa"/>
          </w:tcPr>
          <w:p w:rsidR="00354DD8" w:rsidRPr="00781074" w:rsidRDefault="00361AF1" w:rsidP="00354DD8">
            <w:pPr>
              <w:rPr>
                <w:b/>
              </w:rPr>
            </w:pPr>
            <w:r>
              <w:rPr>
                <w:rFonts w:cs="Arial"/>
                <w:b/>
                <w:color w:val="000000"/>
                <w:szCs w:val="24"/>
              </w:rPr>
              <w:t>Debriefing T</w:t>
            </w:r>
            <w:r w:rsidR="00354DD8" w:rsidRPr="00781074">
              <w:rPr>
                <w:rFonts w:cs="Arial"/>
                <w:b/>
                <w:color w:val="000000"/>
                <w:szCs w:val="24"/>
              </w:rPr>
              <w:t>ool</w:t>
            </w:r>
          </w:p>
        </w:tc>
        <w:tc>
          <w:tcPr>
            <w:tcW w:w="6095" w:type="dxa"/>
          </w:tcPr>
          <w:p w:rsidR="00354DD8" w:rsidRDefault="00A65EB8" w:rsidP="00A65EB8">
            <w:r>
              <w:t>This tool can assist leaders to appropriately debrief with staff after an incident has occurred.</w:t>
            </w:r>
          </w:p>
          <w:p w:rsidR="00961BA7" w:rsidRDefault="00961BA7" w:rsidP="00A65EB8">
            <w:pPr>
              <w:rPr>
                <w:rFonts w:cs="Arial"/>
                <w:color w:val="000000"/>
                <w:szCs w:val="24"/>
              </w:rPr>
            </w:pPr>
          </w:p>
        </w:tc>
      </w:tr>
    </w:tbl>
    <w:p w:rsidR="0014385B" w:rsidRDefault="0014385B"/>
    <w:p w:rsidR="0014385B" w:rsidRDefault="0014385B"/>
    <w:p w:rsidR="0014385B" w:rsidRDefault="0014385B"/>
    <w:tbl>
      <w:tblPr>
        <w:tblStyle w:val="TableGrid"/>
        <w:tblW w:w="14170" w:type="dxa"/>
        <w:tblLook w:val="04A0" w:firstRow="1" w:lastRow="0" w:firstColumn="1" w:lastColumn="0" w:noHBand="0" w:noVBand="1"/>
        <w:tblCaption w:val="Change Readiness Tools and Resources"/>
        <w:tblDescription w:val="Area, Tool and Description. Area: Preparing for Change, Tool: Our Change Vision. Description: This tool can be used to agree at a whole of an organisation level what you want to change and what approach you will take, or how you will benchmark your change journey. Tool: Establishing a Change Leadership Committee. Description: This document provides guidelines, structure and framework for a Change Leadership Committee.  This includes stakeholder consultation, setting the direction and providing leadership to embed the change and ensure it aligns with the organisation’s strategic goals. Tool: Change Leadership Guide: This tool provide organisations with a range of practical strategies to effectively embed the change initiatives and minimise the impact of potential change fatigue. Tool: Change Communication Plan. Description: This tool will guide your organisation to consider regular communication supports for change readiness, in order to increase people’s motivation to adopt, implement and maintain desired change over time. Tool: Change Readiness Checklist for Managers. Description: This is a self-paced learning tool for the management to increase awareness of the obligations and the implications relating to the NDIS Quality and Safeguarding Framework, and to progress towards readiness for the framework’s introduction. Tool: My guide for change readiness. Description: This is a self-paced learning tool to be used with your supervisor and team members. The tool that highlights some of the key documents in the NDIS Quality and Safeguarding framework that you and your team will need to be aware of and understand.  Area: Making Change. Tool: A Fair Culture Approach. Description: The purpose of this document is to provide an understanding of best-practice approaches to promote a self-reporting and continually improving culture. Tool: Before Action Planning and After Action Reviews templates (BAP/AAR) Description: BAP and AARs are two simple tools designed to assist in the preparation and execution of your change project, activities or tasks. They also assist to continuously review organisation and team’s performance in relation to change project, activities or tasks in order to identify and learn from successes and failures just in time. Tool: Implementation Intentions. Description: This tool simple tool is designed to assist staff to develop new habits that support a particular change. By using the tool staff can make a conscious effort to change the way they respond to certain situations rather than rely on their automatic responses. Tool:  Maximising Performance Framework. Description: The framework provides managers, human resources and Change Leadership Committee advice on how to embed a Maximising Performance Framework that is future focused and aligned with the objectives of the organisation. Area: Embedding Change. Tool: Continuous Improvement Ideas Submission Form. Description: This is a template for all stakeholders to identify and submit improvement ideas to support and embed a culture of quality and safeguarding. Tool: Recognition: Recognition and Rewards Roadmap. Description: This is a simple roadmap to help management teams develop a Recognition and Reward (R&amp;R) strategy, focused on timely low cost and high impact recognition to their employees to boost engagement and performance in pursuit of embedding the expected safeguarding culture. "/>
      </w:tblPr>
      <w:tblGrid>
        <w:gridCol w:w="3487"/>
        <w:gridCol w:w="4588"/>
        <w:gridCol w:w="6095"/>
      </w:tblGrid>
      <w:tr w:rsidR="00354DD8" w:rsidTr="00BD5A4E">
        <w:trPr>
          <w:tblHeader/>
        </w:trPr>
        <w:tc>
          <w:tcPr>
            <w:tcW w:w="14170" w:type="dxa"/>
            <w:gridSpan w:val="3"/>
            <w:shd w:val="clear" w:color="auto" w:fill="DEEAF6" w:themeFill="accent1" w:themeFillTint="33"/>
          </w:tcPr>
          <w:p w:rsidR="00354DD8" w:rsidRPr="00354DD8" w:rsidRDefault="00354DD8" w:rsidP="00354DD8">
            <w:pPr>
              <w:jc w:val="center"/>
              <w:rPr>
                <w:rFonts w:cs="Arial"/>
                <w:b/>
                <w:color w:val="000000"/>
                <w:szCs w:val="24"/>
              </w:rPr>
            </w:pPr>
            <w:r w:rsidRPr="00354DD8">
              <w:rPr>
                <w:rFonts w:cs="Arial"/>
                <w:b/>
                <w:color w:val="000000"/>
                <w:szCs w:val="24"/>
              </w:rPr>
              <w:t>Change Readiness Tools and Resources</w:t>
            </w:r>
          </w:p>
        </w:tc>
      </w:tr>
      <w:tr w:rsidR="00354DD8" w:rsidTr="00BD5A4E">
        <w:trPr>
          <w:tblHeader/>
        </w:trPr>
        <w:tc>
          <w:tcPr>
            <w:tcW w:w="3487" w:type="dxa"/>
            <w:shd w:val="clear" w:color="auto" w:fill="E2EFD9" w:themeFill="accent6" w:themeFillTint="33"/>
          </w:tcPr>
          <w:p w:rsidR="00354DD8" w:rsidRPr="00D14342" w:rsidRDefault="00354DD8" w:rsidP="00354DD8">
            <w:pPr>
              <w:rPr>
                <w:b/>
              </w:rPr>
            </w:pPr>
            <w:r w:rsidRPr="00D14342">
              <w:rPr>
                <w:b/>
              </w:rPr>
              <w:t xml:space="preserve">Area </w:t>
            </w:r>
          </w:p>
        </w:tc>
        <w:tc>
          <w:tcPr>
            <w:tcW w:w="4588" w:type="dxa"/>
            <w:shd w:val="clear" w:color="auto" w:fill="E2EFD9" w:themeFill="accent6" w:themeFillTint="33"/>
          </w:tcPr>
          <w:p w:rsidR="00354DD8" w:rsidRPr="00D14342" w:rsidRDefault="00354DD8" w:rsidP="00354DD8">
            <w:pPr>
              <w:rPr>
                <w:b/>
              </w:rPr>
            </w:pPr>
            <w:r w:rsidRPr="00D14342">
              <w:rPr>
                <w:b/>
              </w:rPr>
              <w:t>Tool</w:t>
            </w:r>
          </w:p>
        </w:tc>
        <w:tc>
          <w:tcPr>
            <w:tcW w:w="6095" w:type="dxa"/>
            <w:shd w:val="clear" w:color="auto" w:fill="E2EFD9" w:themeFill="accent6" w:themeFillTint="33"/>
          </w:tcPr>
          <w:p w:rsidR="00354DD8" w:rsidRPr="00D14342" w:rsidRDefault="00354DD8" w:rsidP="00354DD8">
            <w:pPr>
              <w:rPr>
                <w:b/>
              </w:rPr>
            </w:pPr>
            <w:r w:rsidRPr="00D14342">
              <w:rPr>
                <w:b/>
              </w:rPr>
              <w:t>Description</w:t>
            </w:r>
          </w:p>
        </w:tc>
      </w:tr>
      <w:tr w:rsidR="00D331B7" w:rsidTr="00781074">
        <w:tc>
          <w:tcPr>
            <w:tcW w:w="3487" w:type="dxa"/>
            <w:vMerge w:val="restart"/>
          </w:tcPr>
          <w:p w:rsidR="00D331B7" w:rsidRDefault="00D331B7" w:rsidP="00D331B7">
            <w:pPr>
              <w:rPr>
                <w:rFonts w:cs="Arial"/>
                <w:b/>
                <w:color w:val="000000"/>
                <w:szCs w:val="24"/>
              </w:rPr>
            </w:pPr>
          </w:p>
          <w:p w:rsidR="00D331B7" w:rsidRDefault="00D331B7" w:rsidP="00D331B7">
            <w:pPr>
              <w:rPr>
                <w:rFonts w:cs="Arial"/>
                <w:b/>
                <w:color w:val="000000"/>
                <w:szCs w:val="24"/>
              </w:rPr>
            </w:pPr>
          </w:p>
          <w:p w:rsidR="00D331B7" w:rsidRDefault="001C5193" w:rsidP="00D331B7">
            <w:pPr>
              <w:rPr>
                <w:rFonts w:cs="Arial"/>
                <w:b/>
                <w:color w:val="000000"/>
                <w:szCs w:val="24"/>
              </w:rPr>
            </w:pPr>
            <w:r>
              <w:rPr>
                <w:rFonts w:cs="Arial"/>
                <w:b/>
                <w:color w:val="000000"/>
                <w:szCs w:val="24"/>
              </w:rPr>
              <w:t>Preparing</w:t>
            </w:r>
            <w:r w:rsidR="00D331B7" w:rsidRPr="00354DD8">
              <w:rPr>
                <w:rFonts w:cs="Arial"/>
                <w:b/>
                <w:color w:val="000000"/>
                <w:szCs w:val="24"/>
              </w:rPr>
              <w:t xml:space="preserve"> for Change</w:t>
            </w:r>
          </w:p>
        </w:tc>
        <w:tc>
          <w:tcPr>
            <w:tcW w:w="4588" w:type="dxa"/>
            <w:shd w:val="clear" w:color="auto" w:fill="auto"/>
          </w:tcPr>
          <w:p w:rsidR="00D331B7" w:rsidRPr="00781074" w:rsidRDefault="00F332F1" w:rsidP="00D331B7">
            <w:pPr>
              <w:rPr>
                <w:b/>
              </w:rPr>
            </w:pPr>
            <w:r>
              <w:rPr>
                <w:rFonts w:cs="Arial"/>
                <w:b/>
                <w:color w:val="000000"/>
                <w:szCs w:val="24"/>
              </w:rPr>
              <w:t>Our Change V</w:t>
            </w:r>
            <w:r w:rsidR="00D331B7" w:rsidRPr="00781074">
              <w:rPr>
                <w:rFonts w:cs="Arial"/>
                <w:b/>
                <w:color w:val="000000"/>
                <w:szCs w:val="24"/>
              </w:rPr>
              <w:t>ision</w:t>
            </w:r>
          </w:p>
        </w:tc>
        <w:tc>
          <w:tcPr>
            <w:tcW w:w="6095" w:type="dxa"/>
            <w:shd w:val="clear" w:color="auto" w:fill="auto"/>
          </w:tcPr>
          <w:p w:rsidR="00D331B7" w:rsidRDefault="00CF497C" w:rsidP="00CF497C">
            <w:r>
              <w:t>T</w:t>
            </w:r>
            <w:r w:rsidRPr="00917B46">
              <w:t>his tool</w:t>
            </w:r>
            <w:r>
              <w:t xml:space="preserve"> can be used</w:t>
            </w:r>
            <w:r w:rsidRPr="00917B46">
              <w:t xml:space="preserve"> to agree at a whole of an organisation level what you want to change and what approach you will take</w:t>
            </w:r>
            <w:r>
              <w:t>, or how you will benchmark your change journey.</w:t>
            </w:r>
          </w:p>
          <w:p w:rsidR="00961BA7" w:rsidRPr="00781074" w:rsidRDefault="00961BA7" w:rsidP="00CF497C">
            <w:pPr>
              <w:rPr>
                <w:rFonts w:cs="Arial"/>
                <w:color w:val="000000"/>
                <w:szCs w:val="24"/>
              </w:rPr>
            </w:pPr>
          </w:p>
        </w:tc>
      </w:tr>
      <w:tr w:rsidR="009B04BF" w:rsidTr="00781074">
        <w:tc>
          <w:tcPr>
            <w:tcW w:w="3487" w:type="dxa"/>
            <w:vMerge/>
          </w:tcPr>
          <w:p w:rsidR="009B04BF" w:rsidRDefault="009B04BF" w:rsidP="009B04BF">
            <w:pPr>
              <w:rPr>
                <w:rFonts w:cs="Arial"/>
                <w:b/>
                <w:color w:val="000000"/>
                <w:szCs w:val="24"/>
              </w:rPr>
            </w:pPr>
          </w:p>
        </w:tc>
        <w:tc>
          <w:tcPr>
            <w:tcW w:w="4588" w:type="dxa"/>
            <w:shd w:val="clear" w:color="auto" w:fill="auto"/>
          </w:tcPr>
          <w:p w:rsidR="009B04BF" w:rsidRPr="00781074" w:rsidRDefault="009B04BF" w:rsidP="009B04BF">
            <w:pPr>
              <w:rPr>
                <w:b/>
              </w:rPr>
            </w:pPr>
            <w:r>
              <w:rPr>
                <w:rFonts w:cs="Arial"/>
                <w:b/>
                <w:color w:val="000000"/>
                <w:szCs w:val="24"/>
              </w:rPr>
              <w:t>Establishing a Change Leadership Committee</w:t>
            </w:r>
          </w:p>
        </w:tc>
        <w:tc>
          <w:tcPr>
            <w:tcW w:w="6095" w:type="dxa"/>
            <w:shd w:val="clear" w:color="auto" w:fill="auto"/>
          </w:tcPr>
          <w:p w:rsidR="009B04BF" w:rsidRPr="00781074" w:rsidRDefault="009B04BF" w:rsidP="009B04BF">
            <w:pPr>
              <w:rPr>
                <w:rFonts w:cs="Arial"/>
                <w:color w:val="000000"/>
                <w:szCs w:val="24"/>
              </w:rPr>
            </w:pPr>
            <w:r w:rsidRPr="003A29F3">
              <w:rPr>
                <w:rFonts w:cs="Arial"/>
                <w:color w:val="000000"/>
                <w:szCs w:val="24"/>
              </w:rPr>
              <w:t>This document provides guidelines, structure and framework for a Change Leadership Committee.  This includes stakeholder consultation, setting the direction and providing leadership to embed the change and ensure it aligns with the organisation’s strategic goals.</w:t>
            </w:r>
          </w:p>
        </w:tc>
      </w:tr>
      <w:tr w:rsidR="009B04BF" w:rsidTr="00781074">
        <w:tc>
          <w:tcPr>
            <w:tcW w:w="3487" w:type="dxa"/>
            <w:vMerge/>
          </w:tcPr>
          <w:p w:rsidR="009B04BF" w:rsidRDefault="009B04BF" w:rsidP="009B04BF">
            <w:pPr>
              <w:rPr>
                <w:rFonts w:cs="Arial"/>
                <w:b/>
                <w:color w:val="000000"/>
                <w:szCs w:val="24"/>
              </w:rPr>
            </w:pPr>
          </w:p>
        </w:tc>
        <w:tc>
          <w:tcPr>
            <w:tcW w:w="4588" w:type="dxa"/>
            <w:shd w:val="clear" w:color="auto" w:fill="auto"/>
          </w:tcPr>
          <w:p w:rsidR="009B04BF" w:rsidRPr="00781074" w:rsidRDefault="009B04BF" w:rsidP="009B04BF">
            <w:pPr>
              <w:rPr>
                <w:rFonts w:cs="Arial"/>
                <w:color w:val="000000"/>
                <w:szCs w:val="24"/>
              </w:rPr>
            </w:pPr>
            <w:r w:rsidRPr="00781074">
              <w:rPr>
                <w:rFonts w:cs="Arial"/>
                <w:b/>
                <w:color w:val="000000"/>
                <w:szCs w:val="24"/>
              </w:rPr>
              <w:t>Change Leadership</w:t>
            </w:r>
            <w:r>
              <w:rPr>
                <w:rFonts w:cs="Arial"/>
                <w:b/>
                <w:color w:val="000000"/>
                <w:szCs w:val="24"/>
              </w:rPr>
              <w:t xml:space="preserve"> Guidance</w:t>
            </w:r>
          </w:p>
          <w:p w:rsidR="009B04BF" w:rsidRPr="00781074" w:rsidRDefault="009B04BF" w:rsidP="009B04BF"/>
        </w:tc>
        <w:tc>
          <w:tcPr>
            <w:tcW w:w="6095" w:type="dxa"/>
            <w:shd w:val="clear" w:color="auto" w:fill="auto"/>
          </w:tcPr>
          <w:p w:rsidR="009B04BF" w:rsidRDefault="009B04BF" w:rsidP="009B04BF">
            <w:pPr>
              <w:rPr>
                <w:rFonts w:eastAsia="Times New Roman" w:cs="Arial"/>
                <w:color w:val="000000" w:themeColor="text1"/>
                <w:szCs w:val="24"/>
                <w:lang w:val="en-US"/>
              </w:rPr>
            </w:pPr>
            <w:r>
              <w:rPr>
                <w:rFonts w:cs="Arial"/>
                <w:color w:val="000000" w:themeColor="text1"/>
                <w:szCs w:val="24"/>
                <w:lang w:val="en-US"/>
              </w:rPr>
              <w:t xml:space="preserve">This tool </w:t>
            </w:r>
            <w:r w:rsidRPr="00CF497C">
              <w:rPr>
                <w:rFonts w:cs="Arial"/>
                <w:color w:val="000000" w:themeColor="text1"/>
                <w:szCs w:val="24"/>
                <w:lang w:val="en-US"/>
              </w:rPr>
              <w:t xml:space="preserve">provide organisations with a range of </w:t>
            </w:r>
            <w:r w:rsidRPr="00CF497C">
              <w:rPr>
                <w:rFonts w:eastAsia="Times New Roman" w:cs="Arial"/>
                <w:color w:val="000000" w:themeColor="text1"/>
                <w:szCs w:val="24"/>
                <w:lang w:val="en-US"/>
              </w:rPr>
              <w:t>practical strategies to effectively embed the change initiatives and minimise the impact of potential change fatigue.</w:t>
            </w:r>
          </w:p>
          <w:p w:rsidR="00961BA7" w:rsidRPr="00781074" w:rsidRDefault="00961BA7" w:rsidP="009B04BF">
            <w:pPr>
              <w:rPr>
                <w:rFonts w:cs="Arial"/>
                <w:color w:val="000000"/>
                <w:szCs w:val="24"/>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781074" w:rsidRDefault="009B04BF" w:rsidP="009B04BF">
            <w:pPr>
              <w:rPr>
                <w:b/>
              </w:rPr>
            </w:pPr>
            <w:r>
              <w:rPr>
                <w:rFonts w:cs="Arial"/>
                <w:b/>
                <w:color w:val="000000"/>
                <w:szCs w:val="24"/>
              </w:rPr>
              <w:t>Change Communication P</w:t>
            </w:r>
            <w:r w:rsidRPr="00781074">
              <w:rPr>
                <w:rFonts w:cs="Arial"/>
                <w:b/>
                <w:color w:val="000000"/>
                <w:szCs w:val="24"/>
              </w:rPr>
              <w:t>lan</w:t>
            </w:r>
          </w:p>
        </w:tc>
        <w:tc>
          <w:tcPr>
            <w:tcW w:w="6095" w:type="dxa"/>
            <w:shd w:val="clear" w:color="auto" w:fill="auto"/>
          </w:tcPr>
          <w:p w:rsidR="009B04BF" w:rsidRDefault="009B04BF" w:rsidP="009B04BF">
            <w:pPr>
              <w:rPr>
                <w:rFonts w:cs="Arial"/>
                <w:color w:val="000000"/>
                <w:szCs w:val="24"/>
              </w:rPr>
            </w:pPr>
            <w:r>
              <w:rPr>
                <w:rFonts w:cs="Arial"/>
                <w:color w:val="000000"/>
                <w:szCs w:val="24"/>
              </w:rPr>
              <w:t>This</w:t>
            </w:r>
            <w:r w:rsidRPr="00E712E3">
              <w:rPr>
                <w:rFonts w:cs="Arial"/>
                <w:color w:val="000000"/>
                <w:szCs w:val="24"/>
              </w:rPr>
              <w:t xml:space="preserve"> tool will guide you</w:t>
            </w:r>
            <w:r>
              <w:rPr>
                <w:rFonts w:cs="Arial"/>
                <w:color w:val="000000"/>
                <w:szCs w:val="24"/>
              </w:rPr>
              <w:t>r organisation</w:t>
            </w:r>
            <w:r w:rsidRPr="00E712E3">
              <w:rPr>
                <w:rFonts w:cs="Arial"/>
                <w:color w:val="000000"/>
                <w:szCs w:val="24"/>
              </w:rPr>
              <w:t xml:space="preserve"> to consider regular communication supports for change readiness, in order to increase people’s motivation to adopt, implement and maintain desired change over time.</w:t>
            </w:r>
          </w:p>
          <w:p w:rsidR="00961BA7" w:rsidRPr="00781074" w:rsidRDefault="00961BA7" w:rsidP="009B04BF">
            <w:pPr>
              <w:rPr>
                <w:rFonts w:cs="Arial"/>
                <w:color w:val="000000"/>
                <w:szCs w:val="24"/>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781074" w:rsidRDefault="009B04BF" w:rsidP="009B04BF">
            <w:pPr>
              <w:rPr>
                <w:rFonts w:cs="Arial"/>
                <w:b/>
                <w:color w:val="000000"/>
                <w:szCs w:val="24"/>
              </w:rPr>
            </w:pPr>
            <w:r>
              <w:rPr>
                <w:rFonts w:cs="Arial"/>
                <w:b/>
                <w:color w:val="000000"/>
                <w:szCs w:val="24"/>
              </w:rPr>
              <w:t>Change Readiness C</w:t>
            </w:r>
            <w:r w:rsidRPr="00781074">
              <w:rPr>
                <w:rFonts w:cs="Arial"/>
                <w:b/>
                <w:color w:val="000000"/>
                <w:szCs w:val="24"/>
              </w:rPr>
              <w:t>hecklist</w:t>
            </w:r>
            <w:r>
              <w:rPr>
                <w:rFonts w:cs="Arial"/>
                <w:b/>
                <w:color w:val="000000"/>
                <w:szCs w:val="24"/>
              </w:rPr>
              <w:t xml:space="preserve"> for Managers</w:t>
            </w:r>
          </w:p>
          <w:p w:rsidR="009B04BF" w:rsidRPr="00781074" w:rsidRDefault="009B04BF" w:rsidP="009B04BF"/>
        </w:tc>
        <w:tc>
          <w:tcPr>
            <w:tcW w:w="6095" w:type="dxa"/>
            <w:shd w:val="clear" w:color="auto" w:fill="auto"/>
          </w:tcPr>
          <w:p w:rsidR="009B04BF" w:rsidRDefault="009B04BF" w:rsidP="009B04BF">
            <w:pPr>
              <w:rPr>
                <w:rFonts w:cs="Arial"/>
                <w:szCs w:val="24"/>
              </w:rPr>
            </w:pPr>
            <w:r w:rsidRPr="00B43AE0">
              <w:rPr>
                <w:rFonts w:cs="Arial"/>
                <w:szCs w:val="24"/>
              </w:rPr>
              <w:t xml:space="preserve">This is a self-paced learning </w:t>
            </w:r>
            <w:r>
              <w:rPr>
                <w:rFonts w:cs="Arial"/>
                <w:szCs w:val="24"/>
              </w:rPr>
              <w:t xml:space="preserve">tool for the management </w:t>
            </w:r>
            <w:r w:rsidRPr="00D9215B">
              <w:rPr>
                <w:rFonts w:cs="Arial"/>
                <w:szCs w:val="24"/>
              </w:rPr>
              <w:t xml:space="preserve">to </w:t>
            </w:r>
            <w:r w:rsidRPr="00AB3EEB">
              <w:rPr>
                <w:rFonts w:cs="Arial"/>
                <w:szCs w:val="24"/>
              </w:rPr>
              <w:t>i</w:t>
            </w:r>
            <w:r>
              <w:rPr>
                <w:rFonts w:cs="Arial"/>
                <w:szCs w:val="24"/>
              </w:rPr>
              <w:t>ncrease</w:t>
            </w:r>
            <w:r w:rsidRPr="00AB3EEB">
              <w:rPr>
                <w:rFonts w:cs="Arial"/>
                <w:szCs w:val="24"/>
              </w:rPr>
              <w:t xml:space="preserve"> awareness of the obligations and the implications relating to the NDIS Quality and Safeguarding Framework</w:t>
            </w:r>
            <w:r>
              <w:rPr>
                <w:rFonts w:cs="Arial"/>
                <w:szCs w:val="24"/>
              </w:rPr>
              <w:t>,</w:t>
            </w:r>
            <w:r w:rsidRPr="00AB3EEB">
              <w:rPr>
                <w:rFonts w:cs="Arial"/>
                <w:szCs w:val="24"/>
              </w:rPr>
              <w:t xml:space="preserve"> and </w:t>
            </w:r>
            <w:r>
              <w:rPr>
                <w:rFonts w:cs="Arial"/>
                <w:szCs w:val="24"/>
              </w:rPr>
              <w:t>to progress towards</w:t>
            </w:r>
            <w:r w:rsidRPr="00AB3EEB">
              <w:rPr>
                <w:rFonts w:cs="Arial"/>
                <w:szCs w:val="24"/>
              </w:rPr>
              <w:t xml:space="preserve"> readiness for the </w:t>
            </w:r>
            <w:r>
              <w:rPr>
                <w:rFonts w:cs="Arial"/>
                <w:szCs w:val="24"/>
              </w:rPr>
              <w:t>framework’s introduction.</w:t>
            </w:r>
          </w:p>
          <w:p w:rsidR="00961BA7" w:rsidRPr="00781074" w:rsidRDefault="00961BA7" w:rsidP="009B04BF">
            <w:pPr>
              <w:rPr>
                <w:rFonts w:cs="Arial"/>
                <w:color w:val="000000"/>
                <w:szCs w:val="24"/>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781074" w:rsidRDefault="009B04BF" w:rsidP="009B04BF">
            <w:pPr>
              <w:rPr>
                <w:b/>
              </w:rPr>
            </w:pPr>
            <w:r>
              <w:rPr>
                <w:b/>
              </w:rPr>
              <w:t>My G</w:t>
            </w:r>
            <w:r w:rsidRPr="00781074">
              <w:rPr>
                <w:b/>
              </w:rPr>
              <w:t xml:space="preserve">uide for Change Readiness </w:t>
            </w:r>
          </w:p>
        </w:tc>
        <w:tc>
          <w:tcPr>
            <w:tcW w:w="6095" w:type="dxa"/>
            <w:shd w:val="clear" w:color="auto" w:fill="auto"/>
          </w:tcPr>
          <w:p w:rsidR="009B04BF" w:rsidRDefault="009B04BF" w:rsidP="009B04BF">
            <w:pPr>
              <w:rPr>
                <w:rFonts w:cs="Arial"/>
                <w:color w:val="000000"/>
                <w:szCs w:val="24"/>
              </w:rPr>
            </w:pPr>
            <w:r w:rsidRPr="00B43AE0">
              <w:rPr>
                <w:rFonts w:cs="Arial"/>
                <w:color w:val="000000"/>
                <w:szCs w:val="24"/>
              </w:rPr>
              <w:t xml:space="preserve">This is a self-paced learning tool to be used with your supervisor and team members. The tool that highlights some of the key documents in the NDIS Quality and Safeguarding framework that you and your team will need to be aware of and understand. </w:t>
            </w:r>
          </w:p>
          <w:p w:rsidR="00961BA7" w:rsidRPr="00781074" w:rsidRDefault="00961BA7" w:rsidP="009B04BF">
            <w:pPr>
              <w:rPr>
                <w:rFonts w:cs="Arial"/>
                <w:color w:val="000000"/>
                <w:szCs w:val="24"/>
              </w:rPr>
            </w:pPr>
          </w:p>
        </w:tc>
      </w:tr>
      <w:tr w:rsidR="009B04BF" w:rsidTr="00781074">
        <w:tc>
          <w:tcPr>
            <w:tcW w:w="3487" w:type="dxa"/>
            <w:vMerge w:val="restart"/>
          </w:tcPr>
          <w:p w:rsidR="009B04BF" w:rsidRDefault="009B04BF" w:rsidP="009B04BF">
            <w:pPr>
              <w:rPr>
                <w:rFonts w:cs="Arial"/>
                <w:b/>
                <w:color w:val="000000"/>
                <w:szCs w:val="24"/>
              </w:rPr>
            </w:pPr>
          </w:p>
          <w:p w:rsidR="009B04BF" w:rsidRDefault="009B04BF" w:rsidP="009B04BF">
            <w:pPr>
              <w:rPr>
                <w:rFonts w:cs="Arial"/>
                <w:b/>
                <w:color w:val="000000"/>
                <w:szCs w:val="24"/>
              </w:rPr>
            </w:pPr>
            <w:r w:rsidRPr="0014385B">
              <w:rPr>
                <w:rFonts w:cs="Arial"/>
                <w:b/>
                <w:color w:val="000000"/>
                <w:szCs w:val="24"/>
              </w:rPr>
              <w:t>Making Change</w:t>
            </w:r>
          </w:p>
        </w:tc>
        <w:tc>
          <w:tcPr>
            <w:tcW w:w="4588" w:type="dxa"/>
            <w:shd w:val="clear" w:color="auto" w:fill="auto"/>
          </w:tcPr>
          <w:p w:rsidR="009B04BF" w:rsidRPr="00150D7B" w:rsidRDefault="00961BA7" w:rsidP="009B04BF">
            <w:pPr>
              <w:rPr>
                <w:rFonts w:cs="Arial"/>
                <w:b/>
                <w:szCs w:val="24"/>
              </w:rPr>
            </w:pPr>
            <w:r w:rsidRPr="00961BA7">
              <w:rPr>
                <w:rFonts w:cs="Arial"/>
                <w:b/>
                <w:szCs w:val="24"/>
              </w:rPr>
              <w:t>A  Fair Culture Approach</w:t>
            </w:r>
          </w:p>
        </w:tc>
        <w:tc>
          <w:tcPr>
            <w:tcW w:w="6095" w:type="dxa"/>
            <w:shd w:val="clear" w:color="auto" w:fill="auto"/>
          </w:tcPr>
          <w:p w:rsidR="009B04BF" w:rsidRDefault="00961BA7" w:rsidP="00961BA7">
            <w:pPr>
              <w:rPr>
                <w:rFonts w:cs="Arial"/>
                <w:color w:val="000000" w:themeColor="text1"/>
              </w:rPr>
            </w:pPr>
            <w:r w:rsidRPr="00961BA7">
              <w:rPr>
                <w:rFonts w:cs="Arial"/>
                <w:color w:val="000000" w:themeColor="text1"/>
              </w:rPr>
              <w:t>The purpose of this document is to provide an understanding of best-practice approaches to promote a self-reporting and continually improving culture.</w:t>
            </w:r>
            <w:r>
              <w:rPr>
                <w:rFonts w:cs="Arial"/>
                <w:color w:val="000000" w:themeColor="text1"/>
              </w:rPr>
              <w:t xml:space="preserve"> </w:t>
            </w:r>
          </w:p>
          <w:p w:rsidR="00961BA7" w:rsidRPr="00D92362" w:rsidRDefault="00961BA7" w:rsidP="00961BA7">
            <w:pPr>
              <w:rPr>
                <w:rFonts w:cs="Arial"/>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781074" w:rsidRDefault="009B04BF" w:rsidP="009B04BF">
            <w:pPr>
              <w:rPr>
                <w:b/>
              </w:rPr>
            </w:pPr>
            <w:r w:rsidRPr="00150D7B">
              <w:rPr>
                <w:rFonts w:cs="Arial"/>
                <w:b/>
                <w:szCs w:val="24"/>
              </w:rPr>
              <w:t>Before Action Planning</w:t>
            </w:r>
            <w:r>
              <w:rPr>
                <w:rFonts w:cs="Arial"/>
                <w:b/>
                <w:szCs w:val="24"/>
              </w:rPr>
              <w:t xml:space="preserve"> </w:t>
            </w:r>
            <w:r w:rsidRPr="00150D7B">
              <w:rPr>
                <w:rFonts w:cs="Arial"/>
                <w:b/>
                <w:szCs w:val="24"/>
              </w:rPr>
              <w:t>and After Action Reviews templates</w:t>
            </w:r>
            <w:r>
              <w:rPr>
                <w:rFonts w:cs="Arial"/>
                <w:b/>
                <w:color w:val="000000"/>
                <w:szCs w:val="24"/>
              </w:rPr>
              <w:t xml:space="preserve"> (</w:t>
            </w:r>
            <w:r w:rsidRPr="00781074">
              <w:rPr>
                <w:rFonts w:cs="Arial"/>
                <w:b/>
                <w:color w:val="000000"/>
                <w:szCs w:val="24"/>
              </w:rPr>
              <w:t>BAP/ AAR</w:t>
            </w:r>
            <w:r>
              <w:rPr>
                <w:rFonts w:cs="Arial"/>
                <w:b/>
                <w:color w:val="000000"/>
                <w:szCs w:val="24"/>
              </w:rPr>
              <w:t>)</w:t>
            </w:r>
          </w:p>
        </w:tc>
        <w:tc>
          <w:tcPr>
            <w:tcW w:w="6095" w:type="dxa"/>
            <w:shd w:val="clear" w:color="auto" w:fill="auto"/>
          </w:tcPr>
          <w:p w:rsidR="009B04BF" w:rsidRPr="00781074" w:rsidRDefault="009B04BF" w:rsidP="009B04BF">
            <w:r w:rsidRPr="00D92362">
              <w:rPr>
                <w:rFonts w:cs="Arial"/>
              </w:rPr>
              <w:t xml:space="preserve">BAP and AARs </w:t>
            </w:r>
            <w:r>
              <w:rPr>
                <w:rFonts w:cs="Arial"/>
              </w:rPr>
              <w:t>are two simple tools designed to assist in the</w:t>
            </w:r>
            <w:r w:rsidRPr="00781074">
              <w:t xml:space="preserve"> preparation and execution of </w:t>
            </w:r>
            <w:r>
              <w:t xml:space="preserve">your </w:t>
            </w:r>
            <w:r w:rsidRPr="00781074">
              <w:t xml:space="preserve">change project, activities or tasks. </w:t>
            </w:r>
            <w:r>
              <w:t>They a</w:t>
            </w:r>
            <w:r w:rsidRPr="00781074">
              <w:t xml:space="preserve">lso </w:t>
            </w:r>
            <w:r>
              <w:t xml:space="preserve">assist </w:t>
            </w:r>
            <w:r w:rsidRPr="00781074">
              <w:t>to continuously review organisation and team’s performance in relation to change project, activities or tasks in order to identify and learn from successes and failures just in time.</w:t>
            </w:r>
          </w:p>
          <w:p w:rsidR="009B04BF" w:rsidRPr="00781074" w:rsidRDefault="009B04BF" w:rsidP="009B04BF">
            <w:pPr>
              <w:rPr>
                <w:rFonts w:cs="Arial"/>
                <w:color w:val="000000"/>
                <w:szCs w:val="24"/>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D331B7" w:rsidRDefault="009B04BF" w:rsidP="009B04BF">
            <w:pPr>
              <w:rPr>
                <w:b/>
              </w:rPr>
            </w:pPr>
            <w:r>
              <w:rPr>
                <w:rFonts w:cs="Arial"/>
                <w:b/>
                <w:color w:val="000000"/>
                <w:szCs w:val="24"/>
              </w:rPr>
              <w:t>Implementation I</w:t>
            </w:r>
            <w:r w:rsidRPr="00D331B7">
              <w:rPr>
                <w:rFonts w:cs="Arial"/>
                <w:b/>
                <w:color w:val="000000"/>
                <w:szCs w:val="24"/>
              </w:rPr>
              <w:t>ntentions</w:t>
            </w:r>
          </w:p>
        </w:tc>
        <w:tc>
          <w:tcPr>
            <w:tcW w:w="6095" w:type="dxa"/>
            <w:shd w:val="clear" w:color="auto" w:fill="auto"/>
          </w:tcPr>
          <w:p w:rsidR="009B04BF" w:rsidRDefault="009B04BF" w:rsidP="009B04BF">
            <w:pPr>
              <w:rPr>
                <w:rFonts w:cs="Arial"/>
                <w:color w:val="000000"/>
                <w:szCs w:val="24"/>
              </w:rPr>
            </w:pPr>
            <w:r>
              <w:rPr>
                <w:rFonts w:cs="Arial"/>
                <w:color w:val="000000"/>
                <w:szCs w:val="24"/>
              </w:rPr>
              <w:t>This tool simple tool is designed to assist</w:t>
            </w:r>
            <w:r w:rsidRPr="003E4355">
              <w:rPr>
                <w:rFonts w:cs="Arial"/>
                <w:color w:val="000000"/>
                <w:szCs w:val="24"/>
              </w:rPr>
              <w:t xml:space="preserve"> staff </w:t>
            </w:r>
            <w:r>
              <w:rPr>
                <w:rFonts w:cs="Arial"/>
                <w:color w:val="000000"/>
                <w:szCs w:val="24"/>
              </w:rPr>
              <w:t xml:space="preserve">to </w:t>
            </w:r>
            <w:r w:rsidRPr="003E4355">
              <w:rPr>
                <w:rFonts w:cs="Arial"/>
                <w:color w:val="000000"/>
                <w:szCs w:val="24"/>
              </w:rPr>
              <w:t xml:space="preserve">develop new habits that support a particular change. By using the tool staff can make a conscious effort to change the way they respond to certain situations rather than rely on their automatic responses. </w:t>
            </w:r>
          </w:p>
          <w:p w:rsidR="00961BA7" w:rsidRPr="00D331B7" w:rsidRDefault="00961BA7" w:rsidP="009B04BF">
            <w:pPr>
              <w:rPr>
                <w:rFonts w:cs="Arial"/>
                <w:color w:val="000000"/>
                <w:szCs w:val="24"/>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D331B7" w:rsidRDefault="009B04BF" w:rsidP="009B04BF">
            <w:pPr>
              <w:rPr>
                <w:rFonts w:cs="Arial"/>
                <w:b/>
                <w:color w:val="000000"/>
                <w:szCs w:val="24"/>
              </w:rPr>
            </w:pPr>
            <w:r>
              <w:rPr>
                <w:rFonts w:cs="Arial"/>
                <w:b/>
                <w:color w:val="000000"/>
                <w:szCs w:val="24"/>
              </w:rPr>
              <w:t>Maximising P</w:t>
            </w:r>
            <w:r w:rsidRPr="00D331B7">
              <w:rPr>
                <w:rFonts w:cs="Arial"/>
                <w:b/>
                <w:color w:val="000000"/>
                <w:szCs w:val="24"/>
              </w:rPr>
              <w:t>erformance</w:t>
            </w:r>
            <w:r>
              <w:rPr>
                <w:rFonts w:cs="Arial"/>
                <w:b/>
                <w:color w:val="000000"/>
                <w:szCs w:val="24"/>
              </w:rPr>
              <w:t xml:space="preserve"> Framework</w:t>
            </w:r>
          </w:p>
          <w:p w:rsidR="009B04BF" w:rsidRPr="00D331B7" w:rsidRDefault="009B04BF" w:rsidP="009B04BF"/>
        </w:tc>
        <w:tc>
          <w:tcPr>
            <w:tcW w:w="6095" w:type="dxa"/>
            <w:shd w:val="clear" w:color="auto" w:fill="auto"/>
          </w:tcPr>
          <w:p w:rsidR="009B04BF" w:rsidRDefault="009B04BF" w:rsidP="009B04BF">
            <w:pPr>
              <w:autoSpaceDE w:val="0"/>
              <w:autoSpaceDN w:val="0"/>
              <w:adjustRightInd w:val="0"/>
              <w:rPr>
                <w:rFonts w:cs="Arial"/>
                <w:szCs w:val="24"/>
              </w:rPr>
            </w:pPr>
            <w:r w:rsidRPr="000A6D22">
              <w:rPr>
                <w:rFonts w:cs="Arial"/>
                <w:szCs w:val="24"/>
              </w:rPr>
              <w:t xml:space="preserve">The </w:t>
            </w:r>
            <w:r>
              <w:rPr>
                <w:rFonts w:cs="Arial"/>
                <w:szCs w:val="24"/>
              </w:rPr>
              <w:t>framework provides managers, human resources and Change Leadership Committee advice on how</w:t>
            </w:r>
            <w:r w:rsidRPr="000A6D22">
              <w:rPr>
                <w:rFonts w:cs="Arial"/>
                <w:szCs w:val="24"/>
              </w:rPr>
              <w:t xml:space="preserve"> to embed a </w:t>
            </w:r>
            <w:r>
              <w:rPr>
                <w:rFonts w:cs="Arial"/>
                <w:szCs w:val="24"/>
              </w:rPr>
              <w:t xml:space="preserve">Maximising </w:t>
            </w:r>
            <w:r w:rsidRPr="000A6D22">
              <w:rPr>
                <w:rFonts w:cs="Arial"/>
                <w:szCs w:val="24"/>
              </w:rPr>
              <w:t xml:space="preserve">Performance </w:t>
            </w:r>
            <w:r>
              <w:rPr>
                <w:rFonts w:cs="Arial"/>
                <w:szCs w:val="24"/>
              </w:rPr>
              <w:t>Framework</w:t>
            </w:r>
            <w:r w:rsidRPr="000A6D22">
              <w:rPr>
                <w:rFonts w:cs="Arial"/>
                <w:szCs w:val="24"/>
              </w:rPr>
              <w:t xml:space="preserve"> </w:t>
            </w:r>
            <w:r>
              <w:rPr>
                <w:rFonts w:cs="Arial"/>
                <w:szCs w:val="24"/>
              </w:rPr>
              <w:t>that</w:t>
            </w:r>
            <w:r w:rsidRPr="000A6D22">
              <w:rPr>
                <w:rFonts w:cs="Arial"/>
                <w:szCs w:val="24"/>
              </w:rPr>
              <w:t xml:space="preserve"> is future focused and aligned with the objectives of the organisation. </w:t>
            </w:r>
          </w:p>
          <w:p w:rsidR="00961BA7" w:rsidRPr="00D331B7" w:rsidRDefault="00961BA7" w:rsidP="009B04BF">
            <w:pPr>
              <w:autoSpaceDE w:val="0"/>
              <w:autoSpaceDN w:val="0"/>
              <w:adjustRightInd w:val="0"/>
              <w:rPr>
                <w:rFonts w:cs="Arial"/>
                <w:color w:val="000000"/>
                <w:szCs w:val="24"/>
              </w:rPr>
            </w:pPr>
          </w:p>
        </w:tc>
      </w:tr>
      <w:tr w:rsidR="009B04BF" w:rsidTr="00781074">
        <w:tc>
          <w:tcPr>
            <w:tcW w:w="3487" w:type="dxa"/>
            <w:vMerge w:val="restart"/>
          </w:tcPr>
          <w:p w:rsidR="009B04BF" w:rsidRDefault="009B04BF" w:rsidP="009B04BF">
            <w:pPr>
              <w:rPr>
                <w:rFonts w:cs="Arial"/>
                <w:b/>
                <w:color w:val="000000"/>
                <w:szCs w:val="24"/>
              </w:rPr>
            </w:pPr>
          </w:p>
          <w:p w:rsidR="009B04BF" w:rsidRPr="0014385B" w:rsidRDefault="009B04BF" w:rsidP="009B04BF">
            <w:pPr>
              <w:rPr>
                <w:rFonts w:cs="Arial"/>
                <w:b/>
                <w:color w:val="000000"/>
                <w:szCs w:val="24"/>
              </w:rPr>
            </w:pPr>
            <w:r w:rsidRPr="0014385B">
              <w:rPr>
                <w:rFonts w:cs="Arial"/>
                <w:b/>
                <w:color w:val="000000"/>
                <w:szCs w:val="24"/>
              </w:rPr>
              <w:t>Embedding Change</w:t>
            </w:r>
          </w:p>
          <w:p w:rsidR="009B04BF" w:rsidRPr="00354DD8" w:rsidRDefault="009B04BF" w:rsidP="009B04BF">
            <w:pPr>
              <w:rPr>
                <w:rFonts w:cs="Arial"/>
                <w:b/>
                <w:color w:val="000000"/>
                <w:szCs w:val="24"/>
              </w:rPr>
            </w:pPr>
          </w:p>
        </w:tc>
        <w:tc>
          <w:tcPr>
            <w:tcW w:w="4588" w:type="dxa"/>
            <w:shd w:val="clear" w:color="auto" w:fill="auto"/>
          </w:tcPr>
          <w:p w:rsidR="009B04BF" w:rsidRPr="00D331B7" w:rsidRDefault="009B04BF" w:rsidP="009B04BF">
            <w:pPr>
              <w:rPr>
                <w:rFonts w:cs="Arial"/>
                <w:b/>
                <w:color w:val="000000"/>
                <w:szCs w:val="24"/>
              </w:rPr>
            </w:pPr>
            <w:r w:rsidRPr="009377DF">
              <w:rPr>
                <w:rFonts w:cs="Arial"/>
                <w:b/>
                <w:color w:val="000000"/>
                <w:szCs w:val="24"/>
              </w:rPr>
              <w:t>Continuous Improvement Ideas Submission Form</w:t>
            </w:r>
          </w:p>
          <w:p w:rsidR="009B04BF" w:rsidRPr="00D331B7" w:rsidRDefault="009B04BF" w:rsidP="009B04BF"/>
        </w:tc>
        <w:tc>
          <w:tcPr>
            <w:tcW w:w="6095" w:type="dxa"/>
            <w:shd w:val="clear" w:color="auto" w:fill="auto"/>
          </w:tcPr>
          <w:p w:rsidR="009B04BF" w:rsidRPr="00D331B7" w:rsidRDefault="009B04BF" w:rsidP="009B04BF">
            <w:r>
              <w:t>This is a</w:t>
            </w:r>
            <w:r w:rsidRPr="00D331B7">
              <w:t xml:space="preserve"> template for all stakeholders to identify and submit improvement ideas to support and embed a cultu</w:t>
            </w:r>
            <w:r>
              <w:t>re of quality and s</w:t>
            </w:r>
            <w:r w:rsidRPr="00D331B7">
              <w:t>afeguarding</w:t>
            </w:r>
            <w:r>
              <w:t>.</w:t>
            </w:r>
          </w:p>
          <w:p w:rsidR="009B04BF" w:rsidRPr="00D331B7" w:rsidRDefault="009B04BF" w:rsidP="009B04BF">
            <w:pPr>
              <w:rPr>
                <w:rFonts w:cs="Arial"/>
                <w:color w:val="000000"/>
                <w:szCs w:val="24"/>
              </w:rPr>
            </w:pPr>
          </w:p>
        </w:tc>
      </w:tr>
      <w:tr w:rsidR="009B04BF" w:rsidTr="00781074">
        <w:tc>
          <w:tcPr>
            <w:tcW w:w="3487" w:type="dxa"/>
            <w:vMerge/>
          </w:tcPr>
          <w:p w:rsidR="009B04BF" w:rsidRPr="00354DD8" w:rsidRDefault="009B04BF" w:rsidP="009B04BF">
            <w:pPr>
              <w:rPr>
                <w:rFonts w:cs="Arial"/>
                <w:b/>
                <w:color w:val="000000"/>
                <w:szCs w:val="24"/>
              </w:rPr>
            </w:pPr>
          </w:p>
        </w:tc>
        <w:tc>
          <w:tcPr>
            <w:tcW w:w="4588" w:type="dxa"/>
            <w:shd w:val="clear" w:color="auto" w:fill="auto"/>
          </w:tcPr>
          <w:p w:rsidR="009B04BF" w:rsidRPr="00D331B7" w:rsidRDefault="009B04BF" w:rsidP="009B04BF">
            <w:pPr>
              <w:rPr>
                <w:rFonts w:cs="Arial"/>
                <w:b/>
                <w:color w:val="000000"/>
                <w:szCs w:val="24"/>
              </w:rPr>
            </w:pPr>
            <w:r>
              <w:rPr>
                <w:rFonts w:cs="Arial"/>
                <w:b/>
                <w:color w:val="000000"/>
                <w:szCs w:val="24"/>
              </w:rPr>
              <w:t>R</w:t>
            </w:r>
            <w:r w:rsidRPr="00D331B7">
              <w:rPr>
                <w:rFonts w:cs="Arial"/>
                <w:b/>
                <w:color w:val="000000"/>
                <w:szCs w:val="24"/>
              </w:rPr>
              <w:t>ecognition</w:t>
            </w:r>
            <w:r>
              <w:rPr>
                <w:rFonts w:cs="Arial"/>
                <w:b/>
                <w:color w:val="000000"/>
                <w:szCs w:val="24"/>
              </w:rPr>
              <w:t xml:space="preserve"> and Rewards Roadm</w:t>
            </w:r>
            <w:r w:rsidRPr="00D331B7">
              <w:rPr>
                <w:rFonts w:cs="Arial"/>
                <w:b/>
                <w:color w:val="000000"/>
                <w:szCs w:val="24"/>
              </w:rPr>
              <w:t>ap</w:t>
            </w:r>
          </w:p>
          <w:p w:rsidR="009B04BF" w:rsidRPr="00601A74" w:rsidRDefault="009B04BF" w:rsidP="009B04BF">
            <w:pPr>
              <w:rPr>
                <w:highlight w:val="yellow"/>
              </w:rPr>
            </w:pPr>
          </w:p>
        </w:tc>
        <w:tc>
          <w:tcPr>
            <w:tcW w:w="6095" w:type="dxa"/>
            <w:shd w:val="clear" w:color="auto" w:fill="auto"/>
          </w:tcPr>
          <w:p w:rsidR="009B04BF" w:rsidRDefault="009B04BF" w:rsidP="009B04BF">
            <w:r>
              <w:t>This is a simple road</w:t>
            </w:r>
            <w:r w:rsidRPr="00781074">
              <w:t xml:space="preserve">map </w:t>
            </w:r>
            <w:r w:rsidRPr="00394B8C">
              <w:t>to help management teams develop a Recognition and Reward (R&amp;R) strategy, focused on timely low cost and high impact recognition to their employees to boost engagement and performance in pursuit of embedding the expected safeguarding culture.</w:t>
            </w:r>
          </w:p>
          <w:p w:rsidR="00961BA7" w:rsidRPr="00781074" w:rsidRDefault="00961BA7" w:rsidP="009B04BF">
            <w:pPr>
              <w:rPr>
                <w:rFonts w:cs="Arial"/>
                <w:color w:val="000000"/>
                <w:szCs w:val="24"/>
              </w:rPr>
            </w:pPr>
          </w:p>
        </w:tc>
      </w:tr>
    </w:tbl>
    <w:p w:rsidR="00D14342" w:rsidRDefault="00D14342"/>
    <w:sectPr w:rsidR="00D14342" w:rsidSect="00D1434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226"/>
    <w:multiLevelType w:val="hybridMultilevel"/>
    <w:tmpl w:val="42341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7A3FC6"/>
    <w:multiLevelType w:val="hybridMultilevel"/>
    <w:tmpl w:val="C2D03962"/>
    <w:lvl w:ilvl="0" w:tplc="AC803A90">
      <w:start w:val="1"/>
      <w:numFmt w:val="bullet"/>
      <w:lvlText w:val="•"/>
      <w:lvlJc w:val="left"/>
      <w:pPr>
        <w:tabs>
          <w:tab w:val="num" w:pos="720"/>
        </w:tabs>
        <w:ind w:left="720" w:hanging="360"/>
      </w:pPr>
      <w:rPr>
        <w:rFonts w:ascii="Arial" w:hAnsi="Arial" w:hint="default"/>
      </w:rPr>
    </w:lvl>
    <w:lvl w:ilvl="1" w:tplc="FAD8F3E4" w:tentative="1">
      <w:start w:val="1"/>
      <w:numFmt w:val="bullet"/>
      <w:lvlText w:val="•"/>
      <w:lvlJc w:val="left"/>
      <w:pPr>
        <w:tabs>
          <w:tab w:val="num" w:pos="1440"/>
        </w:tabs>
        <w:ind w:left="1440" w:hanging="360"/>
      </w:pPr>
      <w:rPr>
        <w:rFonts w:ascii="Arial" w:hAnsi="Arial" w:hint="default"/>
      </w:rPr>
    </w:lvl>
    <w:lvl w:ilvl="2" w:tplc="F9027ED6" w:tentative="1">
      <w:start w:val="1"/>
      <w:numFmt w:val="bullet"/>
      <w:lvlText w:val="•"/>
      <w:lvlJc w:val="left"/>
      <w:pPr>
        <w:tabs>
          <w:tab w:val="num" w:pos="2160"/>
        </w:tabs>
        <w:ind w:left="2160" w:hanging="360"/>
      </w:pPr>
      <w:rPr>
        <w:rFonts w:ascii="Arial" w:hAnsi="Arial" w:hint="default"/>
      </w:rPr>
    </w:lvl>
    <w:lvl w:ilvl="3" w:tplc="69A444D4" w:tentative="1">
      <w:start w:val="1"/>
      <w:numFmt w:val="bullet"/>
      <w:lvlText w:val="•"/>
      <w:lvlJc w:val="left"/>
      <w:pPr>
        <w:tabs>
          <w:tab w:val="num" w:pos="2880"/>
        </w:tabs>
        <w:ind w:left="2880" w:hanging="360"/>
      </w:pPr>
      <w:rPr>
        <w:rFonts w:ascii="Arial" w:hAnsi="Arial" w:hint="default"/>
      </w:rPr>
    </w:lvl>
    <w:lvl w:ilvl="4" w:tplc="0D78160A" w:tentative="1">
      <w:start w:val="1"/>
      <w:numFmt w:val="bullet"/>
      <w:lvlText w:val="•"/>
      <w:lvlJc w:val="left"/>
      <w:pPr>
        <w:tabs>
          <w:tab w:val="num" w:pos="3600"/>
        </w:tabs>
        <w:ind w:left="3600" w:hanging="360"/>
      </w:pPr>
      <w:rPr>
        <w:rFonts w:ascii="Arial" w:hAnsi="Arial" w:hint="default"/>
      </w:rPr>
    </w:lvl>
    <w:lvl w:ilvl="5" w:tplc="DD56C0B2" w:tentative="1">
      <w:start w:val="1"/>
      <w:numFmt w:val="bullet"/>
      <w:lvlText w:val="•"/>
      <w:lvlJc w:val="left"/>
      <w:pPr>
        <w:tabs>
          <w:tab w:val="num" w:pos="4320"/>
        </w:tabs>
        <w:ind w:left="4320" w:hanging="360"/>
      </w:pPr>
      <w:rPr>
        <w:rFonts w:ascii="Arial" w:hAnsi="Arial" w:hint="default"/>
      </w:rPr>
    </w:lvl>
    <w:lvl w:ilvl="6" w:tplc="F47CC00E" w:tentative="1">
      <w:start w:val="1"/>
      <w:numFmt w:val="bullet"/>
      <w:lvlText w:val="•"/>
      <w:lvlJc w:val="left"/>
      <w:pPr>
        <w:tabs>
          <w:tab w:val="num" w:pos="5040"/>
        </w:tabs>
        <w:ind w:left="5040" w:hanging="360"/>
      </w:pPr>
      <w:rPr>
        <w:rFonts w:ascii="Arial" w:hAnsi="Arial" w:hint="default"/>
      </w:rPr>
    </w:lvl>
    <w:lvl w:ilvl="7" w:tplc="52D42990" w:tentative="1">
      <w:start w:val="1"/>
      <w:numFmt w:val="bullet"/>
      <w:lvlText w:val="•"/>
      <w:lvlJc w:val="left"/>
      <w:pPr>
        <w:tabs>
          <w:tab w:val="num" w:pos="5760"/>
        </w:tabs>
        <w:ind w:left="5760" w:hanging="360"/>
      </w:pPr>
      <w:rPr>
        <w:rFonts w:ascii="Arial" w:hAnsi="Arial" w:hint="default"/>
      </w:rPr>
    </w:lvl>
    <w:lvl w:ilvl="8" w:tplc="BDAABC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4E7102"/>
    <w:multiLevelType w:val="hybridMultilevel"/>
    <w:tmpl w:val="73B43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E008D8"/>
    <w:multiLevelType w:val="hybridMultilevel"/>
    <w:tmpl w:val="0AFE1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A5A2D"/>
    <w:multiLevelType w:val="hybridMultilevel"/>
    <w:tmpl w:val="97448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3F2056D"/>
    <w:multiLevelType w:val="hybridMultilevel"/>
    <w:tmpl w:val="C67C4008"/>
    <w:lvl w:ilvl="0" w:tplc="00C2750C">
      <w:start w:val="1"/>
      <w:numFmt w:val="bullet"/>
      <w:lvlText w:val="•"/>
      <w:lvlJc w:val="left"/>
      <w:pPr>
        <w:tabs>
          <w:tab w:val="num" w:pos="720"/>
        </w:tabs>
        <w:ind w:left="720" w:hanging="360"/>
      </w:pPr>
      <w:rPr>
        <w:rFonts w:ascii="Arial" w:hAnsi="Arial" w:hint="default"/>
      </w:rPr>
    </w:lvl>
    <w:lvl w:ilvl="1" w:tplc="D876C368" w:tentative="1">
      <w:start w:val="1"/>
      <w:numFmt w:val="bullet"/>
      <w:lvlText w:val="•"/>
      <w:lvlJc w:val="left"/>
      <w:pPr>
        <w:tabs>
          <w:tab w:val="num" w:pos="1440"/>
        </w:tabs>
        <w:ind w:left="1440" w:hanging="360"/>
      </w:pPr>
      <w:rPr>
        <w:rFonts w:ascii="Arial" w:hAnsi="Arial" w:hint="default"/>
      </w:rPr>
    </w:lvl>
    <w:lvl w:ilvl="2" w:tplc="FBEACB3C" w:tentative="1">
      <w:start w:val="1"/>
      <w:numFmt w:val="bullet"/>
      <w:lvlText w:val="•"/>
      <w:lvlJc w:val="left"/>
      <w:pPr>
        <w:tabs>
          <w:tab w:val="num" w:pos="2160"/>
        </w:tabs>
        <w:ind w:left="2160" w:hanging="360"/>
      </w:pPr>
      <w:rPr>
        <w:rFonts w:ascii="Arial" w:hAnsi="Arial" w:hint="default"/>
      </w:rPr>
    </w:lvl>
    <w:lvl w:ilvl="3" w:tplc="6660C920" w:tentative="1">
      <w:start w:val="1"/>
      <w:numFmt w:val="bullet"/>
      <w:lvlText w:val="•"/>
      <w:lvlJc w:val="left"/>
      <w:pPr>
        <w:tabs>
          <w:tab w:val="num" w:pos="2880"/>
        </w:tabs>
        <w:ind w:left="2880" w:hanging="360"/>
      </w:pPr>
      <w:rPr>
        <w:rFonts w:ascii="Arial" w:hAnsi="Arial" w:hint="default"/>
      </w:rPr>
    </w:lvl>
    <w:lvl w:ilvl="4" w:tplc="4C604F7C" w:tentative="1">
      <w:start w:val="1"/>
      <w:numFmt w:val="bullet"/>
      <w:lvlText w:val="•"/>
      <w:lvlJc w:val="left"/>
      <w:pPr>
        <w:tabs>
          <w:tab w:val="num" w:pos="3600"/>
        </w:tabs>
        <w:ind w:left="3600" w:hanging="360"/>
      </w:pPr>
      <w:rPr>
        <w:rFonts w:ascii="Arial" w:hAnsi="Arial" w:hint="default"/>
      </w:rPr>
    </w:lvl>
    <w:lvl w:ilvl="5" w:tplc="A5E82818" w:tentative="1">
      <w:start w:val="1"/>
      <w:numFmt w:val="bullet"/>
      <w:lvlText w:val="•"/>
      <w:lvlJc w:val="left"/>
      <w:pPr>
        <w:tabs>
          <w:tab w:val="num" w:pos="4320"/>
        </w:tabs>
        <w:ind w:left="4320" w:hanging="360"/>
      </w:pPr>
      <w:rPr>
        <w:rFonts w:ascii="Arial" w:hAnsi="Arial" w:hint="default"/>
      </w:rPr>
    </w:lvl>
    <w:lvl w:ilvl="6" w:tplc="62DC0220" w:tentative="1">
      <w:start w:val="1"/>
      <w:numFmt w:val="bullet"/>
      <w:lvlText w:val="•"/>
      <w:lvlJc w:val="left"/>
      <w:pPr>
        <w:tabs>
          <w:tab w:val="num" w:pos="5040"/>
        </w:tabs>
        <w:ind w:left="5040" w:hanging="360"/>
      </w:pPr>
      <w:rPr>
        <w:rFonts w:ascii="Arial" w:hAnsi="Arial" w:hint="default"/>
      </w:rPr>
    </w:lvl>
    <w:lvl w:ilvl="7" w:tplc="F8DCD6A8" w:tentative="1">
      <w:start w:val="1"/>
      <w:numFmt w:val="bullet"/>
      <w:lvlText w:val="•"/>
      <w:lvlJc w:val="left"/>
      <w:pPr>
        <w:tabs>
          <w:tab w:val="num" w:pos="5760"/>
        </w:tabs>
        <w:ind w:left="5760" w:hanging="360"/>
      </w:pPr>
      <w:rPr>
        <w:rFonts w:ascii="Arial" w:hAnsi="Arial" w:hint="default"/>
      </w:rPr>
    </w:lvl>
    <w:lvl w:ilvl="8" w:tplc="900CC0A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4F566C"/>
    <w:multiLevelType w:val="hybridMultilevel"/>
    <w:tmpl w:val="5EBE2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FDB3C3B"/>
    <w:multiLevelType w:val="hybridMultilevel"/>
    <w:tmpl w:val="A4306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42"/>
    <w:rsid w:val="000E2A05"/>
    <w:rsid w:val="0014385B"/>
    <w:rsid w:val="00150D7B"/>
    <w:rsid w:val="001C5193"/>
    <w:rsid w:val="00223609"/>
    <w:rsid w:val="00242A3E"/>
    <w:rsid w:val="00354DD8"/>
    <w:rsid w:val="00361AF1"/>
    <w:rsid w:val="00394B8C"/>
    <w:rsid w:val="003A29F3"/>
    <w:rsid w:val="003E4355"/>
    <w:rsid w:val="004012D7"/>
    <w:rsid w:val="0049757C"/>
    <w:rsid w:val="004D05FC"/>
    <w:rsid w:val="004E2F6C"/>
    <w:rsid w:val="004F539B"/>
    <w:rsid w:val="00585D72"/>
    <w:rsid w:val="00601A74"/>
    <w:rsid w:val="00617F78"/>
    <w:rsid w:val="00640E4B"/>
    <w:rsid w:val="00641340"/>
    <w:rsid w:val="006806FE"/>
    <w:rsid w:val="007537C5"/>
    <w:rsid w:val="00781074"/>
    <w:rsid w:val="009377DF"/>
    <w:rsid w:val="0094653A"/>
    <w:rsid w:val="00961BA7"/>
    <w:rsid w:val="009B04BF"/>
    <w:rsid w:val="009B2314"/>
    <w:rsid w:val="009C44B1"/>
    <w:rsid w:val="009E5DC9"/>
    <w:rsid w:val="00A65EB8"/>
    <w:rsid w:val="00B43AE0"/>
    <w:rsid w:val="00B5027B"/>
    <w:rsid w:val="00B86BEB"/>
    <w:rsid w:val="00BD5A4E"/>
    <w:rsid w:val="00CB7E8D"/>
    <w:rsid w:val="00CE58ED"/>
    <w:rsid w:val="00CF2C24"/>
    <w:rsid w:val="00CF497C"/>
    <w:rsid w:val="00D14342"/>
    <w:rsid w:val="00D331B7"/>
    <w:rsid w:val="00E712E3"/>
    <w:rsid w:val="00F1494F"/>
    <w:rsid w:val="00F332F1"/>
    <w:rsid w:val="00F7621F"/>
    <w:rsid w:val="00FA4DDD"/>
    <w:rsid w:val="00FE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53739-80C6-42CC-8B43-BBE280DC9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4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342"/>
    <w:rPr>
      <w:color w:val="0563C1"/>
      <w:u w:val="single"/>
    </w:rPr>
  </w:style>
  <w:style w:type="table" w:styleId="TableGrid">
    <w:name w:val="Table Grid"/>
    <w:basedOn w:val="TableNormal"/>
    <w:uiPriority w:val="39"/>
    <w:rsid w:val="00D14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57C"/>
    <w:pPr>
      <w:spacing w:after="0" w:line="240" w:lineRule="auto"/>
      <w:ind w:left="720"/>
      <w:contextualSpacing/>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2323">
      <w:bodyDiv w:val="1"/>
      <w:marLeft w:val="0"/>
      <w:marRight w:val="0"/>
      <w:marTop w:val="0"/>
      <w:marBottom w:val="0"/>
      <w:divBdr>
        <w:top w:val="none" w:sz="0" w:space="0" w:color="auto"/>
        <w:left w:val="none" w:sz="0" w:space="0" w:color="auto"/>
        <w:bottom w:val="none" w:sz="0" w:space="0" w:color="auto"/>
        <w:right w:val="none" w:sz="0" w:space="0" w:color="auto"/>
      </w:divBdr>
    </w:div>
    <w:div w:id="484051100">
      <w:bodyDiv w:val="1"/>
      <w:marLeft w:val="0"/>
      <w:marRight w:val="0"/>
      <w:marTop w:val="0"/>
      <w:marBottom w:val="0"/>
      <w:divBdr>
        <w:top w:val="none" w:sz="0" w:space="0" w:color="auto"/>
        <w:left w:val="none" w:sz="0" w:space="0" w:color="auto"/>
        <w:bottom w:val="none" w:sz="0" w:space="0" w:color="auto"/>
        <w:right w:val="none" w:sz="0" w:space="0" w:color="auto"/>
      </w:divBdr>
      <w:divsChild>
        <w:div w:id="1253705329">
          <w:marLeft w:val="446"/>
          <w:marRight w:val="0"/>
          <w:marTop w:val="0"/>
          <w:marBottom w:val="0"/>
          <w:divBdr>
            <w:top w:val="none" w:sz="0" w:space="0" w:color="auto"/>
            <w:left w:val="none" w:sz="0" w:space="0" w:color="auto"/>
            <w:bottom w:val="none" w:sz="0" w:space="0" w:color="auto"/>
            <w:right w:val="none" w:sz="0" w:space="0" w:color="auto"/>
          </w:divBdr>
        </w:div>
      </w:divsChild>
    </w:div>
    <w:div w:id="581834698">
      <w:bodyDiv w:val="1"/>
      <w:marLeft w:val="0"/>
      <w:marRight w:val="0"/>
      <w:marTop w:val="0"/>
      <w:marBottom w:val="0"/>
      <w:divBdr>
        <w:top w:val="none" w:sz="0" w:space="0" w:color="auto"/>
        <w:left w:val="none" w:sz="0" w:space="0" w:color="auto"/>
        <w:bottom w:val="none" w:sz="0" w:space="0" w:color="auto"/>
        <w:right w:val="none" w:sz="0" w:space="0" w:color="auto"/>
      </w:divBdr>
    </w:div>
    <w:div w:id="639262907">
      <w:bodyDiv w:val="1"/>
      <w:marLeft w:val="0"/>
      <w:marRight w:val="0"/>
      <w:marTop w:val="0"/>
      <w:marBottom w:val="0"/>
      <w:divBdr>
        <w:top w:val="none" w:sz="0" w:space="0" w:color="auto"/>
        <w:left w:val="none" w:sz="0" w:space="0" w:color="auto"/>
        <w:bottom w:val="none" w:sz="0" w:space="0" w:color="auto"/>
        <w:right w:val="none" w:sz="0" w:space="0" w:color="auto"/>
      </w:divBdr>
    </w:div>
    <w:div w:id="1717974766">
      <w:bodyDiv w:val="1"/>
      <w:marLeft w:val="0"/>
      <w:marRight w:val="0"/>
      <w:marTop w:val="0"/>
      <w:marBottom w:val="0"/>
      <w:divBdr>
        <w:top w:val="none" w:sz="0" w:space="0" w:color="auto"/>
        <w:left w:val="none" w:sz="0" w:space="0" w:color="auto"/>
        <w:bottom w:val="none" w:sz="0" w:space="0" w:color="auto"/>
        <w:right w:val="none" w:sz="0" w:space="0" w:color="auto"/>
      </w:divBdr>
      <w:divsChild>
        <w:div w:id="1158307222">
          <w:marLeft w:val="446"/>
          <w:marRight w:val="0"/>
          <w:marTop w:val="0"/>
          <w:marBottom w:val="0"/>
          <w:divBdr>
            <w:top w:val="none" w:sz="0" w:space="0" w:color="auto"/>
            <w:left w:val="none" w:sz="0" w:space="0" w:color="auto"/>
            <w:bottom w:val="none" w:sz="0" w:space="0" w:color="auto"/>
            <w:right w:val="none" w:sz="0" w:space="0" w:color="auto"/>
          </w:divBdr>
        </w:div>
      </w:divsChild>
    </w:div>
    <w:div w:id="17565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C31851BD.dotm</Template>
  <TotalTime>66</TotalTime>
  <Pages>5</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Pratts-Hincks</dc:creator>
  <cp:keywords/>
  <dc:description/>
  <cp:lastModifiedBy>Ariane Casareo</cp:lastModifiedBy>
  <cp:revision>5</cp:revision>
  <dcterms:created xsi:type="dcterms:W3CDTF">2019-02-05T06:07:00Z</dcterms:created>
  <dcterms:modified xsi:type="dcterms:W3CDTF">2019-02-06T05:46:00Z</dcterms:modified>
</cp:coreProperties>
</file>