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6B1F" w14:textId="4229B1A9" w:rsidR="00684159" w:rsidRPr="006C228A" w:rsidRDefault="00636187" w:rsidP="00281194">
      <w:pPr>
        <w:pStyle w:val="Heading1"/>
        <w:rPr>
          <w:b w:val="0"/>
        </w:rPr>
      </w:pPr>
      <w:r>
        <w:t>Safer Services Infographic</w:t>
      </w:r>
    </w:p>
    <w:p w14:paraId="0D4589C6" w14:textId="77777777" w:rsidR="00DA08F3" w:rsidRDefault="00636187" w:rsidP="00636187">
      <w:pPr>
        <w:spacing w:before="240"/>
      </w:pPr>
      <w:r>
        <w:t xml:space="preserve">The Safer Services Infographic is a visual representation of the elements of the Safer Services Toolkit. </w:t>
      </w:r>
      <w:r w:rsidR="00DA08F3">
        <w:t>Which includes:</w:t>
      </w:r>
    </w:p>
    <w:p w14:paraId="6FE93113" w14:textId="77777777" w:rsidR="00DA08F3" w:rsidRDefault="00636187" w:rsidP="00DA08F3">
      <w:pPr>
        <w:pStyle w:val="ListParagraph"/>
        <w:numPr>
          <w:ilvl w:val="0"/>
          <w:numId w:val="4"/>
        </w:numPr>
        <w:spacing w:before="240"/>
      </w:pPr>
      <w:r>
        <w:t>the Safer Services Plan</w:t>
      </w:r>
    </w:p>
    <w:p w14:paraId="7DD501F9" w14:textId="660F8CB8" w:rsidR="00E15C97" w:rsidRDefault="00636187" w:rsidP="00DA08F3">
      <w:pPr>
        <w:pStyle w:val="ListParagraph"/>
        <w:numPr>
          <w:ilvl w:val="0"/>
          <w:numId w:val="4"/>
        </w:numPr>
        <w:spacing w:before="240"/>
      </w:pPr>
      <w:r>
        <w:t>Developmental tools: Talking About Safeguarding, Key Conversations and Values Based Practice Re</w:t>
      </w:r>
      <w:r w:rsidR="00DA08F3">
        <w:t>flection and Action</w:t>
      </w:r>
    </w:p>
    <w:p w14:paraId="52D751A1" w14:textId="5481DFAE" w:rsidR="00DA08F3" w:rsidRDefault="00DA08F3" w:rsidP="00DA08F3">
      <w:pPr>
        <w:pStyle w:val="ListParagraph"/>
        <w:numPr>
          <w:ilvl w:val="0"/>
          <w:numId w:val="4"/>
        </w:numPr>
        <w:spacing w:before="240"/>
      </w:pPr>
      <w:r>
        <w:t>Preventative tools: Organisational Health Check, Safeguarding Meeting Kit and Policy Development Checklist</w:t>
      </w:r>
    </w:p>
    <w:p w14:paraId="156EFCB7" w14:textId="1177D565" w:rsidR="00DA08F3" w:rsidRDefault="00DA08F3" w:rsidP="00DA08F3">
      <w:pPr>
        <w:pStyle w:val="ListParagraph"/>
        <w:numPr>
          <w:ilvl w:val="0"/>
          <w:numId w:val="4"/>
        </w:numPr>
        <w:spacing w:before="240"/>
      </w:pPr>
      <w:r>
        <w:t>Corrective tools: Responding to Initial Concerns, Investigations Workbook and Debriefing Tool</w:t>
      </w:r>
    </w:p>
    <w:p w14:paraId="3D4244A8" w14:textId="0EF04ED6" w:rsidR="00DA08F3" w:rsidRDefault="00DA08F3" w:rsidP="00DA08F3">
      <w:pPr>
        <w:pStyle w:val="ListParagraph"/>
        <w:numPr>
          <w:ilvl w:val="0"/>
          <w:numId w:val="4"/>
        </w:numPr>
        <w:spacing w:before="240"/>
      </w:pPr>
      <w:r>
        <w:t>Change Readiness stages: Preparing for Change, Making Change and Embedding Change</w:t>
      </w:r>
    </w:p>
    <w:p w14:paraId="6C0B7765" w14:textId="42093980" w:rsidR="00DA08F3" w:rsidRPr="00636187" w:rsidRDefault="00DA08F3" w:rsidP="00DA08F3">
      <w:pPr>
        <w:spacing w:before="240"/>
      </w:pPr>
      <w:r>
        <w:t xml:space="preserve">The </w:t>
      </w:r>
      <w:hyperlink r:id="rId7" w:history="1">
        <w:r w:rsidRPr="00D7195E">
          <w:rPr>
            <w:rStyle w:val="Hyperlink"/>
          </w:rPr>
          <w:t>Safer Services Toolkit</w:t>
        </w:r>
      </w:hyperlink>
      <w:bookmarkStart w:id="0" w:name="_GoBack"/>
      <w:bookmarkEnd w:id="0"/>
      <w:r>
        <w:t xml:space="preserve"> is available on the NDS website.</w:t>
      </w:r>
    </w:p>
    <w:sectPr w:rsidR="00DA08F3" w:rsidRPr="0063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486CB" w14:textId="77777777" w:rsidR="00636187" w:rsidRDefault="00636187" w:rsidP="00281194">
      <w:pPr>
        <w:spacing w:before="0"/>
      </w:pPr>
      <w:r>
        <w:separator/>
      </w:r>
    </w:p>
  </w:endnote>
  <w:endnote w:type="continuationSeparator" w:id="0">
    <w:p w14:paraId="051D9D46" w14:textId="77777777" w:rsidR="00636187" w:rsidRDefault="00636187" w:rsidP="002811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43B5" w14:textId="77777777" w:rsidR="00636187" w:rsidRDefault="00636187" w:rsidP="00281194">
      <w:pPr>
        <w:spacing w:before="0"/>
      </w:pPr>
      <w:r>
        <w:separator/>
      </w:r>
    </w:p>
  </w:footnote>
  <w:footnote w:type="continuationSeparator" w:id="0">
    <w:p w14:paraId="27977CB1" w14:textId="77777777" w:rsidR="00636187" w:rsidRDefault="00636187" w:rsidP="002811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8D3"/>
    <w:multiLevelType w:val="hybridMultilevel"/>
    <w:tmpl w:val="DE1C57E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4E335F1"/>
    <w:multiLevelType w:val="hybridMultilevel"/>
    <w:tmpl w:val="18409A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D104E"/>
    <w:multiLevelType w:val="hybridMultilevel"/>
    <w:tmpl w:val="590A4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E1328"/>
    <w:multiLevelType w:val="hybridMultilevel"/>
    <w:tmpl w:val="46929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7"/>
    <w:rsid w:val="00281194"/>
    <w:rsid w:val="002C5616"/>
    <w:rsid w:val="00576957"/>
    <w:rsid w:val="0060127C"/>
    <w:rsid w:val="00636187"/>
    <w:rsid w:val="00684159"/>
    <w:rsid w:val="006C228A"/>
    <w:rsid w:val="006F42ED"/>
    <w:rsid w:val="00725693"/>
    <w:rsid w:val="00803984"/>
    <w:rsid w:val="008758A2"/>
    <w:rsid w:val="00A21BB3"/>
    <w:rsid w:val="00A62D0F"/>
    <w:rsid w:val="00B913D6"/>
    <w:rsid w:val="00D26C11"/>
    <w:rsid w:val="00D7195E"/>
    <w:rsid w:val="00DA08F3"/>
    <w:rsid w:val="00E15C97"/>
    <w:rsid w:val="00E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C3878C"/>
  <w15:docId w15:val="{792482EE-3CF3-40DB-A2EA-EC6FFE66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94"/>
    <w:pPr>
      <w:spacing w:before="120"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27C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27C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194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194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194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194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194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19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19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94"/>
  </w:style>
  <w:style w:type="paragraph" w:styleId="Footer">
    <w:name w:val="footer"/>
    <w:basedOn w:val="Normal"/>
    <w:link w:val="FooterChar"/>
    <w:uiPriority w:val="99"/>
    <w:unhideWhenUsed/>
    <w:rsid w:val="00281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94"/>
  </w:style>
  <w:style w:type="character" w:customStyle="1" w:styleId="Heading1Char">
    <w:name w:val="Heading 1 Char"/>
    <w:basedOn w:val="DefaultParagraphFont"/>
    <w:link w:val="Heading1"/>
    <w:uiPriority w:val="9"/>
    <w:rsid w:val="0060127C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27C"/>
    <w:rPr>
      <w:rFonts w:ascii="Arial" w:hAnsi="Arial"/>
      <w:b/>
      <w:color w:val="1B4171" w:themeColor="accent2" w:themeShade="80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194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194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194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194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194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19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19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19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1194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81194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19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8119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81194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28119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81194"/>
  </w:style>
  <w:style w:type="character" w:customStyle="1" w:styleId="NoSpacingChar">
    <w:name w:val="No Spacing Char"/>
    <w:basedOn w:val="DefaultParagraphFont"/>
    <w:link w:val="NoSpacing"/>
    <w:uiPriority w:val="1"/>
    <w:rsid w:val="00281194"/>
  </w:style>
  <w:style w:type="paragraph" w:styleId="Quote">
    <w:name w:val="Quote"/>
    <w:basedOn w:val="Normal"/>
    <w:next w:val="Normal"/>
    <w:link w:val="QuoteChar"/>
    <w:uiPriority w:val="29"/>
    <w:qFormat/>
    <w:rsid w:val="00281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1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194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194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81194"/>
    <w:rPr>
      <w:i/>
      <w:iCs/>
    </w:rPr>
  </w:style>
  <w:style w:type="character" w:styleId="IntenseEmphasis">
    <w:name w:val="Intense Emphasis"/>
    <w:uiPriority w:val="21"/>
    <w:qFormat/>
    <w:rsid w:val="0028119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81194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281194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281194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19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7195E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ds.org.au/zero-tolerance-framework/preventing-ab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461AE1F6.dotm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Pratts-Hincks</dc:creator>
  <cp:lastModifiedBy>Carmen Pratts-Hincks</cp:lastModifiedBy>
  <cp:revision>4</cp:revision>
  <dcterms:created xsi:type="dcterms:W3CDTF">2019-02-04T01:48:00Z</dcterms:created>
  <dcterms:modified xsi:type="dcterms:W3CDTF">2019-02-08T01:59:00Z</dcterms:modified>
</cp:coreProperties>
</file>