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C1" w:rsidRDefault="00470DC1" w:rsidP="0072129F">
      <w:pPr>
        <w:pStyle w:val="Heading2"/>
      </w:pPr>
      <w:bookmarkStart w:id="0" w:name="_Toc482707814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33B80E" wp14:editId="4A28D052">
            <wp:simplePos x="0" y="0"/>
            <wp:positionH relativeFrom="column">
              <wp:posOffset>4466590</wp:posOffset>
            </wp:positionH>
            <wp:positionV relativeFrom="paragraph">
              <wp:posOffset>-704472</wp:posOffset>
            </wp:positionV>
            <wp:extent cx="1268095" cy="445135"/>
            <wp:effectExtent l="0" t="0" r="8255" b="0"/>
            <wp:wrapNone/>
            <wp:docPr id="1" name="Picture 1" title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DC1">
        <w:t>Standard 6 procedure template</w:t>
      </w:r>
    </w:p>
    <w:p w:rsidR="00470DC1" w:rsidRPr="00470DC1" w:rsidRDefault="00470DC1" w:rsidP="00470DC1"/>
    <w:p w:rsidR="0072129F" w:rsidRPr="00470DC1" w:rsidRDefault="0072129F" w:rsidP="0072129F">
      <w:pPr>
        <w:pStyle w:val="Heading2"/>
        <w:rPr>
          <w:color w:val="0070C0"/>
        </w:rPr>
      </w:pPr>
      <w:r w:rsidRPr="00470DC1">
        <w:rPr>
          <w:color w:val="0070C0"/>
        </w:rPr>
        <w:t>Continuous improvement procedure</w:t>
      </w:r>
      <w:bookmarkEnd w:id="0"/>
      <w:r w:rsidRPr="00470DC1">
        <w:rPr>
          <w:color w:val="0070C0"/>
        </w:rPr>
        <w:t xml:space="preserve"> </w:t>
      </w:r>
    </w:p>
    <w:p w:rsidR="0072129F" w:rsidRDefault="0072129F" w:rsidP="00470DC1">
      <w:pPr>
        <w:spacing w:line="360" w:lineRule="auto"/>
        <w:ind w:right="-46"/>
        <w:rPr>
          <w:rFonts w:cs="Arial"/>
        </w:rPr>
      </w:pPr>
    </w:p>
    <w:p w:rsidR="0072129F" w:rsidRDefault="0072129F" w:rsidP="00470DC1">
      <w:pPr>
        <w:spacing w:line="360" w:lineRule="auto"/>
        <w:ind w:right="-46"/>
      </w:pPr>
      <w:r>
        <w:t xml:space="preserve">This procedure supports the implementation of </w:t>
      </w:r>
      <w:r w:rsidR="00A32CE7">
        <w:t xml:space="preserve">the </w:t>
      </w:r>
      <w:r>
        <w:t>continuous improvement policy and recognises the valu</w:t>
      </w:r>
      <w:r w:rsidR="00B40E00">
        <w:t>able role that people with disability</w:t>
      </w:r>
      <w:r w:rsidR="00F8238C">
        <w:t xml:space="preserve"> and</w:t>
      </w:r>
      <w:r w:rsidR="00F8238C" w:rsidRPr="00F8238C">
        <w:t xml:space="preserve"> </w:t>
      </w:r>
      <w:r w:rsidR="00F8238C">
        <w:t xml:space="preserve">staff </w:t>
      </w:r>
      <w:r>
        <w:t>play in improving services and outcomes.</w:t>
      </w:r>
    </w:p>
    <w:p w:rsidR="0072129F" w:rsidRDefault="0072129F" w:rsidP="00470DC1">
      <w:pPr>
        <w:spacing w:line="360" w:lineRule="auto"/>
        <w:ind w:right="-46"/>
      </w:pPr>
    </w:p>
    <w:p w:rsidR="0072129F" w:rsidRDefault="0072129F" w:rsidP="00470DC1">
      <w:pPr>
        <w:spacing w:line="360" w:lineRule="auto"/>
        <w:ind w:right="-46"/>
      </w:pPr>
      <w:r>
        <w:t xml:space="preserve">This procedure supports </w:t>
      </w:r>
      <w:r w:rsidRPr="00470DC1">
        <w:rPr>
          <w:b/>
          <w:color w:val="0070C0"/>
        </w:rPr>
        <w:t>[</w:t>
      </w:r>
      <w:r w:rsidR="00470DC1" w:rsidRPr="00470DC1">
        <w:rPr>
          <w:b/>
          <w:color w:val="0070C0"/>
        </w:rPr>
        <w:t>o</w:t>
      </w:r>
      <w:r w:rsidRPr="00470DC1">
        <w:rPr>
          <w:b/>
          <w:color w:val="0070C0"/>
        </w:rPr>
        <w:t>rganisation]</w:t>
      </w:r>
      <w:r>
        <w:t xml:space="preserve"> to apply the National Sta</w:t>
      </w:r>
      <w:r w:rsidR="00470DC1">
        <w:t xml:space="preserve">ndards for Disability Services, in particular </w:t>
      </w:r>
      <w:r>
        <w:t>Standard 6</w:t>
      </w:r>
      <w:r w:rsidR="00470DC1">
        <w:t>:</w:t>
      </w:r>
      <w:r>
        <w:t xml:space="preserve"> Service Management.</w:t>
      </w:r>
    </w:p>
    <w:p w:rsidR="0072129F" w:rsidRDefault="0072129F" w:rsidP="00470DC1">
      <w:pPr>
        <w:spacing w:line="360" w:lineRule="auto"/>
        <w:ind w:right="-46"/>
      </w:pPr>
    </w:p>
    <w:p w:rsidR="0072129F" w:rsidRDefault="0072129F" w:rsidP="00470DC1">
      <w:pPr>
        <w:spacing w:line="360" w:lineRule="auto"/>
        <w:ind w:right="-46"/>
        <w:rPr>
          <w:color w:val="FF0000"/>
        </w:rPr>
      </w:pPr>
      <w:r>
        <w:rPr>
          <w:b/>
        </w:rPr>
        <w:t>Planning and support</w:t>
      </w:r>
    </w:p>
    <w:p w:rsidR="0072129F" w:rsidRDefault="00B12119" w:rsidP="00470DC1">
      <w:pPr>
        <w:spacing w:line="360" w:lineRule="auto"/>
        <w:ind w:right="-46"/>
      </w:pPr>
      <w:r w:rsidRPr="00470DC1">
        <w:rPr>
          <w:b/>
          <w:color w:val="0070C0"/>
        </w:rPr>
        <w:t>[</w:t>
      </w:r>
      <w:r w:rsidR="00470DC1" w:rsidRPr="00470DC1">
        <w:rPr>
          <w:b/>
          <w:color w:val="0070C0"/>
        </w:rPr>
        <w:t>p</w:t>
      </w:r>
      <w:r w:rsidR="0072129F" w:rsidRPr="00470DC1">
        <w:rPr>
          <w:b/>
          <w:color w:val="0070C0"/>
        </w:rPr>
        <w:t>osition]</w:t>
      </w:r>
      <w:r w:rsidR="00CB2533">
        <w:t xml:space="preserve"> </w:t>
      </w:r>
      <w:r w:rsidR="0072129F">
        <w:t>analyse</w:t>
      </w:r>
      <w:r w:rsidR="00CB2533">
        <w:t>s</w:t>
      </w:r>
      <w:r w:rsidR="0072129F">
        <w:t xml:space="preserve"> internal and external environment</w:t>
      </w:r>
      <w:r w:rsidR="00470DC1">
        <w:t>s</w:t>
      </w:r>
      <w:r w:rsidR="0072129F">
        <w:t xml:space="preserve"> to understand the broader disability sector and contemporary services.</w:t>
      </w:r>
      <w:r w:rsidR="00470DC1">
        <w:t xml:space="preserve"> </w:t>
      </w:r>
      <w:r w:rsidR="0072129F">
        <w:t xml:space="preserve">This includes planned engagement with </w:t>
      </w:r>
      <w:r w:rsidR="00CB2533">
        <w:t xml:space="preserve">people with disability and </w:t>
      </w:r>
      <w:r w:rsidR="00470DC1">
        <w:t xml:space="preserve">other </w:t>
      </w:r>
      <w:r w:rsidR="00CB2533">
        <w:t xml:space="preserve">key </w:t>
      </w:r>
      <w:r w:rsidR="0072129F">
        <w:t xml:space="preserve">stakeholders to understand their needs and expectations and ensure a person-centred approach. </w:t>
      </w:r>
      <w:r w:rsidR="00A5376D">
        <w:t>Key s</w:t>
      </w:r>
      <w:r w:rsidR="0072129F">
        <w:t>takeholders can includ</w:t>
      </w:r>
      <w:r w:rsidR="00CB2533">
        <w:t>e staff,</w:t>
      </w:r>
      <w:r w:rsidR="0072129F">
        <w:t xml:space="preserve"> families, carers, guardians</w:t>
      </w:r>
      <w:r w:rsidR="00CB2533">
        <w:t>, advocates</w:t>
      </w:r>
      <w:r w:rsidR="0072129F">
        <w:t xml:space="preserve"> and other relevant parties as appropriate. </w:t>
      </w:r>
    </w:p>
    <w:p w:rsidR="0072129F" w:rsidRDefault="0072129F" w:rsidP="00470DC1">
      <w:pPr>
        <w:spacing w:line="360" w:lineRule="auto"/>
        <w:ind w:right="-46"/>
      </w:pPr>
    </w:p>
    <w:p w:rsidR="0072129F" w:rsidRDefault="0072129F" w:rsidP="00470DC1">
      <w:pPr>
        <w:spacing w:line="360" w:lineRule="auto"/>
        <w:ind w:right="-46"/>
      </w:pPr>
      <w:r w:rsidRPr="00470DC1">
        <w:rPr>
          <w:b/>
          <w:color w:val="0070C0"/>
        </w:rPr>
        <w:t>[</w:t>
      </w:r>
      <w:r w:rsidR="00470DC1" w:rsidRPr="00470DC1">
        <w:rPr>
          <w:b/>
          <w:color w:val="0070C0"/>
        </w:rPr>
        <w:t>o</w:t>
      </w:r>
      <w:r w:rsidRPr="00470DC1">
        <w:rPr>
          <w:b/>
          <w:color w:val="0070C0"/>
        </w:rPr>
        <w:t>rganisation]</w:t>
      </w:r>
      <w:r>
        <w:t xml:space="preserve"> uses a range of processes to proactively identify and recommend improvement opportunities including</w:t>
      </w:r>
      <w:r w:rsidR="00470DC1">
        <w:t>:</w:t>
      </w:r>
    </w:p>
    <w:p w:rsidR="0072129F" w:rsidRDefault="0072129F" w:rsidP="00470DC1">
      <w:pPr>
        <w:pStyle w:val="ListParagraph"/>
        <w:numPr>
          <w:ilvl w:val="0"/>
          <w:numId w:val="1"/>
        </w:numPr>
        <w:spacing w:after="5" w:line="360" w:lineRule="auto"/>
        <w:ind w:right="-46"/>
      </w:pPr>
      <w:r>
        <w:t>Strategic planning</w:t>
      </w:r>
    </w:p>
    <w:p w:rsidR="00470DC1" w:rsidRDefault="0072129F" w:rsidP="00470DC1">
      <w:pPr>
        <w:pStyle w:val="ListParagraph"/>
        <w:numPr>
          <w:ilvl w:val="0"/>
          <w:numId w:val="1"/>
        </w:numPr>
        <w:spacing w:after="5" w:line="360" w:lineRule="auto"/>
        <w:ind w:right="-46"/>
      </w:pPr>
      <w:r>
        <w:t>Organisational planning</w:t>
      </w:r>
    </w:p>
    <w:p w:rsidR="0072129F" w:rsidRDefault="0072129F" w:rsidP="00470DC1">
      <w:pPr>
        <w:pStyle w:val="ListParagraph"/>
        <w:numPr>
          <w:ilvl w:val="0"/>
          <w:numId w:val="1"/>
        </w:numPr>
        <w:spacing w:after="5" w:line="360" w:lineRule="auto"/>
        <w:ind w:right="-46"/>
      </w:pPr>
      <w:r>
        <w:t>Day-to-day service delivery and interaction with each other and with people with disability</w:t>
      </w:r>
      <w:r w:rsidR="00470DC1">
        <w:t>.</w:t>
      </w:r>
    </w:p>
    <w:p w:rsidR="00FA4FDF" w:rsidRDefault="00FA4FDF" w:rsidP="00470DC1">
      <w:pPr>
        <w:spacing w:after="5" w:line="360" w:lineRule="auto"/>
        <w:ind w:right="-46"/>
      </w:pPr>
    </w:p>
    <w:p w:rsidR="00FA4FDF" w:rsidRDefault="00FA4FDF" w:rsidP="00470DC1">
      <w:pPr>
        <w:spacing w:line="360" w:lineRule="auto"/>
        <w:ind w:right="-46"/>
        <w:rPr>
          <w:b/>
        </w:rPr>
      </w:pPr>
      <w:r>
        <w:rPr>
          <w:b/>
        </w:rPr>
        <w:t>Responsibility</w:t>
      </w:r>
    </w:p>
    <w:p w:rsidR="00FA4FDF" w:rsidRDefault="009E3D7D" w:rsidP="00470DC1">
      <w:pPr>
        <w:spacing w:line="360" w:lineRule="auto"/>
        <w:ind w:right="-46"/>
      </w:pPr>
      <w:r>
        <w:t>P</w:t>
      </w:r>
      <w:r w:rsidR="00FA4FDF">
        <w:t>eople with disability</w:t>
      </w:r>
      <w:r w:rsidR="00F630DC">
        <w:t>, families, carers, advocates</w:t>
      </w:r>
      <w:r>
        <w:t xml:space="preserve"> and all staff</w:t>
      </w:r>
      <w:r w:rsidR="00FA4FDF">
        <w:t xml:space="preserve"> are encouraged to speak up at any time and raise any concerns they have as well as provide th</w:t>
      </w:r>
      <w:r w:rsidR="00E132C3">
        <w:t xml:space="preserve">eir service improvement ideas </w:t>
      </w:r>
      <w:r w:rsidR="00470DC1">
        <w:t>on organisational</w:t>
      </w:r>
      <w:r w:rsidR="00E132C3">
        <w:t xml:space="preserve"> processes, procedures and systems.</w:t>
      </w:r>
    </w:p>
    <w:p w:rsidR="00FA4FDF" w:rsidRDefault="00FA4FDF" w:rsidP="00470DC1">
      <w:pPr>
        <w:spacing w:line="360" w:lineRule="auto"/>
        <w:ind w:right="-46"/>
      </w:pPr>
    </w:p>
    <w:p w:rsidR="00FA4FDF" w:rsidRDefault="00F8238C" w:rsidP="00470DC1">
      <w:pPr>
        <w:spacing w:line="360" w:lineRule="auto"/>
        <w:ind w:right="-46"/>
      </w:pPr>
      <w:r w:rsidRPr="00470DC1">
        <w:rPr>
          <w:b/>
          <w:color w:val="0070C0"/>
        </w:rPr>
        <w:t>[</w:t>
      </w:r>
      <w:r w:rsidR="00470DC1" w:rsidRPr="00470DC1">
        <w:rPr>
          <w:b/>
          <w:color w:val="0070C0"/>
        </w:rPr>
        <w:t>p</w:t>
      </w:r>
      <w:r w:rsidR="00FA4FDF" w:rsidRPr="00470DC1">
        <w:rPr>
          <w:b/>
          <w:color w:val="0070C0"/>
        </w:rPr>
        <w:t>osition]</w:t>
      </w:r>
      <w:r>
        <w:t xml:space="preserve"> is</w:t>
      </w:r>
      <w:r w:rsidR="00FA4FDF">
        <w:t xml:space="preserve"> responsible for the development of operational plans relevant to their area of responsibility. The development process should include deliberate effort to identify opportunities for improvement.</w:t>
      </w:r>
    </w:p>
    <w:p w:rsidR="00FA4FDF" w:rsidRDefault="00FA4FDF" w:rsidP="00470DC1">
      <w:pPr>
        <w:spacing w:line="360" w:lineRule="auto"/>
        <w:ind w:right="-46"/>
      </w:pPr>
    </w:p>
    <w:p w:rsidR="00FA4FDF" w:rsidRDefault="00FA4FDF" w:rsidP="00470DC1">
      <w:pPr>
        <w:spacing w:line="360" w:lineRule="auto"/>
        <w:ind w:right="-46"/>
      </w:pPr>
      <w:r w:rsidRPr="00470DC1">
        <w:rPr>
          <w:b/>
          <w:color w:val="0070C0"/>
        </w:rPr>
        <w:lastRenderedPageBreak/>
        <w:t>[posit</w:t>
      </w:r>
      <w:r w:rsidR="00810D80">
        <w:rPr>
          <w:b/>
          <w:color w:val="0070C0"/>
        </w:rPr>
        <w:t>i</w:t>
      </w:r>
      <w:r w:rsidRPr="00470DC1">
        <w:rPr>
          <w:b/>
          <w:color w:val="0070C0"/>
        </w:rPr>
        <w:t>on</w:t>
      </w:r>
      <w:r w:rsidR="00470DC1" w:rsidRPr="00470DC1">
        <w:rPr>
          <w:b/>
          <w:color w:val="0070C0"/>
        </w:rPr>
        <w:t>s</w:t>
      </w:r>
      <w:r w:rsidRPr="00470DC1">
        <w:rPr>
          <w:b/>
          <w:color w:val="0070C0"/>
        </w:rPr>
        <w:t>]</w:t>
      </w:r>
      <w:r>
        <w:t xml:space="preserve"> are </w:t>
      </w:r>
      <w:r w:rsidR="00FF7AB5">
        <w:t>responsible</w:t>
      </w:r>
      <w:r>
        <w:t xml:space="preserve"> for the development and implementation of </w:t>
      </w:r>
      <w:r w:rsidR="00470DC1">
        <w:t xml:space="preserve">the organisational </w:t>
      </w:r>
      <w:r>
        <w:t>continuous improvement plan</w:t>
      </w:r>
      <w:r w:rsidR="00470DC1">
        <w:t>.</w:t>
      </w:r>
      <w:r>
        <w:t xml:space="preserve"> </w:t>
      </w:r>
    </w:p>
    <w:p w:rsidR="0072129F" w:rsidRDefault="0072129F" w:rsidP="00470DC1">
      <w:pPr>
        <w:spacing w:line="360" w:lineRule="auto"/>
        <w:ind w:right="-46"/>
      </w:pPr>
    </w:p>
    <w:p w:rsidR="0072129F" w:rsidRDefault="0072129F" w:rsidP="00470DC1">
      <w:pPr>
        <w:spacing w:line="360" w:lineRule="auto"/>
        <w:ind w:right="-46"/>
      </w:pPr>
      <w:r>
        <w:rPr>
          <w:b/>
        </w:rPr>
        <w:t>Reporting</w:t>
      </w:r>
      <w:r>
        <w:t xml:space="preserve"> </w:t>
      </w:r>
    </w:p>
    <w:p w:rsidR="0072129F" w:rsidRDefault="0072129F" w:rsidP="00470DC1">
      <w:pPr>
        <w:spacing w:line="360" w:lineRule="auto"/>
        <w:ind w:right="-46"/>
      </w:pPr>
      <w:r w:rsidRPr="00470DC1">
        <w:rPr>
          <w:b/>
          <w:color w:val="0070C0"/>
        </w:rPr>
        <w:t>[</w:t>
      </w:r>
      <w:r w:rsidR="00470DC1" w:rsidRPr="00470DC1">
        <w:rPr>
          <w:b/>
          <w:color w:val="0070C0"/>
        </w:rPr>
        <w:t>o</w:t>
      </w:r>
      <w:r w:rsidRPr="00470DC1">
        <w:rPr>
          <w:b/>
          <w:color w:val="0070C0"/>
        </w:rPr>
        <w:t>rganisation]</w:t>
      </w:r>
      <w:r w:rsidR="006B653D">
        <w:t xml:space="preserve"> involves </w:t>
      </w:r>
      <w:r>
        <w:t>people with disability</w:t>
      </w:r>
      <w:r w:rsidR="006B653D">
        <w:t xml:space="preserve"> and staff</w:t>
      </w:r>
      <w:r>
        <w:t xml:space="preserve"> in formal quality evaluations and complies with all legal and contractual reporting requirements. This includes all quality system requirements such as Serious Incident </w:t>
      </w:r>
      <w:r w:rsidR="00470DC1">
        <w:t>R</w:t>
      </w:r>
      <w:r>
        <w:t>eporting</w:t>
      </w:r>
      <w:r w:rsidR="006B653D">
        <w:t>.</w:t>
      </w:r>
    </w:p>
    <w:p w:rsidR="0072129F" w:rsidRDefault="0072129F" w:rsidP="00470DC1">
      <w:pPr>
        <w:spacing w:line="360" w:lineRule="auto"/>
        <w:ind w:right="-46"/>
      </w:pPr>
    </w:p>
    <w:p w:rsidR="0072129F" w:rsidRDefault="0072129F" w:rsidP="00470DC1">
      <w:pPr>
        <w:spacing w:line="360" w:lineRule="auto"/>
        <w:ind w:right="-46"/>
      </w:pPr>
      <w:r>
        <w:t xml:space="preserve">The </w:t>
      </w:r>
      <w:r w:rsidR="00810D80">
        <w:t>c</w:t>
      </w:r>
      <w:r>
        <w:t>ontinuo</w:t>
      </w:r>
      <w:r w:rsidR="008E4A2D">
        <w:t xml:space="preserve">us </w:t>
      </w:r>
      <w:r w:rsidR="00810D80">
        <w:t>i</w:t>
      </w:r>
      <w:r w:rsidR="008E4A2D">
        <w:t xml:space="preserve">mprovement </w:t>
      </w:r>
      <w:r w:rsidR="00810D80">
        <w:t>p</w:t>
      </w:r>
      <w:r w:rsidR="008E4A2D">
        <w:t>lan is reviewed</w:t>
      </w:r>
      <w:r w:rsidR="00A13594">
        <w:t xml:space="preserve"> </w:t>
      </w:r>
      <w:r w:rsidR="00A13594" w:rsidRPr="00810D80">
        <w:rPr>
          <w:b/>
          <w:color w:val="0070C0"/>
        </w:rPr>
        <w:t>[frequency]</w:t>
      </w:r>
      <w:r>
        <w:t xml:space="preserve">. </w:t>
      </w:r>
      <w:r w:rsidR="00303B51" w:rsidRPr="00810D80">
        <w:rPr>
          <w:b/>
          <w:color w:val="0070C0"/>
        </w:rPr>
        <w:t>[</w:t>
      </w:r>
      <w:r w:rsidR="00810D80" w:rsidRPr="00810D80">
        <w:rPr>
          <w:b/>
          <w:color w:val="0070C0"/>
        </w:rPr>
        <w:t>p</w:t>
      </w:r>
      <w:r w:rsidR="00303B51" w:rsidRPr="00810D80">
        <w:rPr>
          <w:b/>
          <w:color w:val="0070C0"/>
        </w:rPr>
        <w:t>osition]</w:t>
      </w:r>
      <w:r w:rsidR="00303B51" w:rsidRPr="00810D80">
        <w:rPr>
          <w:color w:val="0070C0"/>
        </w:rPr>
        <w:t xml:space="preserve"> </w:t>
      </w:r>
      <w:r>
        <w:t>report</w:t>
      </w:r>
      <w:r w:rsidR="00303B51">
        <w:t>s</w:t>
      </w:r>
      <w:r>
        <w:t xml:space="preserve"> outcomes against the objectives and any key performance indicators included in the plan. </w:t>
      </w:r>
    </w:p>
    <w:p w:rsidR="0072129F" w:rsidRDefault="0072129F" w:rsidP="00470DC1">
      <w:pPr>
        <w:spacing w:line="360" w:lineRule="auto"/>
        <w:ind w:right="-46"/>
      </w:pPr>
      <w:bookmarkStart w:id="1" w:name="_GoBack"/>
      <w:bookmarkEnd w:id="1"/>
    </w:p>
    <w:p w:rsidR="0072129F" w:rsidRDefault="0072129F" w:rsidP="00470DC1">
      <w:pPr>
        <w:spacing w:line="360" w:lineRule="auto"/>
        <w:ind w:right="-46"/>
      </w:pPr>
      <w:r>
        <w:t>The Chief Executive Officer i</w:t>
      </w:r>
      <w:r w:rsidR="00470DC1">
        <w:t>s</w:t>
      </w:r>
      <w:r>
        <w:t xml:space="preserve"> responsible for reporting overall organisational i</w:t>
      </w:r>
      <w:r w:rsidR="0099421C">
        <w:t>mprovement to the Board</w:t>
      </w:r>
      <w:r>
        <w:t>.</w:t>
      </w:r>
    </w:p>
    <w:p w:rsidR="00FA4FDF" w:rsidRDefault="00FA4FDF" w:rsidP="00470DC1">
      <w:pPr>
        <w:spacing w:line="360" w:lineRule="auto"/>
        <w:ind w:right="-46"/>
      </w:pPr>
    </w:p>
    <w:p w:rsidR="00FA4FDF" w:rsidRDefault="00FA4FDF" w:rsidP="00470DC1">
      <w:pPr>
        <w:spacing w:line="360" w:lineRule="auto"/>
        <w:ind w:right="-46"/>
        <w:rPr>
          <w:b/>
          <w:color w:val="FF0000"/>
        </w:rPr>
      </w:pPr>
      <w:r>
        <w:rPr>
          <w:b/>
          <w:sz w:val="28"/>
        </w:rPr>
        <w:t xml:space="preserve">Review and evaluation </w:t>
      </w:r>
    </w:p>
    <w:p w:rsidR="00FA4FDF" w:rsidRDefault="00FA4FDF" w:rsidP="00470DC1">
      <w:pPr>
        <w:spacing w:line="360" w:lineRule="auto"/>
        <w:ind w:right="-46"/>
      </w:pPr>
      <w:r w:rsidRPr="00470DC1">
        <w:rPr>
          <w:b/>
          <w:color w:val="0070C0"/>
        </w:rPr>
        <w:t>[</w:t>
      </w:r>
      <w:r w:rsidR="00470DC1" w:rsidRPr="00470DC1">
        <w:rPr>
          <w:b/>
          <w:color w:val="0070C0"/>
        </w:rPr>
        <w:t>o</w:t>
      </w:r>
      <w:r w:rsidRPr="00470DC1">
        <w:rPr>
          <w:b/>
          <w:color w:val="0070C0"/>
        </w:rPr>
        <w:t>rganisation]</w:t>
      </w:r>
      <w:r>
        <w:t xml:space="preserve"> undertakes analysis and reporting of data and information to measure and evaluate performance against </w:t>
      </w:r>
      <w:r w:rsidR="00C83A27">
        <w:t>established goals</w:t>
      </w:r>
      <w:r>
        <w:t>. This includes regular audit activity to monitor and review performance and compliance with relevant standards and legislation as well as evaluate risks an</w:t>
      </w:r>
      <w:r w:rsidR="00874BEA">
        <w:t>d identify strategies required</w:t>
      </w:r>
      <w:r>
        <w:t>.</w:t>
      </w:r>
    </w:p>
    <w:p w:rsidR="00FA4FDF" w:rsidRDefault="00FA4FDF" w:rsidP="00470DC1">
      <w:pPr>
        <w:spacing w:line="360" w:lineRule="auto"/>
        <w:ind w:right="-46"/>
      </w:pPr>
    </w:p>
    <w:p w:rsidR="00FA4FDF" w:rsidRPr="00470DC1" w:rsidRDefault="00FA4FDF" w:rsidP="00470DC1">
      <w:pPr>
        <w:spacing w:line="360" w:lineRule="auto"/>
        <w:ind w:right="-46"/>
      </w:pPr>
      <w:r>
        <w:t>This includes:</w:t>
      </w:r>
    </w:p>
    <w:p w:rsidR="00FA4FDF" w:rsidRDefault="00FA4FDF" w:rsidP="00470DC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 xml:space="preserve">Gap analysis </w:t>
      </w:r>
    </w:p>
    <w:p w:rsidR="00FA4FDF" w:rsidRDefault="00FA4FDF" w:rsidP="00470DC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 xml:space="preserve">Complaints and feedback (formal or informal) including surveys </w:t>
      </w:r>
    </w:p>
    <w:p w:rsidR="00FA4FDF" w:rsidRPr="00470DC1" w:rsidRDefault="00FA4FDF" w:rsidP="00470DC1">
      <w:pPr>
        <w:pStyle w:val="ListParagraph"/>
        <w:numPr>
          <w:ilvl w:val="0"/>
          <w:numId w:val="2"/>
        </w:numPr>
        <w:spacing w:after="5" w:line="360" w:lineRule="auto"/>
        <w:ind w:right="-46"/>
        <w:rPr>
          <w:color w:val="000000"/>
        </w:rPr>
      </w:pPr>
      <w:r>
        <w:t xml:space="preserve">Accident and serious incident reports </w:t>
      </w:r>
    </w:p>
    <w:p w:rsidR="00FA4FDF" w:rsidRDefault="00FA4FDF" w:rsidP="00470DC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 xml:space="preserve">Annual quality self-assessment </w:t>
      </w:r>
    </w:p>
    <w:p w:rsidR="00FA4FDF" w:rsidRDefault="00FA4FDF" w:rsidP="00470DC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 xml:space="preserve">National Standards for Disability Services self-assessment </w:t>
      </w:r>
    </w:p>
    <w:p w:rsidR="00FA4FDF" w:rsidRDefault="00FA4FDF" w:rsidP="00470DC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 xml:space="preserve">Service or process mapping and audit </w:t>
      </w:r>
    </w:p>
    <w:p w:rsidR="00FA4FDF" w:rsidRDefault="00FA4FDF" w:rsidP="00470DC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 xml:space="preserve">Service reviews with people with disability </w:t>
      </w:r>
    </w:p>
    <w:p w:rsidR="00FA4FDF" w:rsidRDefault="00FA4FDF" w:rsidP="00470DC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>Staff exit interviews</w:t>
      </w:r>
    </w:p>
    <w:p w:rsidR="00FA4FDF" w:rsidRDefault="00FA4FDF" w:rsidP="00470DC1">
      <w:pPr>
        <w:pStyle w:val="ListParagraph"/>
        <w:numPr>
          <w:ilvl w:val="0"/>
          <w:numId w:val="2"/>
        </w:numPr>
        <w:spacing w:after="5" w:line="360" w:lineRule="auto"/>
        <w:ind w:right="-46"/>
      </w:pPr>
      <w:r>
        <w:t>Exit interviews for people with disability, families and carers</w:t>
      </w:r>
      <w:r w:rsidR="00470DC1">
        <w:t>.</w:t>
      </w:r>
    </w:p>
    <w:p w:rsidR="0072129F" w:rsidRDefault="0072129F" w:rsidP="00470DC1">
      <w:pPr>
        <w:spacing w:line="360" w:lineRule="auto"/>
        <w:ind w:right="-46"/>
      </w:pPr>
    </w:p>
    <w:p w:rsidR="0072129F" w:rsidRDefault="0072129F" w:rsidP="00470DC1">
      <w:pPr>
        <w:spacing w:line="360" w:lineRule="auto"/>
        <w:ind w:right="-46"/>
        <w:rPr>
          <w:b/>
        </w:rPr>
      </w:pPr>
      <w:r>
        <w:rPr>
          <w:b/>
        </w:rPr>
        <w:t xml:space="preserve">Key </w:t>
      </w:r>
      <w:r w:rsidR="00470DC1">
        <w:rPr>
          <w:b/>
        </w:rPr>
        <w:t>c</w:t>
      </w:r>
      <w:r>
        <w:rPr>
          <w:b/>
        </w:rPr>
        <w:t>ontact</w:t>
      </w:r>
    </w:p>
    <w:p w:rsidR="00470DC1" w:rsidRPr="00470DC1" w:rsidRDefault="00470DC1" w:rsidP="00470DC1">
      <w:pPr>
        <w:spacing w:line="360" w:lineRule="auto"/>
        <w:rPr>
          <w:rFonts w:eastAsia="Times New Roman" w:cs="Times New Roman"/>
          <w:szCs w:val="24"/>
        </w:rPr>
      </w:pPr>
      <w:r w:rsidRPr="00470DC1">
        <w:rPr>
          <w:rFonts w:eastAsia="Times New Roman" w:cs="Times New Roman"/>
          <w:szCs w:val="24"/>
        </w:rPr>
        <w:lastRenderedPageBreak/>
        <w:t xml:space="preserve">Questions about how to implement this procedure should be directed to </w:t>
      </w:r>
      <w:r w:rsidRPr="00470DC1">
        <w:rPr>
          <w:rFonts w:eastAsia="Times New Roman" w:cs="Times New Roman"/>
          <w:b/>
          <w:color w:val="0070C0"/>
          <w:szCs w:val="24"/>
        </w:rPr>
        <w:t>[position]</w:t>
      </w:r>
      <w:r w:rsidRPr="00470DC1">
        <w:rPr>
          <w:rFonts w:eastAsia="Times New Roman" w:cs="Times New Roman"/>
          <w:szCs w:val="24"/>
        </w:rPr>
        <w:t xml:space="preserve"> on </w:t>
      </w:r>
      <w:r w:rsidRPr="00470DC1">
        <w:rPr>
          <w:rFonts w:eastAsia="Times New Roman" w:cs="Times New Roman"/>
          <w:b/>
          <w:color w:val="0070C0"/>
          <w:szCs w:val="24"/>
        </w:rPr>
        <w:t>[email]</w:t>
      </w:r>
      <w:r w:rsidRPr="00470DC1">
        <w:rPr>
          <w:rFonts w:eastAsia="Times New Roman" w:cs="Times New Roman"/>
          <w:color w:val="0070C0"/>
          <w:szCs w:val="24"/>
        </w:rPr>
        <w:t xml:space="preserve"> </w:t>
      </w:r>
      <w:r w:rsidRPr="00470DC1">
        <w:rPr>
          <w:rFonts w:eastAsia="Times New Roman" w:cs="Times New Roman"/>
          <w:szCs w:val="24"/>
        </w:rPr>
        <w:t xml:space="preserve">or </w:t>
      </w:r>
      <w:r w:rsidRPr="00470DC1">
        <w:rPr>
          <w:rFonts w:eastAsia="Times New Roman" w:cs="Times New Roman"/>
          <w:b/>
          <w:color w:val="0070C0"/>
          <w:szCs w:val="24"/>
        </w:rPr>
        <w:t>[mobile phone]</w:t>
      </w:r>
      <w:r w:rsidRPr="00470DC1">
        <w:rPr>
          <w:rFonts w:eastAsia="Times New Roman" w:cs="Times New Roman"/>
          <w:szCs w:val="24"/>
        </w:rPr>
        <w:t>.</w:t>
      </w:r>
    </w:p>
    <w:p w:rsidR="0072129F" w:rsidRDefault="0072129F" w:rsidP="00470DC1">
      <w:pPr>
        <w:spacing w:line="360" w:lineRule="auto"/>
        <w:ind w:right="-46"/>
      </w:pPr>
    </w:p>
    <w:p w:rsidR="0072129F" w:rsidRDefault="0072129F" w:rsidP="00470DC1">
      <w:pPr>
        <w:spacing w:line="360" w:lineRule="auto"/>
        <w:rPr>
          <w:b/>
          <w:szCs w:val="24"/>
        </w:rPr>
      </w:pPr>
      <w:r>
        <w:rPr>
          <w:b/>
          <w:szCs w:val="24"/>
        </w:rPr>
        <w:t>Approvals</w:t>
      </w:r>
    </w:p>
    <w:p w:rsidR="0072129F" w:rsidRDefault="0072129F" w:rsidP="00470DC1">
      <w:pPr>
        <w:spacing w:line="360" w:lineRule="auto"/>
        <w:rPr>
          <w:szCs w:val="24"/>
        </w:rPr>
      </w:pPr>
      <w:r>
        <w:rPr>
          <w:szCs w:val="24"/>
        </w:rPr>
        <w:t xml:space="preserve">Date of approval: </w:t>
      </w:r>
      <w:r w:rsidRPr="00470DC1">
        <w:rPr>
          <w:b/>
          <w:color w:val="0070C0"/>
          <w:szCs w:val="24"/>
        </w:rPr>
        <w:t>[insert date]</w:t>
      </w:r>
      <w:r>
        <w:rPr>
          <w:szCs w:val="24"/>
        </w:rPr>
        <w:t xml:space="preserve"> </w:t>
      </w:r>
    </w:p>
    <w:p w:rsidR="0072129F" w:rsidRDefault="0072129F" w:rsidP="00470DC1">
      <w:pPr>
        <w:spacing w:line="360" w:lineRule="auto"/>
        <w:rPr>
          <w:szCs w:val="24"/>
        </w:rPr>
      </w:pPr>
      <w:r>
        <w:rPr>
          <w:szCs w:val="24"/>
        </w:rPr>
        <w:t xml:space="preserve">Date of review: </w:t>
      </w:r>
      <w:r w:rsidRPr="00470DC1">
        <w:rPr>
          <w:b/>
          <w:color w:val="0070C0"/>
          <w:szCs w:val="24"/>
        </w:rPr>
        <w:t>[insert date]</w:t>
      </w:r>
    </w:p>
    <w:p w:rsidR="0072129F" w:rsidRDefault="0072129F" w:rsidP="00470DC1">
      <w:pPr>
        <w:spacing w:line="360" w:lineRule="auto"/>
        <w:rPr>
          <w:szCs w:val="24"/>
        </w:rPr>
      </w:pPr>
      <w:r>
        <w:rPr>
          <w:szCs w:val="24"/>
        </w:rPr>
        <w:t xml:space="preserve">Signature of CEO: </w:t>
      </w:r>
      <w:r w:rsidRPr="00470DC1">
        <w:rPr>
          <w:b/>
          <w:color w:val="0070C0"/>
          <w:szCs w:val="24"/>
        </w:rPr>
        <w:t>[insert signature]</w:t>
      </w:r>
    </w:p>
    <w:p w:rsidR="0072129F" w:rsidRDefault="0072129F" w:rsidP="0072129F">
      <w:pPr>
        <w:rPr>
          <w:color w:val="000000"/>
        </w:rPr>
      </w:pPr>
    </w:p>
    <w:p w:rsidR="004D05FC" w:rsidRDefault="004D05FC"/>
    <w:sectPr w:rsidR="004D05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C1" w:rsidRDefault="00470DC1" w:rsidP="00470DC1">
      <w:r>
        <w:separator/>
      </w:r>
    </w:p>
  </w:endnote>
  <w:endnote w:type="continuationSeparator" w:id="0">
    <w:p w:rsidR="00470DC1" w:rsidRDefault="00470DC1" w:rsidP="0047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90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0DC1" w:rsidRPr="00470DC1" w:rsidRDefault="00470DC1">
            <w:pPr>
              <w:pStyle w:val="Footer"/>
              <w:jc w:val="center"/>
            </w:pPr>
            <w:r w:rsidRPr="00470DC1">
              <w:t xml:space="preserve">Page </w:t>
            </w:r>
            <w:r w:rsidRPr="00470DC1">
              <w:rPr>
                <w:bCs/>
                <w:szCs w:val="24"/>
              </w:rPr>
              <w:fldChar w:fldCharType="begin"/>
            </w:r>
            <w:r w:rsidRPr="00470DC1">
              <w:rPr>
                <w:bCs/>
              </w:rPr>
              <w:instrText xml:space="preserve"> PAGE </w:instrText>
            </w:r>
            <w:r w:rsidRPr="00470DC1">
              <w:rPr>
                <w:bCs/>
                <w:szCs w:val="24"/>
              </w:rPr>
              <w:fldChar w:fldCharType="separate"/>
            </w:r>
            <w:r w:rsidR="00776153">
              <w:rPr>
                <w:bCs/>
                <w:noProof/>
              </w:rPr>
              <w:t>2</w:t>
            </w:r>
            <w:r w:rsidRPr="00470DC1">
              <w:rPr>
                <w:bCs/>
                <w:szCs w:val="24"/>
              </w:rPr>
              <w:fldChar w:fldCharType="end"/>
            </w:r>
            <w:r w:rsidRPr="00470DC1">
              <w:t xml:space="preserve"> of </w:t>
            </w:r>
            <w:r w:rsidRPr="00470DC1">
              <w:rPr>
                <w:bCs/>
                <w:szCs w:val="24"/>
              </w:rPr>
              <w:fldChar w:fldCharType="begin"/>
            </w:r>
            <w:r w:rsidRPr="00470DC1">
              <w:rPr>
                <w:bCs/>
              </w:rPr>
              <w:instrText xml:space="preserve"> NUMPAGES  </w:instrText>
            </w:r>
            <w:r w:rsidRPr="00470DC1">
              <w:rPr>
                <w:bCs/>
                <w:szCs w:val="24"/>
              </w:rPr>
              <w:fldChar w:fldCharType="separate"/>
            </w:r>
            <w:r w:rsidR="00776153">
              <w:rPr>
                <w:bCs/>
                <w:noProof/>
              </w:rPr>
              <w:t>3</w:t>
            </w:r>
            <w:r w:rsidRPr="00470DC1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470DC1" w:rsidRDefault="00470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C1" w:rsidRDefault="00470DC1" w:rsidP="00470DC1">
      <w:r>
        <w:separator/>
      </w:r>
    </w:p>
  </w:footnote>
  <w:footnote w:type="continuationSeparator" w:id="0">
    <w:p w:rsidR="00470DC1" w:rsidRDefault="00470DC1" w:rsidP="0047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3FA2"/>
    <w:multiLevelType w:val="hybridMultilevel"/>
    <w:tmpl w:val="A112A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8091E"/>
    <w:multiLevelType w:val="hybridMultilevel"/>
    <w:tmpl w:val="E3501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9F"/>
    <w:rsid w:val="000866D5"/>
    <w:rsid w:val="00131540"/>
    <w:rsid w:val="00303B51"/>
    <w:rsid w:val="00464084"/>
    <w:rsid w:val="00470DC1"/>
    <w:rsid w:val="004D05FC"/>
    <w:rsid w:val="006877B5"/>
    <w:rsid w:val="006B653D"/>
    <w:rsid w:val="0072129F"/>
    <w:rsid w:val="00776153"/>
    <w:rsid w:val="00810D80"/>
    <w:rsid w:val="00874BEA"/>
    <w:rsid w:val="008E4A2D"/>
    <w:rsid w:val="0099421C"/>
    <w:rsid w:val="009D6B0D"/>
    <w:rsid w:val="009E3D7D"/>
    <w:rsid w:val="00A13594"/>
    <w:rsid w:val="00A32CE7"/>
    <w:rsid w:val="00A51B98"/>
    <w:rsid w:val="00A5376D"/>
    <w:rsid w:val="00B12119"/>
    <w:rsid w:val="00B40E00"/>
    <w:rsid w:val="00B86BEB"/>
    <w:rsid w:val="00B92C34"/>
    <w:rsid w:val="00C83A27"/>
    <w:rsid w:val="00CB2533"/>
    <w:rsid w:val="00E132C3"/>
    <w:rsid w:val="00F3503E"/>
    <w:rsid w:val="00F630DC"/>
    <w:rsid w:val="00F8238C"/>
    <w:rsid w:val="00F86B75"/>
    <w:rsid w:val="00FA4FDF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68B6A-E704-4025-8131-1FDA6377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9F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29F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29F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721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D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C1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70D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C1"/>
    <w:rPr>
      <w:rFonts w:ascii="Arial" w:eastAsiaTheme="minorEastAsia" w:hAnsi="Arial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C1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217F03A.dotm</Template>
  <TotalTime>50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Pratts-Hincks</dc:creator>
  <cp:keywords/>
  <dc:description/>
  <cp:lastModifiedBy>Carmen Pratts-Hincks</cp:lastModifiedBy>
  <cp:revision>39</cp:revision>
  <dcterms:created xsi:type="dcterms:W3CDTF">2017-06-13T06:13:00Z</dcterms:created>
  <dcterms:modified xsi:type="dcterms:W3CDTF">2017-10-12T02:02:00Z</dcterms:modified>
</cp:coreProperties>
</file>