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8F" w:rsidRDefault="00D85492" w:rsidP="00965E77">
      <w:pPr>
        <w:pStyle w:val="Heading2"/>
      </w:pPr>
      <w:bookmarkStart w:id="0" w:name="_Toc482707813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0CD0AE" wp14:editId="48AE5C3B">
            <wp:simplePos x="0" y="0"/>
            <wp:positionH relativeFrom="column">
              <wp:posOffset>4485863</wp:posOffset>
            </wp:positionH>
            <wp:positionV relativeFrom="paragraph">
              <wp:posOffset>-694090</wp:posOffset>
            </wp:positionV>
            <wp:extent cx="1268095" cy="445135"/>
            <wp:effectExtent l="0" t="0" r="8255" b="0"/>
            <wp:wrapNone/>
            <wp:docPr id="1" name="Picture 1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8F" w:rsidRPr="0040438F">
        <w:t xml:space="preserve">Standard </w:t>
      </w:r>
      <w:r w:rsidR="0040438F">
        <w:t>6</w:t>
      </w:r>
      <w:r w:rsidR="0040438F" w:rsidRPr="0040438F">
        <w:t xml:space="preserve"> policy template</w:t>
      </w:r>
    </w:p>
    <w:p w:rsidR="0040438F" w:rsidRPr="0040438F" w:rsidRDefault="0040438F" w:rsidP="0040438F"/>
    <w:p w:rsidR="00965E77" w:rsidRPr="0040438F" w:rsidRDefault="00965E77" w:rsidP="00965E77">
      <w:pPr>
        <w:pStyle w:val="Heading2"/>
        <w:rPr>
          <w:rFonts w:eastAsia="Arial"/>
          <w:color w:val="0070C0"/>
        </w:rPr>
      </w:pPr>
      <w:r w:rsidRPr="0040438F">
        <w:rPr>
          <w:color w:val="0070C0"/>
        </w:rPr>
        <w:t>Continuous improvement policy</w:t>
      </w:r>
      <w:bookmarkEnd w:id="0"/>
      <w:r w:rsidRPr="0040438F">
        <w:rPr>
          <w:color w:val="0070C0"/>
        </w:rPr>
        <w:t xml:space="preserve"> </w:t>
      </w:r>
    </w:p>
    <w:p w:rsidR="00965E77" w:rsidRDefault="00965E77" w:rsidP="00965E77">
      <w:pPr>
        <w:ind w:right="-46"/>
        <w:rPr>
          <w:b/>
        </w:rPr>
      </w:pPr>
      <w:r>
        <w:rPr>
          <w:b/>
        </w:rPr>
        <w:tab/>
        <w:t xml:space="preserve"> </w:t>
      </w:r>
    </w:p>
    <w:p w:rsidR="00965E77" w:rsidRDefault="00965E77" w:rsidP="00F632F1">
      <w:pPr>
        <w:spacing w:line="360" w:lineRule="auto"/>
        <w:ind w:right="-45"/>
        <w:rPr>
          <w:b/>
        </w:rPr>
      </w:pPr>
      <w:r>
        <w:rPr>
          <w:b/>
        </w:rPr>
        <w:t xml:space="preserve">Policy statement </w:t>
      </w:r>
    </w:p>
    <w:p w:rsidR="00965E77" w:rsidRDefault="00965E77" w:rsidP="00F632F1">
      <w:pPr>
        <w:spacing w:line="360" w:lineRule="auto"/>
        <w:ind w:right="-45"/>
      </w:pPr>
      <w:r>
        <w:t xml:space="preserve">This policy supports </w:t>
      </w:r>
      <w:r w:rsidR="00F632F1" w:rsidRPr="00F632F1">
        <w:rPr>
          <w:b/>
          <w:color w:val="0070C0"/>
        </w:rPr>
        <w:t>[o</w:t>
      </w:r>
      <w:r w:rsidRPr="00F632F1">
        <w:rPr>
          <w:b/>
          <w:color w:val="0070C0"/>
        </w:rPr>
        <w:t>rganisation]</w:t>
      </w:r>
      <w:r>
        <w:t xml:space="preserve"> to apply the National Standards for Disability Services</w:t>
      </w:r>
      <w:r w:rsidR="00F632F1">
        <w:t>, in particular</w:t>
      </w:r>
      <w:r>
        <w:t xml:space="preserve"> Standard 6</w:t>
      </w:r>
      <w:r w:rsidR="00F632F1">
        <w:t>:</w:t>
      </w:r>
      <w:r>
        <w:t xml:space="preserve"> Service Management.</w:t>
      </w:r>
    </w:p>
    <w:p w:rsidR="00965E77" w:rsidRDefault="00965E77" w:rsidP="00F632F1">
      <w:pPr>
        <w:spacing w:line="360" w:lineRule="auto"/>
        <w:ind w:right="-46"/>
      </w:pPr>
    </w:p>
    <w:p w:rsidR="00965E77" w:rsidRDefault="00965E77" w:rsidP="00F632F1">
      <w:pPr>
        <w:spacing w:line="360" w:lineRule="auto"/>
        <w:ind w:right="-46"/>
      </w:pPr>
      <w:r w:rsidRPr="00F632F1">
        <w:rPr>
          <w:b/>
          <w:color w:val="0070C0"/>
        </w:rPr>
        <w:t>[</w:t>
      </w:r>
      <w:proofErr w:type="gramStart"/>
      <w:r w:rsidR="00F632F1" w:rsidRPr="00F632F1">
        <w:rPr>
          <w:b/>
          <w:color w:val="0070C0"/>
        </w:rPr>
        <w:t>o</w:t>
      </w:r>
      <w:r w:rsidRPr="00F632F1">
        <w:rPr>
          <w:b/>
          <w:color w:val="0070C0"/>
        </w:rPr>
        <w:t>rganisation</w:t>
      </w:r>
      <w:proofErr w:type="gramEnd"/>
      <w:r w:rsidRPr="00F632F1">
        <w:rPr>
          <w:b/>
          <w:color w:val="0070C0"/>
        </w:rPr>
        <w:t>]</w:t>
      </w:r>
      <w:r>
        <w:t xml:space="preserve"> is committed to c</w:t>
      </w:r>
      <w:r w:rsidR="00F632F1">
        <w:t xml:space="preserve">ontinuous service improvement. </w:t>
      </w:r>
      <w:r>
        <w:t>Continuous improvement requires a deliberate and sustained effort and a learning culture. It is</w:t>
      </w:r>
      <w:r w:rsidR="00C94A4E">
        <w:t xml:space="preserve"> results-driven with a focus </w:t>
      </w:r>
      <w:r>
        <w:t>not only on strengthen</w:t>
      </w:r>
      <w:r w:rsidR="00C94A4E">
        <w:t>ing</w:t>
      </w:r>
      <w:r>
        <w:t xml:space="preserve"> service delivery but also </w:t>
      </w:r>
      <w:r w:rsidR="00F632F1">
        <w:t xml:space="preserve">on </w:t>
      </w:r>
      <w:r>
        <w:t xml:space="preserve">individual outcomes.  </w:t>
      </w:r>
    </w:p>
    <w:p w:rsidR="00965E77" w:rsidRDefault="00965E77" w:rsidP="00F632F1">
      <w:pPr>
        <w:spacing w:line="360" w:lineRule="auto"/>
        <w:ind w:right="-46"/>
      </w:pPr>
      <w:r>
        <w:t xml:space="preserve"> </w:t>
      </w:r>
    </w:p>
    <w:p w:rsidR="00965E77" w:rsidRDefault="00965E77" w:rsidP="00F632F1">
      <w:pPr>
        <w:spacing w:line="360" w:lineRule="auto"/>
        <w:ind w:right="-46"/>
      </w:pPr>
      <w:r>
        <w:t xml:space="preserve">This policy guides the design and delivery of services and ensures </w:t>
      </w:r>
      <w:r w:rsidRPr="00F632F1">
        <w:rPr>
          <w:b/>
          <w:color w:val="0070C0"/>
        </w:rPr>
        <w:t>[</w:t>
      </w:r>
      <w:r w:rsidR="00F632F1" w:rsidRPr="00F632F1">
        <w:rPr>
          <w:b/>
          <w:color w:val="0070C0"/>
        </w:rPr>
        <w:t>o</w:t>
      </w:r>
      <w:r w:rsidRPr="00F632F1">
        <w:rPr>
          <w:b/>
          <w:color w:val="0070C0"/>
        </w:rPr>
        <w:t>rganisation]</w:t>
      </w:r>
      <w:r>
        <w:t xml:space="preserve"> maintain</w:t>
      </w:r>
      <w:r w:rsidR="00F738EB">
        <w:t>s</w:t>
      </w:r>
      <w:r>
        <w:t xml:space="preserve"> high standards, improve</w:t>
      </w:r>
      <w:r w:rsidR="00F738EB">
        <w:t>s</w:t>
      </w:r>
      <w:r>
        <w:t xml:space="preserve"> systems and processes, adapt</w:t>
      </w:r>
      <w:r w:rsidR="00F738EB">
        <w:t>s</w:t>
      </w:r>
      <w:r>
        <w:t xml:space="preserve"> to changing needs and demonstrate</w:t>
      </w:r>
      <w:r w:rsidR="00F738EB">
        <w:t>s</w:t>
      </w:r>
      <w:r>
        <w:t xml:space="preserve"> organisational improvement.</w:t>
      </w:r>
    </w:p>
    <w:p w:rsidR="00965E77" w:rsidRDefault="00965E77" w:rsidP="00F632F1">
      <w:pPr>
        <w:spacing w:line="360" w:lineRule="auto"/>
        <w:ind w:right="-46"/>
      </w:pPr>
    </w:p>
    <w:p w:rsidR="00965E77" w:rsidRDefault="00965E77" w:rsidP="00F632F1">
      <w:pPr>
        <w:spacing w:line="360" w:lineRule="auto"/>
        <w:ind w:right="-46"/>
        <w:rPr>
          <w:b/>
        </w:rPr>
      </w:pPr>
      <w:r>
        <w:rPr>
          <w:b/>
        </w:rPr>
        <w:t xml:space="preserve">Scope </w:t>
      </w:r>
    </w:p>
    <w:p w:rsidR="00965E77" w:rsidRDefault="00965E77" w:rsidP="00F632F1">
      <w:pPr>
        <w:spacing w:line="360" w:lineRule="auto"/>
        <w:ind w:right="-46"/>
      </w:pPr>
      <w:r>
        <w:t xml:space="preserve">All staff, whether permanent or casual, contractors, volunteers or business partners, are responsible for monitoring how well </w:t>
      </w:r>
      <w:r w:rsidR="00F632F1" w:rsidRPr="00F632F1">
        <w:rPr>
          <w:b/>
          <w:color w:val="0070C0"/>
        </w:rPr>
        <w:t>[organisation</w:t>
      </w:r>
      <w:r w:rsidR="00FD5735">
        <w:rPr>
          <w:b/>
          <w:color w:val="0070C0"/>
        </w:rPr>
        <w:t>’s</w:t>
      </w:r>
      <w:r w:rsidR="00F632F1" w:rsidRPr="00F632F1">
        <w:rPr>
          <w:b/>
          <w:color w:val="0070C0"/>
        </w:rPr>
        <w:t>]</w:t>
      </w:r>
      <w:r w:rsidR="00F632F1">
        <w:t xml:space="preserve"> </w:t>
      </w:r>
      <w:r>
        <w:t>services and supports are working.</w:t>
      </w:r>
    </w:p>
    <w:p w:rsidR="00965E77" w:rsidRDefault="00965E77" w:rsidP="00F632F1">
      <w:pPr>
        <w:spacing w:line="360" w:lineRule="auto"/>
        <w:ind w:right="-46"/>
      </w:pPr>
    </w:p>
    <w:p w:rsidR="00965E77" w:rsidRPr="00F632F1" w:rsidRDefault="00F632F1" w:rsidP="00F632F1">
      <w:pPr>
        <w:spacing w:line="360" w:lineRule="auto"/>
        <w:ind w:right="-46"/>
        <w:rPr>
          <w:b/>
        </w:rPr>
      </w:pPr>
      <w:r>
        <w:rPr>
          <w:b/>
        </w:rPr>
        <w:t xml:space="preserve">Principles </w:t>
      </w:r>
    </w:p>
    <w:p w:rsidR="00965E77" w:rsidRDefault="00965E77" w:rsidP="00F632F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>All services provided to people with disability</w:t>
      </w:r>
      <w:r w:rsidR="00F632F1">
        <w:t xml:space="preserve"> </w:t>
      </w:r>
      <w:r>
        <w:t xml:space="preserve">and all processes and procedures undertaken by staff are the best they can be.  </w:t>
      </w:r>
    </w:p>
    <w:p w:rsidR="00965E77" w:rsidRDefault="00965E77" w:rsidP="00F632F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 xml:space="preserve">Services are </w:t>
      </w:r>
      <w:r w:rsidR="00F632F1">
        <w:t>regularly</w:t>
      </w:r>
      <w:r>
        <w:t xml:space="preserve"> reviewed and measured for quality and effectiveness. </w:t>
      </w:r>
    </w:p>
    <w:p w:rsidR="00965E77" w:rsidRDefault="00965E77" w:rsidP="00F632F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 xml:space="preserve">Staff and people with disability are encouraged to </w:t>
      </w:r>
      <w:r w:rsidR="00F632F1">
        <w:t>provide feedback on how to improve service delivery</w:t>
      </w:r>
      <w:r>
        <w:t xml:space="preserve">. </w:t>
      </w:r>
    </w:p>
    <w:p w:rsidR="00965E77" w:rsidRDefault="00965E77" w:rsidP="00F632F1">
      <w:pPr>
        <w:pStyle w:val="ListParagraph"/>
        <w:numPr>
          <w:ilvl w:val="0"/>
          <w:numId w:val="2"/>
        </w:numPr>
        <w:spacing w:after="5" w:line="360" w:lineRule="auto"/>
        <w:ind w:right="-46"/>
        <w:rPr>
          <w:rFonts w:eastAsia="Arial" w:cs="Arial"/>
          <w:color w:val="000000"/>
          <w:szCs w:val="24"/>
        </w:rPr>
      </w:pPr>
      <w:r>
        <w:rPr>
          <w:rFonts w:eastAsia="Times New Roman"/>
          <w:szCs w:val="24"/>
          <w:lang w:val="en"/>
        </w:rPr>
        <w:t>People with disability should be involved in all decision-making processes that affect them.</w:t>
      </w:r>
    </w:p>
    <w:p w:rsidR="00965E77" w:rsidRDefault="00965E77" w:rsidP="00F632F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 xml:space="preserve">People with disability, family and carers </w:t>
      </w:r>
      <w:r w:rsidR="00F632F1">
        <w:t xml:space="preserve">can </w:t>
      </w:r>
      <w:r>
        <w:t xml:space="preserve">provide valuable insights </w:t>
      </w:r>
      <w:r w:rsidR="00F632F1">
        <w:t xml:space="preserve">about </w:t>
      </w:r>
      <w:r>
        <w:t>the effectiveness of services</w:t>
      </w:r>
      <w:r w:rsidR="00F632F1">
        <w:t xml:space="preserve">, highlight any gaps/or </w:t>
      </w:r>
      <w:r>
        <w:t>issues</w:t>
      </w:r>
      <w:r w:rsidR="00F632F1">
        <w:t xml:space="preserve"> that arise</w:t>
      </w:r>
      <w:r>
        <w:t xml:space="preserve"> and provide ideas for improvements and innovation.</w:t>
      </w:r>
    </w:p>
    <w:p w:rsidR="00965E77" w:rsidRDefault="00965E77" w:rsidP="00F632F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lastRenderedPageBreak/>
        <w:t>A learning culture of quality</w:t>
      </w:r>
      <w:r w:rsidR="00F632F1">
        <w:t xml:space="preserve"> of the organisation</w:t>
      </w:r>
      <w:r>
        <w:t xml:space="preserve"> ensures all staff, regardless of their role, contribute to service quality and quality management. </w:t>
      </w:r>
    </w:p>
    <w:p w:rsidR="00965E77" w:rsidRDefault="00965E77" w:rsidP="00F632F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 xml:space="preserve">Planning, resource allocation, risk management and reporting are critical for continuous improvement and part of an integrated approach that supports </w:t>
      </w:r>
      <w:r w:rsidR="00ED4754" w:rsidRPr="00F632F1">
        <w:rPr>
          <w:b/>
          <w:color w:val="0070C0"/>
        </w:rPr>
        <w:t>[</w:t>
      </w:r>
      <w:r w:rsidR="00F632F1" w:rsidRPr="00F632F1">
        <w:rPr>
          <w:b/>
          <w:color w:val="0070C0"/>
        </w:rPr>
        <w:t>o</w:t>
      </w:r>
      <w:r w:rsidRPr="00F632F1">
        <w:rPr>
          <w:b/>
          <w:color w:val="0070C0"/>
        </w:rPr>
        <w:t>rganisation</w:t>
      </w:r>
      <w:r w:rsidR="007D19A8">
        <w:rPr>
          <w:b/>
          <w:color w:val="0070C0"/>
        </w:rPr>
        <w:t>’s</w:t>
      </w:r>
      <w:bookmarkStart w:id="1" w:name="_GoBack"/>
      <w:bookmarkEnd w:id="1"/>
      <w:r w:rsidRPr="00F632F1">
        <w:rPr>
          <w:b/>
          <w:color w:val="0070C0"/>
        </w:rPr>
        <w:t>]</w:t>
      </w:r>
      <w:r>
        <w:t xml:space="preserve"> mission and vision.</w:t>
      </w:r>
    </w:p>
    <w:p w:rsidR="00965E77" w:rsidRDefault="00965E77" w:rsidP="00F632F1">
      <w:pPr>
        <w:pStyle w:val="ListParagraph"/>
        <w:numPr>
          <w:ilvl w:val="0"/>
          <w:numId w:val="2"/>
        </w:numPr>
        <w:spacing w:after="5" w:line="360" w:lineRule="auto"/>
        <w:ind w:right="-46"/>
        <w:rPr>
          <w:lang w:val="en"/>
        </w:rPr>
      </w:pPr>
      <w:r w:rsidRPr="00F632F1">
        <w:rPr>
          <w:b/>
          <w:color w:val="0070C0"/>
        </w:rPr>
        <w:t>[</w:t>
      </w:r>
      <w:proofErr w:type="gramStart"/>
      <w:r w:rsidR="00F632F1" w:rsidRPr="00F632F1">
        <w:rPr>
          <w:b/>
          <w:color w:val="0070C0"/>
        </w:rPr>
        <w:t>o</w:t>
      </w:r>
      <w:r w:rsidRPr="00F632F1">
        <w:rPr>
          <w:b/>
          <w:color w:val="0070C0"/>
        </w:rPr>
        <w:t>rganisation</w:t>
      </w:r>
      <w:proofErr w:type="gramEnd"/>
      <w:r w:rsidRPr="00F632F1">
        <w:rPr>
          <w:b/>
          <w:color w:val="0070C0"/>
        </w:rPr>
        <w:t>]</w:t>
      </w:r>
      <w:r>
        <w:t xml:space="preserve"> is committed to </w:t>
      </w:r>
      <w:r>
        <w:rPr>
          <w:lang w:val="en"/>
        </w:rPr>
        <w:t xml:space="preserve">innovation, </w:t>
      </w:r>
      <w:r w:rsidR="00D85492">
        <w:rPr>
          <w:lang w:val="en"/>
        </w:rPr>
        <w:t>high quality</w:t>
      </w:r>
      <w:r>
        <w:rPr>
          <w:lang w:val="en"/>
        </w:rPr>
        <w:t xml:space="preserve">, continuous improvement, contemporary best practice and effectiveness in the provision of supports to people with disability. </w:t>
      </w:r>
    </w:p>
    <w:p w:rsidR="00965E77" w:rsidRDefault="00965E77" w:rsidP="00F632F1">
      <w:pPr>
        <w:spacing w:line="360" w:lineRule="auto"/>
        <w:ind w:right="-46" w:firstLine="72"/>
      </w:pPr>
    </w:p>
    <w:p w:rsidR="00965E77" w:rsidRPr="00A25835" w:rsidRDefault="00F632F1" w:rsidP="00F632F1">
      <w:pPr>
        <w:spacing w:line="360" w:lineRule="auto"/>
        <w:ind w:right="-46"/>
        <w:rPr>
          <w:b/>
        </w:rPr>
      </w:pPr>
      <w:r>
        <w:rPr>
          <w:b/>
        </w:rPr>
        <w:t xml:space="preserve"> Definitions</w:t>
      </w:r>
      <w:r w:rsidR="00965E77">
        <w:tab/>
        <w:t xml:space="preserve"> </w:t>
      </w:r>
    </w:p>
    <w:p w:rsidR="00C94CB0" w:rsidRPr="008079A1" w:rsidRDefault="00965E77" w:rsidP="00F632F1">
      <w:pPr>
        <w:spacing w:line="360" w:lineRule="auto"/>
        <w:rPr>
          <w:rFonts w:cs="Arial"/>
        </w:rPr>
      </w:pPr>
      <w:r w:rsidRPr="00A25835">
        <w:rPr>
          <w:b/>
        </w:rPr>
        <w:t xml:space="preserve">Continuous </w:t>
      </w:r>
      <w:r w:rsidR="00D85492">
        <w:rPr>
          <w:b/>
        </w:rPr>
        <w:t>i</w:t>
      </w:r>
      <w:r w:rsidRPr="00A25835">
        <w:rPr>
          <w:b/>
        </w:rPr>
        <w:t>mprovement</w:t>
      </w:r>
      <w:r>
        <w:t xml:space="preserve"> – </w:t>
      </w:r>
      <w:r w:rsidR="00C94CB0" w:rsidRPr="008079A1">
        <w:rPr>
          <w:rFonts w:cs="Arial"/>
        </w:rPr>
        <w:t xml:space="preserve">the ongoing effort to improve services, systems, processes or products to maximise individual outcomes. Evidence-based approaches are used the organisation adapts to changing needs of the community or people </w:t>
      </w:r>
      <w:r w:rsidR="00D85492">
        <w:rPr>
          <w:rFonts w:cs="Arial"/>
        </w:rPr>
        <w:t>accessing</w:t>
      </w:r>
      <w:r w:rsidR="00C94CB0" w:rsidRPr="008079A1">
        <w:rPr>
          <w:rFonts w:cs="Arial"/>
        </w:rPr>
        <w:t xml:space="preserve"> services.</w:t>
      </w:r>
    </w:p>
    <w:p w:rsidR="00965E77" w:rsidRDefault="00965E77" w:rsidP="00F632F1">
      <w:pPr>
        <w:spacing w:line="360" w:lineRule="auto"/>
      </w:pPr>
    </w:p>
    <w:p w:rsidR="00C94CB0" w:rsidRPr="008079A1" w:rsidRDefault="00965E77" w:rsidP="00F632F1">
      <w:pPr>
        <w:spacing w:line="360" w:lineRule="auto"/>
        <w:rPr>
          <w:rFonts w:cs="Arial"/>
        </w:rPr>
      </w:pPr>
      <w:r w:rsidRPr="00A25835">
        <w:rPr>
          <w:b/>
        </w:rPr>
        <w:t>Quality management</w:t>
      </w:r>
      <w:r>
        <w:t xml:space="preserve"> –</w:t>
      </w:r>
      <w:r w:rsidR="00C94CB0">
        <w:t xml:space="preserve"> </w:t>
      </w:r>
      <w:r w:rsidR="00C94CB0" w:rsidRPr="008079A1">
        <w:rPr>
          <w:rFonts w:cs="Arial"/>
        </w:rPr>
        <w:t>systems and processes</w:t>
      </w:r>
      <w:r w:rsidR="00C94CB0">
        <w:rPr>
          <w:rFonts w:cs="Arial"/>
        </w:rPr>
        <w:t xml:space="preserve"> used </w:t>
      </w:r>
      <w:r w:rsidR="00C94CB0" w:rsidRPr="008079A1">
        <w:rPr>
          <w:rFonts w:cs="Arial"/>
        </w:rPr>
        <w:t>to monitor, review, plan, control and ensure quality of services, supports or products. Sometimes re</w:t>
      </w:r>
      <w:r w:rsidR="00C94CB0">
        <w:rPr>
          <w:rFonts w:cs="Arial"/>
        </w:rPr>
        <w:t>ferred to as quality assurance</w:t>
      </w:r>
      <w:r w:rsidR="00C94CB0" w:rsidRPr="008079A1">
        <w:rPr>
          <w:rFonts w:cs="Arial"/>
        </w:rPr>
        <w:t>.</w:t>
      </w:r>
    </w:p>
    <w:p w:rsidR="00C94CB0" w:rsidRDefault="00C94CB0" w:rsidP="00F632F1">
      <w:pPr>
        <w:spacing w:line="360" w:lineRule="auto"/>
      </w:pPr>
    </w:p>
    <w:p w:rsidR="00965E77" w:rsidRDefault="00F632F1" w:rsidP="00F632F1">
      <w:pPr>
        <w:spacing w:line="360" w:lineRule="auto"/>
        <w:rPr>
          <w:b/>
        </w:rPr>
      </w:pPr>
      <w:r>
        <w:rPr>
          <w:b/>
        </w:rPr>
        <w:t>Related policy and procedures</w:t>
      </w:r>
    </w:p>
    <w:p w:rsidR="00965E77" w:rsidRDefault="00965E77" w:rsidP="00F632F1">
      <w:pPr>
        <w:pStyle w:val="ListParagraph"/>
        <w:numPr>
          <w:ilvl w:val="0"/>
          <w:numId w:val="3"/>
        </w:numPr>
        <w:spacing w:after="5" w:line="360" w:lineRule="auto"/>
        <w:ind w:right="890"/>
      </w:pPr>
      <w:r>
        <w:t xml:space="preserve">Code of </w:t>
      </w:r>
      <w:r w:rsidR="00F632F1">
        <w:t>c</w:t>
      </w:r>
      <w:r>
        <w:t>onduct</w:t>
      </w:r>
    </w:p>
    <w:p w:rsidR="00965E77" w:rsidRDefault="00965E77" w:rsidP="00F632F1">
      <w:pPr>
        <w:pStyle w:val="ListParagraph"/>
        <w:numPr>
          <w:ilvl w:val="0"/>
          <w:numId w:val="3"/>
        </w:numPr>
        <w:spacing w:after="5" w:line="360" w:lineRule="auto"/>
        <w:ind w:right="-46"/>
      </w:pPr>
      <w:r>
        <w:t xml:space="preserve">Continuous </w:t>
      </w:r>
      <w:r w:rsidR="00F632F1">
        <w:t>i</w:t>
      </w:r>
      <w:r>
        <w:t xml:space="preserve">mprovement </w:t>
      </w:r>
      <w:r w:rsidR="00F632F1">
        <w:t>p</w:t>
      </w:r>
      <w:r>
        <w:t xml:space="preserve">lan </w:t>
      </w:r>
    </w:p>
    <w:p w:rsidR="00965E77" w:rsidRDefault="00965E77" w:rsidP="00F632F1">
      <w:pPr>
        <w:spacing w:line="360" w:lineRule="auto"/>
      </w:pPr>
    </w:p>
    <w:p w:rsidR="00965E77" w:rsidRDefault="00965E77" w:rsidP="00F632F1">
      <w:pPr>
        <w:spacing w:line="360" w:lineRule="auto"/>
        <w:rPr>
          <w:b/>
        </w:rPr>
      </w:pPr>
      <w:r>
        <w:rPr>
          <w:b/>
        </w:rPr>
        <w:t xml:space="preserve">Related </w:t>
      </w:r>
      <w:r w:rsidR="00F632F1">
        <w:rPr>
          <w:b/>
        </w:rPr>
        <w:t>l</w:t>
      </w:r>
      <w:r>
        <w:rPr>
          <w:b/>
        </w:rPr>
        <w:t>egislation</w:t>
      </w:r>
      <w:r w:rsidR="00F632F1">
        <w:rPr>
          <w:b/>
        </w:rPr>
        <w:t xml:space="preserve"> and policy</w:t>
      </w:r>
    </w:p>
    <w:p w:rsidR="00965E77" w:rsidRDefault="00965E77" w:rsidP="00F632F1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Carers’ Recognition Act 2004</w:t>
      </w:r>
    </w:p>
    <w:p w:rsidR="00965E77" w:rsidRDefault="00965E77" w:rsidP="00F632F1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Disability Services Act 1993 (WA) </w:t>
      </w:r>
    </w:p>
    <w:p w:rsidR="00965E77" w:rsidRDefault="00965E77" w:rsidP="00F632F1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Equal Opportunity Act 1984 (WA) </w:t>
      </w:r>
    </w:p>
    <w:p w:rsidR="00965E77" w:rsidRDefault="00965E77" w:rsidP="00F632F1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Occupational Health and Safety Act 1984 (WA)</w:t>
      </w:r>
    </w:p>
    <w:p w:rsidR="00965E77" w:rsidRDefault="00965E77" w:rsidP="00F632F1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United Nations Convention on The Rights of Persons with Disabilities </w:t>
      </w:r>
    </w:p>
    <w:p w:rsidR="00965E77" w:rsidRDefault="00965E77" w:rsidP="00F632F1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National Standards for Disability Services </w:t>
      </w:r>
    </w:p>
    <w:p w:rsidR="00F632F1" w:rsidRPr="00F632F1" w:rsidRDefault="00F632F1" w:rsidP="00F632F1">
      <w:pPr>
        <w:pStyle w:val="ListParagraph"/>
        <w:numPr>
          <w:ilvl w:val="0"/>
          <w:numId w:val="1"/>
        </w:numPr>
        <w:spacing w:after="5" w:line="360" w:lineRule="auto"/>
        <w:ind w:right="890"/>
        <w:rPr>
          <w:color w:val="000000"/>
        </w:rPr>
      </w:pPr>
      <w:r>
        <w:t xml:space="preserve">National Disability Insurance Scheme 2013: Principles </w:t>
      </w:r>
    </w:p>
    <w:p w:rsidR="00965E77" w:rsidRPr="00F632F1" w:rsidRDefault="00965E77" w:rsidP="00F632F1">
      <w:pPr>
        <w:pStyle w:val="ListParagraph"/>
        <w:numPr>
          <w:ilvl w:val="0"/>
          <w:numId w:val="1"/>
        </w:numPr>
        <w:spacing w:after="5" w:line="360" w:lineRule="auto"/>
        <w:ind w:right="890"/>
        <w:rPr>
          <w:color w:val="000000"/>
        </w:rPr>
      </w:pPr>
      <w:r>
        <w:t xml:space="preserve">National </w:t>
      </w:r>
      <w:r w:rsidR="00F632F1">
        <w:t xml:space="preserve">Disability Insurance Scheme </w:t>
      </w:r>
      <w:r>
        <w:t>Qual</w:t>
      </w:r>
      <w:r w:rsidR="00F632F1">
        <w:t xml:space="preserve">ity and Safeguarding Framework </w:t>
      </w:r>
    </w:p>
    <w:p w:rsidR="00965E77" w:rsidRDefault="00965E77" w:rsidP="00F632F1">
      <w:pPr>
        <w:pStyle w:val="ListParagraph"/>
        <w:spacing w:line="360" w:lineRule="auto"/>
        <w:rPr>
          <w:szCs w:val="24"/>
        </w:rPr>
      </w:pPr>
    </w:p>
    <w:p w:rsidR="00965E77" w:rsidRDefault="00965E77" w:rsidP="00F632F1">
      <w:pPr>
        <w:spacing w:line="360" w:lineRule="auto"/>
        <w:rPr>
          <w:b/>
          <w:szCs w:val="24"/>
        </w:rPr>
      </w:pPr>
      <w:r>
        <w:rPr>
          <w:b/>
          <w:szCs w:val="24"/>
        </w:rPr>
        <w:t>Approvals</w:t>
      </w:r>
    </w:p>
    <w:p w:rsidR="00965E77" w:rsidRDefault="00965E77" w:rsidP="00F632F1">
      <w:pPr>
        <w:spacing w:line="360" w:lineRule="auto"/>
        <w:rPr>
          <w:szCs w:val="24"/>
        </w:rPr>
      </w:pPr>
      <w:r>
        <w:rPr>
          <w:szCs w:val="24"/>
        </w:rPr>
        <w:t xml:space="preserve">Date of approval: </w:t>
      </w:r>
      <w:r w:rsidRPr="00F632F1">
        <w:rPr>
          <w:b/>
          <w:color w:val="0070C0"/>
          <w:szCs w:val="24"/>
        </w:rPr>
        <w:t>[insert date]</w:t>
      </w:r>
      <w:r>
        <w:rPr>
          <w:szCs w:val="24"/>
        </w:rPr>
        <w:t xml:space="preserve"> </w:t>
      </w:r>
    </w:p>
    <w:p w:rsidR="00965E77" w:rsidRDefault="00965E77" w:rsidP="00F632F1">
      <w:pPr>
        <w:spacing w:line="360" w:lineRule="auto"/>
        <w:rPr>
          <w:szCs w:val="24"/>
        </w:rPr>
      </w:pPr>
      <w:r>
        <w:rPr>
          <w:szCs w:val="24"/>
        </w:rPr>
        <w:t xml:space="preserve">Date of review: </w:t>
      </w:r>
      <w:r w:rsidRPr="00F632F1">
        <w:rPr>
          <w:b/>
          <w:color w:val="0070C0"/>
          <w:szCs w:val="24"/>
        </w:rPr>
        <w:t>[insert date]</w:t>
      </w:r>
    </w:p>
    <w:p w:rsidR="00965E77" w:rsidRDefault="00965E77" w:rsidP="00F632F1">
      <w:pPr>
        <w:spacing w:line="360" w:lineRule="auto"/>
        <w:rPr>
          <w:szCs w:val="24"/>
        </w:rPr>
      </w:pPr>
      <w:r>
        <w:rPr>
          <w:szCs w:val="24"/>
        </w:rPr>
        <w:t xml:space="preserve">Signature of CEO: </w:t>
      </w:r>
      <w:r w:rsidRPr="00F632F1">
        <w:rPr>
          <w:b/>
          <w:color w:val="0070C0"/>
          <w:szCs w:val="24"/>
        </w:rPr>
        <w:t>[insert signature]</w:t>
      </w:r>
    </w:p>
    <w:p w:rsidR="004D05FC" w:rsidRDefault="004D05FC"/>
    <w:sectPr w:rsidR="004D05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F1" w:rsidRDefault="00F632F1" w:rsidP="00F632F1">
      <w:r>
        <w:separator/>
      </w:r>
    </w:p>
  </w:endnote>
  <w:endnote w:type="continuationSeparator" w:id="0">
    <w:p w:rsidR="00F632F1" w:rsidRDefault="00F632F1" w:rsidP="00F6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7381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2F1" w:rsidRDefault="00F632F1">
            <w:pPr>
              <w:pStyle w:val="Footer"/>
              <w:jc w:val="center"/>
            </w:pPr>
            <w:r w:rsidRPr="00F632F1">
              <w:t xml:space="preserve">Page </w:t>
            </w:r>
            <w:r w:rsidRPr="00F632F1">
              <w:rPr>
                <w:bCs/>
                <w:szCs w:val="24"/>
              </w:rPr>
              <w:fldChar w:fldCharType="begin"/>
            </w:r>
            <w:r w:rsidRPr="00F632F1">
              <w:rPr>
                <w:bCs/>
              </w:rPr>
              <w:instrText xml:space="preserve"> PAGE </w:instrText>
            </w:r>
            <w:r w:rsidRPr="00F632F1">
              <w:rPr>
                <w:bCs/>
                <w:szCs w:val="24"/>
              </w:rPr>
              <w:fldChar w:fldCharType="separate"/>
            </w:r>
            <w:r w:rsidR="007D19A8">
              <w:rPr>
                <w:bCs/>
                <w:noProof/>
              </w:rPr>
              <w:t>3</w:t>
            </w:r>
            <w:r w:rsidRPr="00F632F1">
              <w:rPr>
                <w:bCs/>
                <w:szCs w:val="24"/>
              </w:rPr>
              <w:fldChar w:fldCharType="end"/>
            </w:r>
            <w:r w:rsidRPr="00F632F1">
              <w:t xml:space="preserve"> of </w:t>
            </w:r>
            <w:r w:rsidRPr="00F632F1">
              <w:rPr>
                <w:bCs/>
                <w:szCs w:val="24"/>
              </w:rPr>
              <w:fldChar w:fldCharType="begin"/>
            </w:r>
            <w:r w:rsidRPr="00F632F1">
              <w:rPr>
                <w:bCs/>
              </w:rPr>
              <w:instrText xml:space="preserve"> NUMPAGES  </w:instrText>
            </w:r>
            <w:r w:rsidRPr="00F632F1">
              <w:rPr>
                <w:bCs/>
                <w:szCs w:val="24"/>
              </w:rPr>
              <w:fldChar w:fldCharType="separate"/>
            </w:r>
            <w:r w:rsidR="007D19A8">
              <w:rPr>
                <w:bCs/>
                <w:noProof/>
              </w:rPr>
              <w:t>3</w:t>
            </w:r>
            <w:r w:rsidRPr="00F632F1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F632F1" w:rsidRDefault="00F63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F1" w:rsidRDefault="00F632F1" w:rsidP="00F632F1">
      <w:r>
        <w:separator/>
      </w:r>
    </w:p>
  </w:footnote>
  <w:footnote w:type="continuationSeparator" w:id="0">
    <w:p w:rsidR="00F632F1" w:rsidRDefault="00F632F1" w:rsidP="00F6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72F"/>
    <w:multiLevelType w:val="hybridMultilevel"/>
    <w:tmpl w:val="9CB2C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E5A12"/>
    <w:multiLevelType w:val="hybridMultilevel"/>
    <w:tmpl w:val="5C4E95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A1072"/>
    <w:multiLevelType w:val="hybridMultilevel"/>
    <w:tmpl w:val="3AAE8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77"/>
    <w:rsid w:val="0028388E"/>
    <w:rsid w:val="0040438F"/>
    <w:rsid w:val="004D05FC"/>
    <w:rsid w:val="007D19A8"/>
    <w:rsid w:val="00965E77"/>
    <w:rsid w:val="00B86BEB"/>
    <w:rsid w:val="00C94A4E"/>
    <w:rsid w:val="00C94CB0"/>
    <w:rsid w:val="00D85492"/>
    <w:rsid w:val="00ED4754"/>
    <w:rsid w:val="00F632F1"/>
    <w:rsid w:val="00F738EB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86370-82FD-4D1F-AC59-BBAA74D4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77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E77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E77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65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F1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63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F1"/>
    <w:rPr>
      <w:rFonts w:ascii="Arial" w:eastAsiaTheme="minorEastAsia" w:hAnsi="Arial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92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C2008F1C.dotm</Template>
  <TotalTime>55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Pratts-Hincks</dc:creator>
  <cp:keywords/>
  <dc:description/>
  <cp:lastModifiedBy>Carmen Pratts-Hincks</cp:lastModifiedBy>
  <cp:revision>9</cp:revision>
  <dcterms:created xsi:type="dcterms:W3CDTF">2017-06-13T06:12:00Z</dcterms:created>
  <dcterms:modified xsi:type="dcterms:W3CDTF">2017-10-12T02:01:00Z</dcterms:modified>
</cp:coreProperties>
</file>