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1F2E" w14:textId="77777777" w:rsidR="005013FC" w:rsidRPr="005013FC" w:rsidRDefault="005013FC" w:rsidP="00B9252A">
      <w:pPr>
        <w:spacing w:before="240" w:line="288" w:lineRule="auto"/>
        <w:ind w:right="170"/>
        <w:rPr>
          <w:rFonts w:eastAsia="Calibri" w:cs="Times New Roman"/>
          <w:b/>
          <w:bCs/>
          <w:sz w:val="56"/>
          <w:szCs w:val="56"/>
        </w:rPr>
      </w:pPr>
      <w:r w:rsidRPr="005013FC">
        <w:rPr>
          <w:rFonts w:eastAsia="Calibri" w:cs="Times New Roman"/>
          <w:b/>
          <w:bCs/>
          <w:sz w:val="56"/>
          <w:szCs w:val="56"/>
        </w:rPr>
        <w:t xml:space="preserve">Factsheet: Understanding Incidents - Recording and Reporting requirements </w:t>
      </w:r>
    </w:p>
    <w:p w14:paraId="5226187A" w14:textId="77777777" w:rsidR="005013FC" w:rsidRPr="001C00B0" w:rsidRDefault="005013FC" w:rsidP="001C00B0">
      <w:pPr>
        <w:spacing w:after="240" w:line="288" w:lineRule="auto"/>
        <w:rPr>
          <w:rFonts w:cs="Arial"/>
          <w:szCs w:val="26"/>
          <w:lang w:val="en-US"/>
        </w:rPr>
      </w:pPr>
      <w:r w:rsidRPr="001C00B0">
        <w:rPr>
          <w:rFonts w:cs="Arial"/>
          <w:szCs w:val="26"/>
          <w:lang w:val="en-US"/>
        </w:rPr>
        <w:t>This resource was developed by the NDS Quality and Safeguards Sector Readiness Project and is funded by the Government of Western Australia Department of Communities.</w:t>
      </w:r>
    </w:p>
    <w:p w14:paraId="1A85E853" w14:textId="77777777" w:rsidR="005013FC" w:rsidRPr="001C00B0" w:rsidRDefault="005013FC" w:rsidP="005013FC">
      <w:pPr>
        <w:spacing w:after="240" w:line="288" w:lineRule="auto"/>
        <w:ind w:right="170"/>
        <w:rPr>
          <w:szCs w:val="26"/>
        </w:rPr>
      </w:pPr>
      <w:r w:rsidRPr="001C00B0">
        <w:rPr>
          <w:szCs w:val="26"/>
        </w:rPr>
        <w:t>This resource has been developed to give NDIS providers an understanding of incident management and reporting. The resource includes information on:</w:t>
      </w:r>
    </w:p>
    <w:p w14:paraId="1E2E7020" w14:textId="77777777" w:rsidR="005013FC" w:rsidRPr="001C00B0" w:rsidRDefault="005013FC" w:rsidP="005013FC">
      <w:pPr>
        <w:pStyle w:val="ListParagraph"/>
        <w:numPr>
          <w:ilvl w:val="0"/>
          <w:numId w:val="1"/>
        </w:numPr>
        <w:spacing w:line="288" w:lineRule="auto"/>
        <w:ind w:right="170"/>
        <w:contextualSpacing w:val="0"/>
        <w:rPr>
          <w:b/>
          <w:bCs/>
          <w:szCs w:val="26"/>
        </w:rPr>
      </w:pPr>
      <w:r w:rsidRPr="001C00B0">
        <w:rPr>
          <w:b/>
          <w:bCs/>
          <w:szCs w:val="26"/>
        </w:rPr>
        <w:t>What is an incident and what does the NDIS Commission consider an incident?</w:t>
      </w:r>
    </w:p>
    <w:p w14:paraId="18A70AAC" w14:textId="4F85D9B3" w:rsidR="005013FC" w:rsidRPr="001C00B0" w:rsidRDefault="005013FC" w:rsidP="005013FC">
      <w:pPr>
        <w:pStyle w:val="ListParagraph"/>
        <w:numPr>
          <w:ilvl w:val="0"/>
          <w:numId w:val="1"/>
        </w:numPr>
        <w:spacing w:after="240" w:line="288" w:lineRule="auto"/>
        <w:ind w:right="170"/>
        <w:contextualSpacing w:val="0"/>
        <w:rPr>
          <w:b/>
          <w:bCs/>
          <w:szCs w:val="26"/>
        </w:rPr>
      </w:pPr>
      <w:r w:rsidRPr="001C00B0">
        <w:rPr>
          <w:b/>
          <w:bCs/>
          <w:szCs w:val="26"/>
        </w:rPr>
        <w:t>Workplace Health and Safety (WHS) and other types of incidents.</w:t>
      </w:r>
    </w:p>
    <w:p w14:paraId="4BBEEFE1" w14:textId="754B422E" w:rsidR="002B7930" w:rsidRPr="001C00B0" w:rsidRDefault="005013FC" w:rsidP="005013FC">
      <w:pPr>
        <w:spacing w:line="288" w:lineRule="auto"/>
        <w:rPr>
          <w:rFonts w:cs="Arial"/>
          <w:szCs w:val="26"/>
          <w:lang w:val="en-US"/>
        </w:rPr>
      </w:pPr>
      <w:r w:rsidRPr="001C00B0">
        <w:rPr>
          <w:rFonts w:cs="Arial"/>
          <w:szCs w:val="26"/>
          <w:lang w:val="en-US"/>
        </w:rPr>
        <w:t xml:space="preserve">The resource is general in nature and is a starting point. Any policies, procedures and processes for incident management need to be developed for the size and scope of your </w:t>
      </w:r>
      <w:proofErr w:type="spellStart"/>
      <w:r w:rsidRPr="001C00B0">
        <w:rPr>
          <w:rFonts w:cs="Arial"/>
          <w:szCs w:val="26"/>
          <w:lang w:val="en-US"/>
        </w:rPr>
        <w:t>organisation</w:t>
      </w:r>
      <w:proofErr w:type="spellEnd"/>
      <w:r w:rsidRPr="001C00B0">
        <w:rPr>
          <w:rFonts w:cs="Arial"/>
          <w:szCs w:val="26"/>
          <w:lang w:val="en-US"/>
        </w:rPr>
        <w:t xml:space="preserve"> and the supports and services you provide.</w:t>
      </w:r>
    </w:p>
    <w:p w14:paraId="6336C5E3" w14:textId="77777777" w:rsidR="002B7930" w:rsidRDefault="002B7930">
      <w:pPr>
        <w:spacing w:before="0" w:after="160"/>
        <w:rPr>
          <w:rFonts w:cs="Arial"/>
          <w:szCs w:val="24"/>
          <w:lang w:val="en-US"/>
        </w:rPr>
      </w:pPr>
      <w:r>
        <w:rPr>
          <w:rFonts w:cs="Arial"/>
          <w:szCs w:val="24"/>
          <w:lang w:val="en-US"/>
        </w:rPr>
        <w:br w:type="page"/>
      </w:r>
    </w:p>
    <w:p w14:paraId="475273F3" w14:textId="77777777" w:rsidR="002B7930" w:rsidRPr="00E40690" w:rsidRDefault="002B7930" w:rsidP="00420959">
      <w:pPr>
        <w:pStyle w:val="Heading1"/>
        <w:rPr>
          <w:rFonts w:eastAsia="Calibri"/>
          <w:lang w:val="en-US"/>
        </w:rPr>
      </w:pPr>
      <w:r w:rsidRPr="00E40690">
        <w:rPr>
          <w:rFonts w:eastAsia="Calibri"/>
          <w:lang w:val="en-US"/>
        </w:rPr>
        <w:lastRenderedPageBreak/>
        <w:t xml:space="preserve">Factsheet: Understanding Incidents - Recording and Reporting requirements </w:t>
      </w:r>
    </w:p>
    <w:p w14:paraId="41370CFD" w14:textId="77777777" w:rsidR="002B7930" w:rsidRPr="00E40690" w:rsidRDefault="002B7930" w:rsidP="00A10777">
      <w:pPr>
        <w:pStyle w:val="Heading2"/>
        <w:rPr>
          <w:lang w:val="en-US"/>
        </w:rPr>
      </w:pPr>
      <w:r w:rsidRPr="00E40690">
        <w:rPr>
          <w:lang w:val="en-US"/>
        </w:rPr>
        <w:t>What is an incident?</w:t>
      </w:r>
    </w:p>
    <w:p w14:paraId="77FA2C56" w14:textId="77777777" w:rsidR="002B7930" w:rsidRPr="00592E9C" w:rsidRDefault="002B7930" w:rsidP="000D529C">
      <w:pPr>
        <w:spacing w:after="240" w:line="288" w:lineRule="auto"/>
        <w:rPr>
          <w:rFonts w:eastAsia="Calibri" w:cs="Arial"/>
          <w:kern w:val="2"/>
          <w:szCs w:val="26"/>
          <w:lang w:val="en-US"/>
          <w14:ligatures w14:val="standardContextual"/>
        </w:rPr>
      </w:pPr>
      <w:r w:rsidRPr="00592E9C">
        <w:rPr>
          <w:rFonts w:eastAsia="Calibri" w:cs="Arial"/>
          <w:kern w:val="2"/>
          <w:szCs w:val="26"/>
          <w:lang w:val="en-US"/>
          <w14:ligatures w14:val="standardContextual"/>
        </w:rPr>
        <w:t xml:space="preserve">The word ‘incident’ is used across many sectors and industries, in different contexts. Most commonly, incidents are thought of as some kind of event occurring, such as an accident, health and safety issue or unplanned occurrence which has the potential to, or </w:t>
      </w:r>
      <w:proofErr w:type="gramStart"/>
      <w:r w:rsidRPr="00592E9C">
        <w:rPr>
          <w:rFonts w:eastAsia="Calibri" w:cs="Arial"/>
          <w:kern w:val="2"/>
          <w:szCs w:val="26"/>
          <w:lang w:val="en-US"/>
          <w14:ligatures w14:val="standardContextual"/>
        </w:rPr>
        <w:t>actually has</w:t>
      </w:r>
      <w:proofErr w:type="gramEnd"/>
      <w:r w:rsidRPr="00592E9C">
        <w:rPr>
          <w:rFonts w:eastAsia="Calibri" w:cs="Arial"/>
          <w:kern w:val="2"/>
          <w:szCs w:val="26"/>
          <w:lang w:val="en-US"/>
          <w14:ligatures w14:val="standardContextual"/>
        </w:rPr>
        <w:t xml:space="preserve"> caused harm. </w:t>
      </w:r>
    </w:p>
    <w:p w14:paraId="5383C4B2" w14:textId="77777777" w:rsidR="002B7930" w:rsidRPr="00592E9C" w:rsidRDefault="002B7930" w:rsidP="00360887">
      <w:pPr>
        <w:spacing w:after="240" w:line="288" w:lineRule="auto"/>
        <w:rPr>
          <w:rFonts w:eastAsia="Calibri" w:cs="Arial"/>
          <w:kern w:val="2"/>
          <w:szCs w:val="26"/>
          <w:lang w:val="en-US"/>
          <w14:ligatures w14:val="standardContextual"/>
        </w:rPr>
      </w:pPr>
      <w:r w:rsidRPr="00592E9C">
        <w:rPr>
          <w:rFonts w:eastAsia="Calibri" w:cs="Arial"/>
          <w:kern w:val="2"/>
          <w:szCs w:val="26"/>
          <w:lang w:val="en-US"/>
          <w14:ligatures w14:val="standardContextual"/>
        </w:rPr>
        <w:t>Understanding ‘what is an incident’, in the context of the services you provide, is an important step to being able to define and manage incidents – and the risks they present - for the people who access your services and the people you employ.</w:t>
      </w:r>
    </w:p>
    <w:p w14:paraId="011DB869" w14:textId="77777777" w:rsidR="002B7930" w:rsidRPr="000D529C" w:rsidRDefault="002B7930" w:rsidP="00A10777">
      <w:pPr>
        <w:pStyle w:val="Heading2"/>
      </w:pPr>
      <w:r w:rsidRPr="000D529C">
        <w:t>What does the NDIS Commission consider an Incident?</w:t>
      </w:r>
    </w:p>
    <w:p w14:paraId="6C383C27" w14:textId="77777777" w:rsidR="002B7930" w:rsidRPr="00592E9C" w:rsidRDefault="002B7930" w:rsidP="00360887">
      <w:pPr>
        <w:spacing w:after="240" w:line="288" w:lineRule="auto"/>
        <w:rPr>
          <w:rFonts w:eastAsia="Calibri" w:cs="Arial"/>
          <w:kern w:val="2"/>
          <w:szCs w:val="26"/>
          <w:lang w:val="en-US"/>
          <w14:ligatures w14:val="standardContextual"/>
        </w:rPr>
      </w:pPr>
      <w:r w:rsidRPr="00592E9C">
        <w:rPr>
          <w:rFonts w:eastAsia="Calibri" w:cs="Arial"/>
          <w:kern w:val="2"/>
          <w:szCs w:val="26"/>
          <w:lang w:val="en-US"/>
          <w14:ligatures w14:val="standardContextual"/>
        </w:rPr>
        <w:t xml:space="preserve">The NDIS Commission have provided a definition of the incidents that NDIS Providers need to respond to in their incident management system. </w:t>
      </w:r>
    </w:p>
    <w:p w14:paraId="4468A439" w14:textId="77777777" w:rsidR="002B7930" w:rsidRPr="00592E9C" w:rsidRDefault="002B7930" w:rsidP="000D529C">
      <w:pPr>
        <w:spacing w:line="288" w:lineRule="auto"/>
        <w:rPr>
          <w:rFonts w:eastAsia="Calibri" w:cs="Arial"/>
          <w:b/>
          <w:bCs/>
          <w:kern w:val="2"/>
          <w:szCs w:val="26"/>
          <w:lang w:val="en-US"/>
          <w14:ligatures w14:val="standardContextual"/>
        </w:rPr>
      </w:pPr>
      <w:r w:rsidRPr="00592E9C">
        <w:rPr>
          <w:rFonts w:eastAsia="Calibri" w:cs="Arial"/>
          <w:kern w:val="2"/>
          <w:szCs w:val="26"/>
          <w:lang w:val="en-US"/>
          <w14:ligatures w14:val="standardContextual"/>
        </w:rPr>
        <w:t>These include:</w:t>
      </w:r>
    </w:p>
    <w:p w14:paraId="19B11F23" w14:textId="268507D7" w:rsidR="002E7224" w:rsidRPr="00592E9C" w:rsidRDefault="002B7930" w:rsidP="00360887">
      <w:pPr>
        <w:pStyle w:val="ListParagraph"/>
        <w:numPr>
          <w:ilvl w:val="0"/>
          <w:numId w:val="5"/>
        </w:numPr>
        <w:spacing w:after="240" w:line="288" w:lineRule="auto"/>
        <w:rPr>
          <w:rFonts w:eastAsia="Calibri" w:cs="Arial"/>
          <w:kern w:val="2"/>
          <w:szCs w:val="26"/>
          <w:lang w:val="en-US"/>
          <w14:ligatures w14:val="standardContextual"/>
        </w:rPr>
      </w:pPr>
      <w:r w:rsidRPr="00592E9C">
        <w:rPr>
          <w:rFonts w:eastAsia="Calibri" w:cs="Arial"/>
          <w:b/>
          <w:bCs/>
          <w:kern w:val="2"/>
          <w:szCs w:val="26"/>
          <w:lang w:val="en-US"/>
          <w14:ligatures w14:val="standardContextual"/>
        </w:rPr>
        <w:t xml:space="preserve">Acts, omissions, </w:t>
      </w:r>
      <w:proofErr w:type="gramStart"/>
      <w:r w:rsidRPr="00592E9C">
        <w:rPr>
          <w:rFonts w:eastAsia="Calibri" w:cs="Arial"/>
          <w:b/>
          <w:bCs/>
          <w:kern w:val="2"/>
          <w:szCs w:val="26"/>
          <w:lang w:val="en-US"/>
          <w14:ligatures w14:val="standardContextual"/>
        </w:rPr>
        <w:t>events</w:t>
      </w:r>
      <w:proofErr w:type="gramEnd"/>
      <w:r w:rsidRPr="00592E9C">
        <w:rPr>
          <w:rFonts w:eastAsia="Calibri" w:cs="Arial"/>
          <w:b/>
          <w:bCs/>
          <w:kern w:val="2"/>
          <w:szCs w:val="26"/>
          <w:lang w:val="en-US"/>
          <w14:ligatures w14:val="standardContextual"/>
        </w:rPr>
        <w:t xml:space="preserve"> or circumstances </w:t>
      </w:r>
      <w:r w:rsidRPr="00592E9C">
        <w:rPr>
          <w:rFonts w:eastAsia="Calibri" w:cs="Arial"/>
          <w:kern w:val="2"/>
          <w:szCs w:val="26"/>
          <w:lang w:val="en-US"/>
          <w14:ligatures w14:val="standardContextual"/>
        </w:rPr>
        <w:t xml:space="preserve">that occur in connection with providing NDIS </w:t>
      </w:r>
      <w:proofErr w:type="gramStart"/>
      <w:r w:rsidRPr="00592E9C">
        <w:rPr>
          <w:rFonts w:eastAsia="Calibri" w:cs="Arial"/>
          <w:kern w:val="2"/>
          <w:szCs w:val="26"/>
          <w:lang w:val="en-US"/>
          <w14:ligatures w14:val="standardContextual"/>
        </w:rPr>
        <w:t>supports</w:t>
      </w:r>
      <w:proofErr w:type="gramEnd"/>
      <w:r w:rsidRPr="00592E9C">
        <w:rPr>
          <w:rFonts w:eastAsia="Calibri" w:cs="Arial"/>
          <w:kern w:val="2"/>
          <w:szCs w:val="26"/>
          <w:lang w:val="en-US"/>
          <w14:ligatures w14:val="standardContextual"/>
        </w:rPr>
        <w:t xml:space="preserve"> or services to a person with disability and have, or could have, caused harm to the person with disability.</w:t>
      </w:r>
    </w:p>
    <w:p w14:paraId="02C1FAE4" w14:textId="2F26D25C" w:rsidR="00045845" w:rsidRPr="00592E9C" w:rsidRDefault="00045845" w:rsidP="00C21BB9">
      <w:pPr>
        <w:pStyle w:val="Tips"/>
        <w:rPr>
          <w:rFonts w:cs="Arial"/>
          <w:szCs w:val="26"/>
        </w:rPr>
      </w:pPr>
      <w:r w:rsidRPr="00592E9C">
        <w:rPr>
          <w:rFonts w:cs="Arial"/>
          <w:szCs w:val="26"/>
        </w:rPr>
        <w:t>Tip</w:t>
      </w:r>
      <w:r w:rsidR="001B25F9" w:rsidRPr="00592E9C">
        <w:rPr>
          <w:rFonts w:cs="Arial"/>
          <w:szCs w:val="26"/>
        </w:rPr>
        <w:t>s</w:t>
      </w:r>
      <w:r w:rsidR="00211212" w:rsidRPr="00592E9C">
        <w:rPr>
          <w:rFonts w:cs="Arial"/>
          <w:szCs w:val="26"/>
        </w:rPr>
        <w:t>:</w:t>
      </w:r>
    </w:p>
    <w:p w14:paraId="4C5A16BF" w14:textId="77777777" w:rsidR="00E509F7" w:rsidRPr="00592E9C" w:rsidRDefault="00E509F7" w:rsidP="00C21BB9">
      <w:pPr>
        <w:pStyle w:val="Tips"/>
        <w:numPr>
          <w:ilvl w:val="0"/>
          <w:numId w:val="2"/>
        </w:numPr>
        <w:ind w:left="720"/>
        <w:rPr>
          <w:rFonts w:cs="Arial"/>
          <w:szCs w:val="26"/>
        </w:rPr>
      </w:pPr>
      <w:r w:rsidRPr="00592E9C">
        <w:rPr>
          <w:rFonts w:cs="Arial"/>
          <w:szCs w:val="26"/>
        </w:rPr>
        <w:t>An act refers to something being done; an action being taken – either intentionally or unintentionally.</w:t>
      </w:r>
    </w:p>
    <w:p w14:paraId="372779ED" w14:textId="77777777" w:rsidR="00E509F7" w:rsidRPr="00592E9C" w:rsidRDefault="00E509F7" w:rsidP="00C21BB9">
      <w:pPr>
        <w:pStyle w:val="Tips"/>
        <w:numPr>
          <w:ilvl w:val="0"/>
          <w:numId w:val="2"/>
        </w:numPr>
        <w:ind w:left="720"/>
        <w:rPr>
          <w:rFonts w:cs="Arial"/>
          <w:szCs w:val="26"/>
        </w:rPr>
      </w:pPr>
      <w:r w:rsidRPr="00592E9C">
        <w:rPr>
          <w:rFonts w:cs="Arial"/>
          <w:szCs w:val="26"/>
        </w:rPr>
        <w:t xml:space="preserve">An omission refers to lack of action or lack of something being done.  </w:t>
      </w:r>
    </w:p>
    <w:p w14:paraId="301E6DC7" w14:textId="77777777" w:rsidR="00B31788" w:rsidRPr="00592E9C" w:rsidRDefault="00E509F7" w:rsidP="00C21BB9">
      <w:pPr>
        <w:pStyle w:val="Tips"/>
        <w:numPr>
          <w:ilvl w:val="0"/>
          <w:numId w:val="2"/>
        </w:numPr>
        <w:ind w:left="720"/>
        <w:rPr>
          <w:rFonts w:cs="Arial"/>
          <w:szCs w:val="26"/>
        </w:rPr>
      </w:pPr>
      <w:r w:rsidRPr="00592E9C">
        <w:rPr>
          <w:rFonts w:cs="Arial"/>
          <w:szCs w:val="26"/>
        </w:rPr>
        <w:t>An event refers to something that happens or takes place.</w:t>
      </w:r>
    </w:p>
    <w:p w14:paraId="00C9DDD3" w14:textId="052ADFC3" w:rsidR="002E7224" w:rsidRPr="00592E9C" w:rsidRDefault="00E509F7" w:rsidP="00C21BB9">
      <w:pPr>
        <w:pStyle w:val="Tips"/>
        <w:numPr>
          <w:ilvl w:val="0"/>
          <w:numId w:val="2"/>
        </w:numPr>
        <w:spacing w:before="120" w:after="240"/>
        <w:ind w:left="720"/>
        <w:rPr>
          <w:rFonts w:cs="Arial"/>
          <w:szCs w:val="26"/>
        </w:rPr>
      </w:pPr>
      <w:r w:rsidRPr="00592E9C">
        <w:rPr>
          <w:rFonts w:cs="Arial"/>
          <w:szCs w:val="26"/>
        </w:rPr>
        <w:t>Circumstances refer to facts or conditions, usually connected to an event or action.</w:t>
      </w:r>
    </w:p>
    <w:p w14:paraId="5CBCA5F5" w14:textId="4C379ADE" w:rsidR="00B31788" w:rsidRPr="00592E9C" w:rsidRDefault="00B31788" w:rsidP="00EF0446">
      <w:pPr>
        <w:spacing w:before="240" w:after="240" w:line="360" w:lineRule="auto"/>
        <w:contextualSpacing/>
        <w:rPr>
          <w:rFonts w:cs="Arial"/>
          <w:b/>
          <w:bCs/>
          <w:color w:val="2F5496" w:themeColor="accent1" w:themeShade="BF"/>
          <w:szCs w:val="26"/>
          <w:lang w:val="en-US"/>
        </w:rPr>
      </w:pPr>
      <w:r w:rsidRPr="00592E9C">
        <w:rPr>
          <w:rFonts w:cs="Arial"/>
          <w:b/>
          <w:bCs/>
          <w:color w:val="2F5496" w:themeColor="accent1" w:themeShade="BF"/>
          <w:szCs w:val="26"/>
          <w:lang w:val="en-US"/>
        </w:rPr>
        <w:t xml:space="preserve">To increase the awareness of your teams, consider a quick group exercise brainstorming what situations these definitions could relate to, in the context of your </w:t>
      </w:r>
      <w:proofErr w:type="gramStart"/>
      <w:r w:rsidRPr="00592E9C">
        <w:rPr>
          <w:rFonts w:cs="Arial"/>
          <w:b/>
          <w:bCs/>
          <w:color w:val="2F5496" w:themeColor="accent1" w:themeShade="BF"/>
          <w:szCs w:val="26"/>
          <w:lang w:val="en-US"/>
        </w:rPr>
        <w:t>supports</w:t>
      </w:r>
      <w:proofErr w:type="gramEnd"/>
      <w:r w:rsidRPr="00592E9C">
        <w:rPr>
          <w:rFonts w:cs="Arial"/>
          <w:b/>
          <w:bCs/>
          <w:color w:val="2F5496" w:themeColor="accent1" w:themeShade="BF"/>
          <w:szCs w:val="26"/>
          <w:lang w:val="en-US"/>
        </w:rPr>
        <w:t xml:space="preserve"> and services.</w:t>
      </w:r>
    </w:p>
    <w:p w14:paraId="13596C1F" w14:textId="77777777" w:rsidR="004C17A1" w:rsidRPr="00592E9C" w:rsidRDefault="004C17A1">
      <w:pPr>
        <w:spacing w:before="0" w:after="160"/>
        <w:rPr>
          <w:rFonts w:eastAsia="Calibri" w:cs="Arial"/>
          <w:b/>
          <w:bCs/>
          <w:kern w:val="2"/>
          <w:szCs w:val="26"/>
          <w:lang w:val="en-US"/>
          <w14:ligatures w14:val="standardContextual"/>
        </w:rPr>
      </w:pPr>
      <w:r w:rsidRPr="00592E9C">
        <w:rPr>
          <w:rFonts w:eastAsia="Calibri" w:cs="Arial"/>
          <w:b/>
          <w:bCs/>
          <w:kern w:val="2"/>
          <w:szCs w:val="26"/>
          <w:lang w:val="en-US"/>
          <w14:ligatures w14:val="standardContextual"/>
        </w:rPr>
        <w:br w:type="page"/>
      </w:r>
    </w:p>
    <w:p w14:paraId="6166C2CF" w14:textId="5B87DDDE" w:rsidR="00FF05FB" w:rsidRPr="00592E9C" w:rsidRDefault="00FF05FB" w:rsidP="00EF0446">
      <w:pPr>
        <w:pStyle w:val="ListParagraph"/>
        <w:numPr>
          <w:ilvl w:val="0"/>
          <w:numId w:val="5"/>
        </w:numPr>
        <w:spacing w:after="240" w:line="288" w:lineRule="auto"/>
        <w:rPr>
          <w:rFonts w:eastAsia="Calibri" w:cs="Arial"/>
          <w:kern w:val="2"/>
          <w:szCs w:val="26"/>
          <w:lang w:val="en-US"/>
          <w14:ligatures w14:val="standardContextual"/>
        </w:rPr>
      </w:pPr>
      <w:r w:rsidRPr="00592E9C">
        <w:rPr>
          <w:rFonts w:eastAsia="Calibri" w:cs="Arial"/>
          <w:b/>
          <w:bCs/>
          <w:kern w:val="2"/>
          <w:szCs w:val="26"/>
          <w:lang w:val="en-US"/>
          <w14:ligatures w14:val="standardContextual"/>
        </w:rPr>
        <w:lastRenderedPageBreak/>
        <w:t xml:space="preserve">Acts by a person with disability that occur in connection with providing NDIS </w:t>
      </w:r>
      <w:proofErr w:type="gramStart"/>
      <w:r w:rsidRPr="00592E9C">
        <w:rPr>
          <w:rFonts w:eastAsia="Calibri" w:cs="Arial"/>
          <w:b/>
          <w:bCs/>
          <w:kern w:val="2"/>
          <w:szCs w:val="26"/>
          <w:lang w:val="en-US"/>
          <w14:ligatures w14:val="standardContextual"/>
        </w:rPr>
        <w:t>supports</w:t>
      </w:r>
      <w:proofErr w:type="gramEnd"/>
      <w:r w:rsidRPr="00592E9C">
        <w:rPr>
          <w:rFonts w:eastAsia="Calibri" w:cs="Arial"/>
          <w:b/>
          <w:bCs/>
          <w:kern w:val="2"/>
          <w:szCs w:val="26"/>
          <w:lang w:val="en-US"/>
          <w14:ligatures w14:val="standardContextual"/>
        </w:rPr>
        <w:t xml:space="preserve"> or services</w:t>
      </w:r>
      <w:r w:rsidRPr="00592E9C">
        <w:rPr>
          <w:rFonts w:eastAsia="Calibri" w:cs="Arial"/>
          <w:kern w:val="2"/>
          <w:szCs w:val="26"/>
          <w:lang w:val="en-US"/>
          <w14:ligatures w14:val="standardContextual"/>
        </w:rPr>
        <w:t xml:space="preserve"> to the person with disability and which have caused serious harm, or a risk of serious harm, to another person. </w:t>
      </w:r>
    </w:p>
    <w:p w14:paraId="274CB87E" w14:textId="77777777" w:rsidR="0001598A" w:rsidRPr="00592E9C" w:rsidRDefault="0001598A" w:rsidP="00710672">
      <w:pPr>
        <w:pStyle w:val="Tips"/>
        <w:ind w:left="360" w:hanging="360"/>
        <w:rPr>
          <w:rFonts w:cs="Arial"/>
          <w:szCs w:val="26"/>
        </w:rPr>
      </w:pPr>
      <w:r w:rsidRPr="00592E9C">
        <w:rPr>
          <w:rFonts w:cs="Arial"/>
          <w:szCs w:val="26"/>
        </w:rPr>
        <w:t xml:space="preserve">Tips: </w:t>
      </w:r>
    </w:p>
    <w:p w14:paraId="0C2F7AC5" w14:textId="30AAE62A" w:rsidR="0001598A" w:rsidRPr="00592E9C" w:rsidRDefault="0001598A" w:rsidP="00710672">
      <w:pPr>
        <w:pStyle w:val="Tips"/>
        <w:ind w:left="360" w:hanging="360"/>
        <w:rPr>
          <w:rFonts w:cs="Arial"/>
          <w:szCs w:val="26"/>
        </w:rPr>
      </w:pPr>
      <w:r w:rsidRPr="00592E9C">
        <w:rPr>
          <w:rFonts w:cs="Arial"/>
          <w:szCs w:val="26"/>
        </w:rPr>
        <w:t xml:space="preserve">What does ‘in connection with </w:t>
      </w:r>
      <w:proofErr w:type="gramStart"/>
      <w:r w:rsidRPr="00592E9C">
        <w:rPr>
          <w:rFonts w:cs="Arial"/>
          <w:szCs w:val="26"/>
        </w:rPr>
        <w:t>supports</w:t>
      </w:r>
      <w:proofErr w:type="gramEnd"/>
      <w:r w:rsidRPr="00592E9C">
        <w:rPr>
          <w:rFonts w:cs="Arial"/>
          <w:szCs w:val="26"/>
        </w:rPr>
        <w:t>’ mean?</w:t>
      </w:r>
    </w:p>
    <w:p w14:paraId="148585BA" w14:textId="3A3C0440" w:rsidR="0001598A" w:rsidRPr="00592E9C" w:rsidRDefault="0001598A" w:rsidP="00FE4088">
      <w:pPr>
        <w:spacing w:before="0" w:after="240" w:line="360" w:lineRule="auto"/>
        <w:rPr>
          <w:rFonts w:cs="Arial"/>
          <w:b/>
          <w:bCs/>
          <w:color w:val="2F5496" w:themeColor="accent1" w:themeShade="BF"/>
          <w:szCs w:val="26"/>
          <w:lang w:val="en-US"/>
        </w:rPr>
      </w:pPr>
      <w:r w:rsidRPr="00592E9C">
        <w:rPr>
          <w:rFonts w:cs="Arial"/>
          <w:b/>
          <w:bCs/>
          <w:color w:val="2F5496" w:themeColor="accent1" w:themeShade="BF"/>
          <w:szCs w:val="26"/>
          <w:lang w:val="en-US"/>
        </w:rPr>
        <w:t>This is an important definition when developing your incident management</w:t>
      </w:r>
      <w:r w:rsidR="00337646" w:rsidRPr="00592E9C">
        <w:rPr>
          <w:rFonts w:cs="Arial"/>
          <w:b/>
          <w:bCs/>
          <w:color w:val="2F5496" w:themeColor="accent1" w:themeShade="BF"/>
          <w:szCs w:val="26"/>
          <w:lang w:val="en-US"/>
        </w:rPr>
        <w:t xml:space="preserve"> </w:t>
      </w:r>
      <w:r w:rsidRPr="00592E9C">
        <w:rPr>
          <w:rFonts w:cs="Arial"/>
          <w:b/>
          <w:bCs/>
          <w:color w:val="2F5496" w:themeColor="accent1" w:themeShade="BF"/>
          <w:szCs w:val="26"/>
          <w:lang w:val="en-US"/>
        </w:rPr>
        <w:t xml:space="preserve">processes and supporting your teams to understand incidents. </w:t>
      </w:r>
    </w:p>
    <w:p w14:paraId="6167DFD9" w14:textId="4A83412B" w:rsidR="0001598A" w:rsidRPr="00592E9C" w:rsidRDefault="0001598A" w:rsidP="007516E0">
      <w:pPr>
        <w:spacing w:before="240" w:line="360" w:lineRule="auto"/>
        <w:rPr>
          <w:rFonts w:cs="Arial"/>
          <w:b/>
          <w:bCs/>
          <w:color w:val="2F5496" w:themeColor="accent1" w:themeShade="BF"/>
          <w:szCs w:val="26"/>
          <w:lang w:val="en-US"/>
        </w:rPr>
      </w:pPr>
      <w:r w:rsidRPr="00592E9C">
        <w:rPr>
          <w:rFonts w:cs="Arial"/>
          <w:b/>
          <w:bCs/>
          <w:color w:val="2F5496" w:themeColor="accent1" w:themeShade="BF"/>
          <w:szCs w:val="26"/>
          <w:lang w:val="en-US"/>
        </w:rPr>
        <w:t>The NDIS Commission defines incidents ‘in connection with supports’ as incidents</w:t>
      </w:r>
      <w:r w:rsidR="00397684" w:rsidRPr="00592E9C">
        <w:rPr>
          <w:rFonts w:cs="Arial"/>
          <w:b/>
          <w:bCs/>
          <w:color w:val="2F5496" w:themeColor="accent1" w:themeShade="BF"/>
          <w:szCs w:val="26"/>
          <w:lang w:val="en-US"/>
        </w:rPr>
        <w:t xml:space="preserve"> </w:t>
      </w:r>
      <w:r w:rsidRPr="00592E9C">
        <w:rPr>
          <w:rFonts w:cs="Arial"/>
          <w:b/>
          <w:bCs/>
          <w:color w:val="2F5496" w:themeColor="accent1" w:themeShade="BF"/>
          <w:szCs w:val="26"/>
          <w:lang w:val="en-US"/>
        </w:rPr>
        <w:t>that:</w:t>
      </w:r>
    </w:p>
    <w:p w14:paraId="69037945" w14:textId="77777777" w:rsidR="0001598A" w:rsidRPr="00592E9C" w:rsidRDefault="0001598A" w:rsidP="00710672">
      <w:pPr>
        <w:pStyle w:val="Tips"/>
        <w:numPr>
          <w:ilvl w:val="0"/>
          <w:numId w:val="7"/>
        </w:numPr>
        <w:rPr>
          <w:rFonts w:cs="Arial"/>
          <w:szCs w:val="26"/>
        </w:rPr>
      </w:pPr>
      <w:r w:rsidRPr="00592E9C">
        <w:rPr>
          <w:rFonts w:cs="Arial"/>
          <w:szCs w:val="26"/>
        </w:rPr>
        <w:t xml:space="preserve">may have occurred during the course of supports or services being </w:t>
      </w:r>
      <w:proofErr w:type="gramStart"/>
      <w:r w:rsidRPr="00592E9C">
        <w:rPr>
          <w:rFonts w:cs="Arial"/>
          <w:szCs w:val="26"/>
        </w:rPr>
        <w:t>provided;</w:t>
      </w:r>
      <w:proofErr w:type="gramEnd"/>
    </w:p>
    <w:p w14:paraId="45504C6B" w14:textId="77777777" w:rsidR="0001598A" w:rsidRPr="00592E9C" w:rsidRDefault="0001598A" w:rsidP="00710672">
      <w:pPr>
        <w:pStyle w:val="Tips"/>
        <w:numPr>
          <w:ilvl w:val="0"/>
          <w:numId w:val="7"/>
        </w:numPr>
        <w:rPr>
          <w:rFonts w:cs="Arial"/>
          <w:szCs w:val="26"/>
        </w:rPr>
      </w:pPr>
      <w:r w:rsidRPr="00592E9C">
        <w:rPr>
          <w:rFonts w:cs="Arial"/>
          <w:szCs w:val="26"/>
        </w:rPr>
        <w:t>arise out of the provision, alteration, or withdrawal of supports or services; and/or</w:t>
      </w:r>
    </w:p>
    <w:p w14:paraId="3490847B" w14:textId="387B43F1" w:rsidR="0001598A" w:rsidRPr="00592E9C" w:rsidRDefault="0001598A" w:rsidP="00FE4088">
      <w:pPr>
        <w:pStyle w:val="Tips"/>
        <w:numPr>
          <w:ilvl w:val="0"/>
          <w:numId w:val="7"/>
        </w:numPr>
        <w:spacing w:after="240"/>
        <w:rPr>
          <w:rFonts w:cs="Arial"/>
          <w:szCs w:val="26"/>
        </w:rPr>
      </w:pPr>
      <w:r w:rsidRPr="00592E9C">
        <w:rPr>
          <w:rFonts w:cs="Arial"/>
          <w:szCs w:val="26"/>
        </w:rPr>
        <w:t>may not have occurred during the provision of supports but are connected because</w:t>
      </w:r>
      <w:r w:rsidR="00397684" w:rsidRPr="00592E9C">
        <w:rPr>
          <w:rFonts w:cs="Arial"/>
          <w:szCs w:val="26"/>
        </w:rPr>
        <w:t xml:space="preserve"> </w:t>
      </w:r>
      <w:r w:rsidRPr="00592E9C">
        <w:rPr>
          <w:rFonts w:cs="Arial"/>
          <w:szCs w:val="26"/>
        </w:rPr>
        <w:t>it arose out of the provision of supports or services.</w:t>
      </w:r>
    </w:p>
    <w:p w14:paraId="08521EE9" w14:textId="77777777" w:rsidR="00495706" w:rsidRPr="00592E9C" w:rsidRDefault="0001598A" w:rsidP="00495706">
      <w:pPr>
        <w:pStyle w:val="Tips"/>
        <w:spacing w:after="0"/>
        <w:ind w:left="360" w:hanging="360"/>
        <w:rPr>
          <w:rFonts w:cs="Arial"/>
          <w:szCs w:val="26"/>
        </w:rPr>
      </w:pPr>
      <w:r w:rsidRPr="00592E9C">
        <w:rPr>
          <w:rFonts w:cs="Arial"/>
          <w:szCs w:val="26"/>
        </w:rPr>
        <w:t xml:space="preserve">Details and examples of incidents ‘in connection with supports’ are included in </w:t>
      </w:r>
      <w:r w:rsidR="001A62E0" w:rsidRPr="00592E9C">
        <w:rPr>
          <w:rFonts w:cs="Arial"/>
          <w:szCs w:val="26"/>
        </w:rPr>
        <w:t>t</w:t>
      </w:r>
      <w:r w:rsidRPr="00592E9C">
        <w:rPr>
          <w:rFonts w:cs="Arial"/>
          <w:szCs w:val="26"/>
        </w:rPr>
        <w:t>he</w:t>
      </w:r>
      <w:r w:rsidR="00495706" w:rsidRPr="00592E9C">
        <w:rPr>
          <w:rFonts w:cs="Arial"/>
          <w:szCs w:val="26"/>
        </w:rPr>
        <w:t xml:space="preserve"> </w:t>
      </w:r>
    </w:p>
    <w:p w14:paraId="273733D5" w14:textId="1425C70E" w:rsidR="0001598A" w:rsidRPr="00592E9C" w:rsidRDefault="00000000" w:rsidP="00495706">
      <w:pPr>
        <w:pStyle w:val="Tips"/>
        <w:spacing w:after="240"/>
        <w:ind w:left="360" w:hanging="360"/>
        <w:rPr>
          <w:rFonts w:eastAsia="Calibri" w:cs="Arial"/>
          <w:b w:val="0"/>
          <w:bCs w:val="0"/>
          <w:szCs w:val="26"/>
        </w:rPr>
      </w:pPr>
      <w:hyperlink r:id="rId11" w:history="1">
        <w:r w:rsidR="00B42BE6" w:rsidRPr="00592E9C">
          <w:rPr>
            <w:rFonts w:eastAsia="Calibri" w:cs="Arial"/>
            <w:b w:val="0"/>
            <w:bCs w:val="0"/>
            <w:color w:val="0000FF"/>
            <w:szCs w:val="26"/>
            <w:u w:val="single"/>
          </w:rPr>
          <w:t>NDIS Commission Detailed Guidance Incident Management Systems webpage</w:t>
        </w:r>
      </w:hyperlink>
      <w:r w:rsidR="00B42BE6" w:rsidRPr="00592E9C">
        <w:rPr>
          <w:rFonts w:eastAsia="Calibri" w:cs="Arial"/>
          <w:b w:val="0"/>
          <w:bCs w:val="0"/>
          <w:color w:val="0000FF"/>
          <w:szCs w:val="26"/>
          <w:u w:val="single"/>
        </w:rPr>
        <w:t>.</w:t>
      </w:r>
      <w:r w:rsidR="00C711EB" w:rsidRPr="00592E9C">
        <w:rPr>
          <w:rFonts w:eastAsia="Calibri" w:cs="Arial"/>
          <w:b w:val="0"/>
          <w:bCs w:val="0"/>
          <w:color w:val="0000FF"/>
          <w:szCs w:val="26"/>
          <w:u w:val="single"/>
        </w:rPr>
        <w:t xml:space="preserve"> </w:t>
      </w:r>
    </w:p>
    <w:p w14:paraId="692133EA" w14:textId="77777777" w:rsidR="003C6021" w:rsidRPr="00592E9C" w:rsidRDefault="003C6021" w:rsidP="007516E0">
      <w:pPr>
        <w:pStyle w:val="Tips"/>
        <w:ind w:left="360" w:hanging="360"/>
        <w:rPr>
          <w:rFonts w:cs="Arial"/>
          <w:szCs w:val="26"/>
        </w:rPr>
      </w:pPr>
      <w:r w:rsidRPr="00592E9C">
        <w:rPr>
          <w:rFonts w:cs="Arial"/>
          <w:szCs w:val="26"/>
        </w:rPr>
        <w:t>What does ‘could have caused harm’ mean?</w:t>
      </w:r>
    </w:p>
    <w:p w14:paraId="39D1804F" w14:textId="77777777" w:rsidR="003C6021" w:rsidRPr="00592E9C" w:rsidRDefault="003C6021" w:rsidP="00495706">
      <w:pPr>
        <w:spacing w:before="0" w:after="240" w:line="360" w:lineRule="auto"/>
        <w:rPr>
          <w:rFonts w:cs="Arial"/>
          <w:b/>
          <w:bCs/>
          <w:color w:val="2F5496" w:themeColor="accent1" w:themeShade="BF"/>
          <w:szCs w:val="26"/>
          <w:lang w:val="en-US"/>
        </w:rPr>
      </w:pPr>
      <w:r w:rsidRPr="00592E9C">
        <w:rPr>
          <w:rFonts w:cs="Arial"/>
          <w:b/>
          <w:bCs/>
          <w:color w:val="2F5496" w:themeColor="accent1" w:themeShade="BF"/>
          <w:szCs w:val="26"/>
          <w:lang w:val="en-US"/>
        </w:rPr>
        <w:t xml:space="preserve">In other contexts, this is sometimes referred to as a near miss. It is where an act, omission or event occurs which could have had the potential to cause harm but did not result in harm. </w:t>
      </w:r>
    </w:p>
    <w:p w14:paraId="65DE0044" w14:textId="35342A8C" w:rsidR="00E40690" w:rsidRPr="00592E9C" w:rsidRDefault="003C6021" w:rsidP="00710672">
      <w:pPr>
        <w:spacing w:before="240" w:after="240" w:line="360" w:lineRule="auto"/>
        <w:rPr>
          <w:rFonts w:cs="Arial"/>
          <w:b/>
          <w:bCs/>
          <w:color w:val="2F5496" w:themeColor="accent1" w:themeShade="BF"/>
          <w:szCs w:val="26"/>
          <w:lang w:val="en-US"/>
        </w:rPr>
      </w:pPr>
      <w:r w:rsidRPr="00592E9C">
        <w:rPr>
          <w:rFonts w:cs="Arial"/>
          <w:b/>
          <w:bCs/>
          <w:color w:val="2F5496" w:themeColor="accent1" w:themeShade="BF"/>
          <w:szCs w:val="26"/>
          <w:lang w:val="en-US"/>
        </w:rPr>
        <w:t>Capturing incidents which could have caused harm, as part of your incident management system, gives you an opportunity to learn from them and prevent something more serious from occurring in the future.</w:t>
      </w:r>
    </w:p>
    <w:p w14:paraId="04AE862B" w14:textId="3E0334B1" w:rsidR="00502DC1" w:rsidRPr="00592E9C" w:rsidRDefault="00BE1FBE" w:rsidP="00592E9C">
      <w:pPr>
        <w:spacing w:before="240" w:after="240" w:line="360" w:lineRule="auto"/>
        <w:rPr>
          <w:rFonts w:cs="Arial"/>
          <w:b/>
          <w:bCs/>
          <w:color w:val="2F5496" w:themeColor="accent1" w:themeShade="BF"/>
          <w:szCs w:val="26"/>
          <w:lang w:val="en-US"/>
        </w:rPr>
      </w:pPr>
      <w:r w:rsidRPr="00592E9C">
        <w:rPr>
          <w:rFonts w:cs="Arial"/>
          <w:b/>
          <w:bCs/>
          <w:color w:val="2F5496" w:themeColor="accent1" w:themeShade="BF"/>
          <w:szCs w:val="26"/>
          <w:lang w:val="en-US"/>
        </w:rPr>
        <w:lastRenderedPageBreak/>
        <w:t>Check in with your workers about incidents which could have caused harm. Do they have a clear understanding of what these types of incidents might be, and where to record and report them?</w:t>
      </w:r>
    </w:p>
    <w:p w14:paraId="0FCBB6B7" w14:textId="4A4774BC" w:rsidR="00E40690" w:rsidRPr="00592E9C" w:rsidRDefault="00502DC1" w:rsidP="00502DC1">
      <w:pPr>
        <w:pStyle w:val="ListParagraph"/>
        <w:numPr>
          <w:ilvl w:val="0"/>
          <w:numId w:val="5"/>
        </w:numPr>
        <w:spacing w:before="240" w:after="240" w:line="360" w:lineRule="auto"/>
        <w:rPr>
          <w:rFonts w:cs="Arial"/>
          <w:b/>
          <w:bCs/>
          <w:szCs w:val="26"/>
          <w:lang w:val="en-US"/>
        </w:rPr>
      </w:pPr>
      <w:r w:rsidRPr="00592E9C">
        <w:rPr>
          <w:rFonts w:eastAsia="Calibri" w:cs="Arial"/>
          <w:b/>
          <w:bCs/>
          <w:kern w:val="2"/>
          <w:szCs w:val="26"/>
          <w:lang w:val="en-US"/>
          <w14:ligatures w14:val="standardContextual"/>
        </w:rPr>
        <w:t>Reportable incidents that have or are alleged to have occurred</w:t>
      </w:r>
      <w:r w:rsidRPr="00592E9C">
        <w:rPr>
          <w:rFonts w:eastAsia="Calibri" w:cs="Arial"/>
          <w:kern w:val="2"/>
          <w:szCs w:val="26"/>
          <w:lang w:val="en-US"/>
          <w14:ligatures w14:val="standardContextual"/>
        </w:rPr>
        <w:t xml:space="preserve"> in connection with providing NDIS supports or services to a person with disability.</w:t>
      </w:r>
    </w:p>
    <w:p w14:paraId="5E648DAA" w14:textId="4DA4FB4B" w:rsidR="009C36E5" w:rsidRPr="00592E9C" w:rsidRDefault="009C36E5" w:rsidP="00BD660C">
      <w:pPr>
        <w:spacing w:before="240" w:after="240" w:line="360" w:lineRule="auto"/>
        <w:rPr>
          <w:rFonts w:cs="Arial"/>
          <w:b/>
          <w:bCs/>
          <w:color w:val="2F5496" w:themeColor="accent1" w:themeShade="BF"/>
          <w:szCs w:val="26"/>
          <w:lang w:val="en-US"/>
        </w:rPr>
      </w:pPr>
      <w:r w:rsidRPr="00592E9C">
        <w:rPr>
          <w:rFonts w:cs="Arial"/>
          <w:b/>
          <w:bCs/>
          <w:color w:val="2F5496" w:themeColor="accent1" w:themeShade="BF"/>
          <w:szCs w:val="26"/>
          <w:lang w:val="en-US"/>
        </w:rPr>
        <w:t>Tips:</w:t>
      </w:r>
    </w:p>
    <w:p w14:paraId="0CD6B2C2" w14:textId="77777777" w:rsidR="009C36E5" w:rsidRPr="00592E9C" w:rsidRDefault="009C36E5" w:rsidP="00BD660C">
      <w:pPr>
        <w:spacing w:before="240" w:after="240" w:line="360" w:lineRule="auto"/>
        <w:rPr>
          <w:rFonts w:cs="Arial"/>
          <w:b/>
          <w:bCs/>
          <w:color w:val="2F5496" w:themeColor="accent1" w:themeShade="BF"/>
          <w:szCs w:val="26"/>
          <w:lang w:val="en-US"/>
        </w:rPr>
      </w:pPr>
      <w:r w:rsidRPr="00592E9C">
        <w:rPr>
          <w:rFonts w:cs="Arial"/>
          <w:b/>
          <w:bCs/>
          <w:color w:val="2F5496" w:themeColor="accent1" w:themeShade="BF"/>
          <w:szCs w:val="26"/>
          <w:lang w:val="en-US"/>
        </w:rPr>
        <w:t xml:space="preserve">Reportable Incidents are specific types of serious incidents that have, or are alleged to have, occurred in connection with the provision of supports and services by registered NDIS providers. </w:t>
      </w:r>
    </w:p>
    <w:p w14:paraId="2394665D" w14:textId="77777777" w:rsidR="009C36E5" w:rsidRPr="00592E9C" w:rsidRDefault="009C36E5" w:rsidP="00BD660C">
      <w:pPr>
        <w:spacing w:before="240" w:after="240" w:line="360" w:lineRule="auto"/>
        <w:rPr>
          <w:rFonts w:cs="Arial"/>
          <w:b/>
          <w:bCs/>
          <w:color w:val="2F5496" w:themeColor="accent1" w:themeShade="BF"/>
          <w:szCs w:val="26"/>
          <w:lang w:val="en-US"/>
        </w:rPr>
      </w:pPr>
      <w:r w:rsidRPr="00592E9C">
        <w:rPr>
          <w:rFonts w:cs="Arial"/>
          <w:b/>
          <w:bCs/>
          <w:color w:val="2F5496" w:themeColor="accent1" w:themeShade="BF"/>
          <w:szCs w:val="26"/>
          <w:lang w:val="en-US"/>
        </w:rPr>
        <w:t>All incidents need to be responded to and recorded in your internal incident records management system, even if they are not reportable to the NDIS Commission.</w:t>
      </w:r>
    </w:p>
    <w:p w14:paraId="08B9E3C4" w14:textId="62492F6E" w:rsidR="00E0173E" w:rsidRPr="00592E9C" w:rsidRDefault="00E0173E" w:rsidP="007516E0">
      <w:pPr>
        <w:spacing w:before="240" w:line="360" w:lineRule="auto"/>
        <w:rPr>
          <w:rFonts w:cs="Arial"/>
          <w:b/>
          <w:bCs/>
          <w:color w:val="2F5496" w:themeColor="accent1" w:themeShade="BF"/>
          <w:szCs w:val="26"/>
          <w:lang w:val="en-US"/>
        </w:rPr>
      </w:pPr>
      <w:r w:rsidRPr="00592E9C">
        <w:rPr>
          <w:rFonts w:cs="Arial"/>
          <w:b/>
          <w:bCs/>
          <w:color w:val="2F5496" w:themeColor="accent1" w:themeShade="BF"/>
          <w:szCs w:val="26"/>
          <w:lang w:val="en-US"/>
        </w:rPr>
        <w:t>Incidents which must be reported to the NDIS Commission</w:t>
      </w:r>
      <w:r w:rsidR="00360887" w:rsidRPr="00592E9C">
        <w:rPr>
          <w:rFonts w:cs="Arial"/>
          <w:b/>
          <w:bCs/>
          <w:color w:val="2F5496" w:themeColor="accent1" w:themeShade="BF"/>
          <w:szCs w:val="26"/>
          <w:lang w:val="en-US"/>
        </w:rPr>
        <w:t>:</w:t>
      </w:r>
    </w:p>
    <w:p w14:paraId="5E639C56" w14:textId="77777777" w:rsidR="00E0173E" w:rsidRPr="00592E9C" w:rsidRDefault="00E0173E" w:rsidP="009B32A4">
      <w:pPr>
        <w:numPr>
          <w:ilvl w:val="0"/>
          <w:numId w:val="8"/>
        </w:numPr>
        <w:spacing w:before="0" w:after="0" w:line="360" w:lineRule="auto"/>
        <w:ind w:left="530"/>
        <w:rPr>
          <w:rFonts w:cs="Arial"/>
          <w:b/>
          <w:bCs/>
          <w:color w:val="2F5496" w:themeColor="accent1" w:themeShade="BF"/>
          <w:szCs w:val="26"/>
          <w:lang w:val="en-US"/>
        </w:rPr>
      </w:pPr>
      <w:r w:rsidRPr="00592E9C">
        <w:rPr>
          <w:rFonts w:cs="Arial"/>
          <w:b/>
          <w:bCs/>
          <w:color w:val="2F5496" w:themeColor="accent1" w:themeShade="BF"/>
          <w:szCs w:val="26"/>
          <w:lang w:val="en-US"/>
        </w:rPr>
        <w:t>The death of a person with disability</w:t>
      </w:r>
    </w:p>
    <w:p w14:paraId="2E7169AF" w14:textId="77777777" w:rsidR="00E0173E" w:rsidRPr="00592E9C" w:rsidRDefault="00E0173E" w:rsidP="009B32A4">
      <w:pPr>
        <w:numPr>
          <w:ilvl w:val="0"/>
          <w:numId w:val="8"/>
        </w:numPr>
        <w:spacing w:before="240" w:after="0" w:line="360" w:lineRule="auto"/>
        <w:ind w:left="530"/>
        <w:rPr>
          <w:rFonts w:cs="Arial"/>
          <w:b/>
          <w:bCs/>
          <w:color w:val="2F5496" w:themeColor="accent1" w:themeShade="BF"/>
          <w:szCs w:val="26"/>
          <w:lang w:val="en-US"/>
        </w:rPr>
      </w:pPr>
      <w:r w:rsidRPr="00592E9C">
        <w:rPr>
          <w:rFonts w:cs="Arial"/>
          <w:b/>
          <w:bCs/>
          <w:color w:val="2F5496" w:themeColor="accent1" w:themeShade="BF"/>
          <w:szCs w:val="26"/>
          <w:lang w:val="en-US"/>
        </w:rPr>
        <w:t>Serious injury of a person with disability</w:t>
      </w:r>
    </w:p>
    <w:p w14:paraId="4FF01B44" w14:textId="77777777" w:rsidR="00E0173E" w:rsidRPr="00592E9C" w:rsidRDefault="00E0173E" w:rsidP="009B32A4">
      <w:pPr>
        <w:numPr>
          <w:ilvl w:val="0"/>
          <w:numId w:val="8"/>
        </w:numPr>
        <w:spacing w:before="240" w:after="0" w:line="360" w:lineRule="auto"/>
        <w:ind w:left="530"/>
        <w:rPr>
          <w:rFonts w:cs="Arial"/>
          <w:b/>
          <w:bCs/>
          <w:color w:val="2F5496" w:themeColor="accent1" w:themeShade="BF"/>
          <w:szCs w:val="26"/>
          <w:lang w:val="en-US"/>
        </w:rPr>
      </w:pPr>
      <w:r w:rsidRPr="00592E9C">
        <w:rPr>
          <w:rFonts w:cs="Arial"/>
          <w:b/>
          <w:bCs/>
          <w:color w:val="2F5496" w:themeColor="accent1" w:themeShade="BF"/>
          <w:szCs w:val="26"/>
          <w:lang w:val="en-US"/>
        </w:rPr>
        <w:t>Abuse or neglect of a person with disability</w:t>
      </w:r>
    </w:p>
    <w:p w14:paraId="4952DE7D" w14:textId="77777777" w:rsidR="00E0173E" w:rsidRPr="00592E9C" w:rsidRDefault="00E0173E" w:rsidP="009B32A4">
      <w:pPr>
        <w:numPr>
          <w:ilvl w:val="0"/>
          <w:numId w:val="8"/>
        </w:numPr>
        <w:spacing w:before="240" w:after="0" w:line="360" w:lineRule="auto"/>
        <w:ind w:left="530"/>
        <w:rPr>
          <w:rFonts w:cs="Arial"/>
          <w:b/>
          <w:bCs/>
          <w:color w:val="2F5496" w:themeColor="accent1" w:themeShade="BF"/>
          <w:szCs w:val="26"/>
          <w:lang w:val="en-US"/>
        </w:rPr>
      </w:pPr>
      <w:r w:rsidRPr="00592E9C">
        <w:rPr>
          <w:rFonts w:cs="Arial"/>
          <w:b/>
          <w:bCs/>
          <w:color w:val="2F5496" w:themeColor="accent1" w:themeShade="BF"/>
          <w:szCs w:val="26"/>
          <w:lang w:val="en-US"/>
        </w:rPr>
        <w:t>Unlawful sexual or physical contact with, or assault of, a person with disability</w:t>
      </w:r>
    </w:p>
    <w:p w14:paraId="0B2E32A3" w14:textId="524CC40B" w:rsidR="00E0173E" w:rsidRPr="00592E9C" w:rsidRDefault="00E0173E" w:rsidP="009B32A4">
      <w:pPr>
        <w:numPr>
          <w:ilvl w:val="0"/>
          <w:numId w:val="8"/>
        </w:numPr>
        <w:spacing w:before="240" w:after="0" w:line="360" w:lineRule="auto"/>
        <w:ind w:left="530"/>
        <w:rPr>
          <w:rFonts w:cs="Arial"/>
          <w:b/>
          <w:bCs/>
          <w:color w:val="2F5496" w:themeColor="accent1" w:themeShade="BF"/>
          <w:szCs w:val="26"/>
          <w:lang w:val="en-US"/>
        </w:rPr>
      </w:pPr>
      <w:r w:rsidRPr="00592E9C">
        <w:rPr>
          <w:rFonts w:cs="Arial"/>
          <w:b/>
          <w:bCs/>
          <w:color w:val="2F5496" w:themeColor="accent1" w:themeShade="BF"/>
          <w:szCs w:val="26"/>
          <w:lang w:val="en-US"/>
        </w:rPr>
        <w:t>Sexual misconduct committed against, or in the presence of, a person with disability, including grooming of the person</w:t>
      </w:r>
      <w:r w:rsidR="00261803" w:rsidRPr="00592E9C">
        <w:rPr>
          <w:rFonts w:cs="Arial"/>
          <w:b/>
          <w:bCs/>
          <w:color w:val="2F5496" w:themeColor="accent1" w:themeShade="BF"/>
          <w:szCs w:val="26"/>
          <w:lang w:val="en-US"/>
        </w:rPr>
        <w:t>.</w:t>
      </w:r>
    </w:p>
    <w:p w14:paraId="275D4F39" w14:textId="77777777" w:rsidR="00592E9C" w:rsidRDefault="00592E9C">
      <w:pPr>
        <w:spacing w:before="0" w:after="160"/>
        <w:rPr>
          <w:rFonts w:cs="Arial"/>
          <w:b/>
          <w:bCs/>
          <w:color w:val="2F5496" w:themeColor="accent1" w:themeShade="BF"/>
          <w:szCs w:val="26"/>
          <w:lang w:val="en-US"/>
        </w:rPr>
      </w:pPr>
      <w:r>
        <w:rPr>
          <w:rFonts w:cs="Arial"/>
          <w:b/>
          <w:bCs/>
          <w:color w:val="2F5496" w:themeColor="accent1" w:themeShade="BF"/>
          <w:szCs w:val="26"/>
          <w:lang w:val="en-US"/>
        </w:rPr>
        <w:br w:type="page"/>
      </w:r>
    </w:p>
    <w:p w14:paraId="0DFBB836" w14:textId="1C092F03" w:rsidR="009C36E5" w:rsidRPr="00592E9C" w:rsidRDefault="00E0173E" w:rsidP="009B32A4">
      <w:pPr>
        <w:spacing w:before="240" w:after="240" w:line="360" w:lineRule="auto"/>
        <w:rPr>
          <w:rFonts w:cs="Arial"/>
          <w:b/>
          <w:bCs/>
          <w:color w:val="2F5496" w:themeColor="accent1" w:themeShade="BF"/>
          <w:szCs w:val="26"/>
          <w:lang w:val="en-US"/>
        </w:rPr>
      </w:pPr>
      <w:r w:rsidRPr="00592E9C">
        <w:rPr>
          <w:rFonts w:cs="Arial"/>
          <w:b/>
          <w:bCs/>
          <w:color w:val="2F5496" w:themeColor="accent1" w:themeShade="BF"/>
          <w:szCs w:val="26"/>
          <w:lang w:val="en-US"/>
        </w:rPr>
        <w:lastRenderedPageBreak/>
        <w:t xml:space="preserve">The use of a restrictive practice in relation to a person with disability that is </w:t>
      </w:r>
      <w:proofErr w:type="spellStart"/>
      <w:r w:rsidRPr="00592E9C">
        <w:rPr>
          <w:rFonts w:cs="Arial"/>
          <w:b/>
          <w:bCs/>
          <w:color w:val="2F5496" w:themeColor="accent1" w:themeShade="BF"/>
          <w:szCs w:val="26"/>
          <w:lang w:val="en-US"/>
        </w:rPr>
        <w:t>unauthorised</w:t>
      </w:r>
      <w:proofErr w:type="spellEnd"/>
      <w:r w:rsidRPr="00592E9C">
        <w:rPr>
          <w:rFonts w:cs="Arial"/>
          <w:b/>
          <w:bCs/>
          <w:color w:val="2F5496" w:themeColor="accent1" w:themeShade="BF"/>
          <w:szCs w:val="26"/>
          <w:lang w:val="en-US"/>
        </w:rPr>
        <w:t xml:space="preserve"> use or not in accordance with a </w:t>
      </w:r>
      <w:proofErr w:type="spellStart"/>
      <w:r w:rsidRPr="00592E9C">
        <w:rPr>
          <w:rFonts w:cs="Arial"/>
          <w:b/>
          <w:bCs/>
          <w:color w:val="2F5496" w:themeColor="accent1" w:themeShade="BF"/>
          <w:szCs w:val="26"/>
          <w:lang w:val="en-US"/>
        </w:rPr>
        <w:t>behaviour</w:t>
      </w:r>
      <w:proofErr w:type="spellEnd"/>
      <w:r w:rsidRPr="00592E9C">
        <w:rPr>
          <w:rFonts w:cs="Arial"/>
          <w:b/>
          <w:bCs/>
          <w:color w:val="2F5496" w:themeColor="accent1" w:themeShade="BF"/>
          <w:szCs w:val="26"/>
          <w:lang w:val="en-US"/>
        </w:rPr>
        <w:t xml:space="preserve"> support plan.</w:t>
      </w:r>
    </w:p>
    <w:p w14:paraId="426C0A2D" w14:textId="50E77CE7" w:rsidR="00BD660C" w:rsidRPr="00592E9C" w:rsidRDefault="00000000" w:rsidP="009B32A4">
      <w:pPr>
        <w:spacing w:before="240" w:after="240" w:line="360" w:lineRule="auto"/>
        <w:rPr>
          <w:rFonts w:cs="Arial"/>
          <w:b/>
          <w:bCs/>
          <w:color w:val="2F5496" w:themeColor="accent1" w:themeShade="BF"/>
          <w:szCs w:val="26"/>
          <w:lang w:val="en-US"/>
        </w:rPr>
      </w:pPr>
      <w:hyperlink r:id="rId12" w:history="1">
        <w:r w:rsidR="00EF0446" w:rsidRPr="00592E9C">
          <w:rPr>
            <w:rFonts w:eastAsia="Calibri" w:cs="Arial"/>
            <w:color w:val="0000FF"/>
            <w:szCs w:val="26"/>
            <w:u w:val="single"/>
            <w:lang w:val="en-US"/>
          </w:rPr>
          <w:t>NDIS Commission Detailed guidance expectations of workers providing services webpage</w:t>
        </w:r>
      </w:hyperlink>
      <w:r w:rsidR="00010537" w:rsidRPr="00592E9C">
        <w:rPr>
          <w:rFonts w:eastAsia="Calibri" w:cs="Arial"/>
          <w:color w:val="0000FF"/>
          <w:szCs w:val="26"/>
          <w:u w:val="single"/>
          <w:lang w:val="en-US"/>
        </w:rPr>
        <w:t>.</w:t>
      </w:r>
      <w:r w:rsidR="00161381" w:rsidRPr="00592E9C">
        <w:rPr>
          <w:rFonts w:eastAsia="Calibri" w:cs="Arial"/>
          <w:szCs w:val="26"/>
          <w:lang w:val="en-US"/>
        </w:rPr>
        <w:t xml:space="preserve"> </w:t>
      </w:r>
      <w:r w:rsidR="00161381" w:rsidRPr="00592E9C">
        <w:rPr>
          <w:rFonts w:cs="Arial"/>
          <w:b/>
          <w:bCs/>
          <w:color w:val="2F5496" w:themeColor="accent1" w:themeShade="BF"/>
          <w:szCs w:val="26"/>
          <w:lang w:val="en-US"/>
        </w:rPr>
        <w:t>unpacks these definitions for workers and identifies their roles and responsibilities. Use the materials to discuss the important role they play in responding to and reporting incidents.</w:t>
      </w:r>
    </w:p>
    <w:p w14:paraId="73158C27" w14:textId="53CCC6B7" w:rsidR="00BD660C" w:rsidRPr="00592E9C" w:rsidRDefault="005C3538" w:rsidP="00592E9C">
      <w:pPr>
        <w:spacing w:before="0" w:after="240" w:line="288" w:lineRule="auto"/>
        <w:rPr>
          <w:rFonts w:eastAsia="Calibri" w:cs="Arial"/>
          <w:kern w:val="2"/>
          <w:szCs w:val="26"/>
          <w:lang w:val="en-US"/>
          <w14:ligatures w14:val="standardContextual"/>
        </w:rPr>
      </w:pPr>
      <w:r w:rsidRPr="00592E9C">
        <w:rPr>
          <w:rFonts w:eastAsia="Calibri" w:cs="Arial"/>
          <w:kern w:val="2"/>
          <w:szCs w:val="26"/>
          <w:lang w:val="en-US"/>
          <w14:ligatures w14:val="standardContextual"/>
        </w:rPr>
        <w:t xml:space="preserve">There are timeframes and reporting requirements for incidents that fall into these categories, due to the level of risk associated with them. The NDIS Commission has provided detailed guidance to Registered Providers on their responsibilities for reportable incidents: </w:t>
      </w:r>
      <w:hyperlink r:id="rId13" w:history="1">
        <w:r w:rsidR="00010537" w:rsidRPr="00592E9C">
          <w:rPr>
            <w:rFonts w:eastAsia="Calibri" w:cs="Arial"/>
            <w:color w:val="0000FF"/>
            <w:kern w:val="2"/>
            <w:szCs w:val="26"/>
            <w:u w:val="single"/>
            <w14:ligatures w14:val="standardContextual"/>
          </w:rPr>
          <w:t>NDIS Commission Detailed guidance reportable incidents webpage.</w:t>
        </w:r>
      </w:hyperlink>
    </w:p>
    <w:p w14:paraId="5D74E761" w14:textId="77777777" w:rsidR="00422CFD" w:rsidRPr="00420959" w:rsidRDefault="00422CFD" w:rsidP="00420959">
      <w:pPr>
        <w:pStyle w:val="Heading1"/>
        <w:rPr>
          <w:lang w:val="en-US"/>
        </w:rPr>
      </w:pPr>
      <w:r w:rsidRPr="00420959">
        <w:rPr>
          <w:rStyle w:val="Heading1Char"/>
          <w:b/>
          <w:bCs/>
        </w:rPr>
        <w:t>Workplace Health and Safety (WHS) and other types of</w:t>
      </w:r>
      <w:r w:rsidRPr="00420959">
        <w:rPr>
          <w:lang w:val="en-US"/>
        </w:rPr>
        <w:t xml:space="preserve"> incidents</w:t>
      </w:r>
    </w:p>
    <w:p w14:paraId="68DD6275" w14:textId="2CA48950" w:rsidR="00422CFD" w:rsidRPr="00592E9C" w:rsidRDefault="00422CFD" w:rsidP="00261803">
      <w:pPr>
        <w:spacing w:line="288" w:lineRule="auto"/>
        <w:rPr>
          <w:rFonts w:eastAsia="Calibri" w:cs="Arial"/>
          <w:kern w:val="2"/>
          <w:szCs w:val="26"/>
          <w14:ligatures w14:val="standardContextual"/>
        </w:rPr>
      </w:pPr>
      <w:r w:rsidRPr="00592E9C">
        <w:rPr>
          <w:rFonts w:eastAsia="Calibri" w:cs="Arial"/>
          <w:bCs/>
          <w:kern w:val="2"/>
          <w:szCs w:val="26"/>
          <w14:ligatures w14:val="standardContextual"/>
        </w:rPr>
        <w:t xml:space="preserve">In addition to the NDIS defined incidents, there are incidents that are under the WHS Act.  Organisations who employ staff, also have a legal responsibility to provide a safe working environment.  Safe Work Australia provide practical guidance and resources to assist employers - </w:t>
      </w:r>
      <w:hyperlink r:id="rId14" w:history="1">
        <w:r w:rsidR="00010537" w:rsidRPr="00592E9C">
          <w:rPr>
            <w:rFonts w:eastAsia="Calibri" w:cs="Arial"/>
            <w:color w:val="0000FF"/>
            <w:kern w:val="2"/>
            <w:szCs w:val="26"/>
            <w:u w:val="single"/>
            <w14:ligatures w14:val="standardContextual"/>
          </w:rPr>
          <w:t>Safe Work Australia - Managing health and safety webpage</w:t>
        </w:r>
      </w:hyperlink>
      <w:r w:rsidRPr="00592E9C">
        <w:rPr>
          <w:rFonts w:eastAsia="Calibri" w:cs="Arial"/>
          <w:kern w:val="2"/>
          <w:szCs w:val="26"/>
          <w14:ligatures w14:val="standardContextual"/>
        </w:rPr>
        <w:t xml:space="preserve">. </w:t>
      </w:r>
    </w:p>
    <w:p w14:paraId="101703C4" w14:textId="08B58C14" w:rsidR="00422CFD" w:rsidRPr="00592E9C" w:rsidRDefault="00422CFD" w:rsidP="00261803">
      <w:pPr>
        <w:spacing w:after="240" w:line="288" w:lineRule="auto"/>
        <w:rPr>
          <w:rFonts w:eastAsia="Calibri" w:cs="Arial"/>
          <w:kern w:val="2"/>
          <w:szCs w:val="26"/>
          <w14:ligatures w14:val="standardContextual"/>
        </w:rPr>
      </w:pPr>
      <w:r w:rsidRPr="00592E9C">
        <w:rPr>
          <w:rFonts w:eastAsia="Calibri" w:cs="Arial"/>
          <w:bCs/>
          <w:kern w:val="2"/>
          <w:szCs w:val="26"/>
          <w14:ligatures w14:val="standardContextual"/>
        </w:rPr>
        <w:t xml:space="preserve">This includes managing workplace health and safety risks and incident reporting </w:t>
      </w:r>
      <w:hyperlink r:id="rId15" w:history="1">
        <w:r w:rsidR="00010537" w:rsidRPr="00592E9C">
          <w:rPr>
            <w:rFonts w:eastAsia="Calibri" w:cs="Arial"/>
            <w:color w:val="0000FF"/>
            <w:kern w:val="2"/>
            <w:szCs w:val="26"/>
            <w:u w:val="single"/>
            <w14:ligatures w14:val="standardContextual"/>
          </w:rPr>
          <w:t>Safe Work Australia - Incident reporting webpage</w:t>
        </w:r>
      </w:hyperlink>
      <w:r w:rsidR="00FC4C07" w:rsidRPr="00592E9C">
        <w:rPr>
          <w:rFonts w:eastAsia="Calibri" w:cs="Arial"/>
          <w:color w:val="0000FF"/>
          <w:kern w:val="2"/>
          <w:szCs w:val="26"/>
          <w:u w:val="single"/>
          <w14:ligatures w14:val="standardContextual"/>
        </w:rPr>
        <w:t>.</w:t>
      </w:r>
    </w:p>
    <w:p w14:paraId="16D8D880" w14:textId="39982E2F" w:rsidR="00297648" w:rsidRPr="00592E9C" w:rsidRDefault="00297648" w:rsidP="00261803">
      <w:pPr>
        <w:spacing w:after="240" w:line="360" w:lineRule="auto"/>
        <w:ind w:right="170"/>
        <w:rPr>
          <w:rFonts w:eastAsia="Calibri" w:cs="Arial"/>
          <w:szCs w:val="26"/>
          <w:lang w:val="en-US"/>
        </w:rPr>
      </w:pPr>
      <w:r w:rsidRPr="00592E9C">
        <w:rPr>
          <w:rFonts w:cs="Arial"/>
          <w:b/>
          <w:bCs/>
          <w:color w:val="2F5496" w:themeColor="accent1" w:themeShade="BF"/>
          <w:szCs w:val="26"/>
          <w:lang w:val="en-US"/>
        </w:rPr>
        <w:t>Tips: In WA the local WHS regulator is the</w:t>
      </w:r>
      <w:r w:rsidRPr="00592E9C">
        <w:rPr>
          <w:rFonts w:eastAsia="Calibri" w:cs="Arial"/>
          <w:szCs w:val="26"/>
          <w:lang w:val="en-US"/>
        </w:rPr>
        <w:t xml:space="preserve"> </w:t>
      </w:r>
      <w:hyperlink r:id="rId16" w:history="1">
        <w:r w:rsidR="00010537" w:rsidRPr="00592E9C">
          <w:rPr>
            <w:rFonts w:eastAsia="Calibri" w:cs="Arial"/>
            <w:color w:val="0000FF"/>
            <w:szCs w:val="26"/>
            <w:u w:val="single"/>
          </w:rPr>
          <w:t>WorkSafe - Department of Mines, Industry Regulation and Safety webpage</w:t>
        </w:r>
      </w:hyperlink>
      <w:r w:rsidRPr="00592E9C">
        <w:rPr>
          <w:rFonts w:eastAsia="Calibri" w:cs="Arial"/>
          <w:szCs w:val="26"/>
          <w:lang w:val="en-US"/>
        </w:rPr>
        <w:t xml:space="preserve">. </w:t>
      </w:r>
    </w:p>
    <w:p w14:paraId="255EA93A" w14:textId="1D3725F6" w:rsidR="00161381" w:rsidRPr="00592E9C" w:rsidRDefault="00000000" w:rsidP="000E15A6">
      <w:pPr>
        <w:spacing w:after="240" w:line="360" w:lineRule="auto"/>
        <w:rPr>
          <w:rFonts w:cs="Arial"/>
          <w:b/>
          <w:bCs/>
          <w:color w:val="2F5496" w:themeColor="accent1" w:themeShade="BF"/>
          <w:szCs w:val="26"/>
          <w:lang w:val="en-US"/>
        </w:rPr>
      </w:pPr>
      <w:hyperlink r:id="rId17" w:history="1">
        <w:r w:rsidR="00010537" w:rsidRPr="00592E9C">
          <w:rPr>
            <w:rFonts w:eastAsia="Calibri" w:cs="Arial"/>
            <w:color w:val="0000FF"/>
            <w:szCs w:val="26"/>
            <w:u w:val="single"/>
          </w:rPr>
          <w:t>What is a notifiable incident? webpage</w:t>
        </w:r>
      </w:hyperlink>
      <w:r w:rsidR="003F7232" w:rsidRPr="00592E9C">
        <w:rPr>
          <w:rFonts w:cs="Arial"/>
          <w:b/>
          <w:bCs/>
          <w:color w:val="2F5496" w:themeColor="accent1" w:themeShade="BF"/>
          <w:szCs w:val="26"/>
          <w:lang w:val="en-US"/>
        </w:rPr>
        <w:t xml:space="preserve"> G</w:t>
      </w:r>
      <w:r w:rsidR="00297648" w:rsidRPr="00592E9C">
        <w:rPr>
          <w:rFonts w:cs="Arial"/>
          <w:b/>
          <w:bCs/>
          <w:color w:val="2F5496" w:themeColor="accent1" w:themeShade="BF"/>
          <w:szCs w:val="26"/>
          <w:lang w:val="en-US"/>
        </w:rPr>
        <w:t>ives information on what ‘notifiable incident’ means and when employers have a responsibility to report.</w:t>
      </w:r>
    </w:p>
    <w:p w14:paraId="4459FDF5" w14:textId="77777777" w:rsidR="000E15A6" w:rsidRPr="00592E9C" w:rsidRDefault="000E15A6" w:rsidP="00BC1F3A">
      <w:pPr>
        <w:spacing w:line="288" w:lineRule="auto"/>
        <w:rPr>
          <w:rFonts w:eastAsia="Calibri" w:cs="Arial"/>
          <w:bCs/>
          <w:kern w:val="2"/>
          <w:szCs w:val="26"/>
          <w14:ligatures w14:val="standardContextual"/>
        </w:rPr>
      </w:pPr>
      <w:r w:rsidRPr="00592E9C">
        <w:rPr>
          <w:rFonts w:eastAsia="Calibri" w:cs="Arial"/>
          <w:bCs/>
          <w:kern w:val="2"/>
          <w:szCs w:val="26"/>
          <w14:ligatures w14:val="standardContextual"/>
        </w:rPr>
        <w:t>Other incidents which an organisation might consider when developing their framework are:</w:t>
      </w:r>
    </w:p>
    <w:p w14:paraId="6F813F51" w14:textId="3CF4CB57" w:rsidR="00FB68DF" w:rsidRPr="00592E9C" w:rsidRDefault="000209B9" w:rsidP="00BC1F3A">
      <w:pPr>
        <w:spacing w:line="288" w:lineRule="auto"/>
        <w:ind w:right="170"/>
        <w:rPr>
          <w:rFonts w:eastAsia="Calibri" w:cs="Arial"/>
          <w:bCs/>
          <w:szCs w:val="26"/>
        </w:rPr>
      </w:pPr>
      <w:r w:rsidRPr="00592E9C">
        <w:rPr>
          <w:rFonts w:eastAsia="Calibri" w:cs="Arial"/>
          <w:b/>
          <w:bCs/>
          <w:szCs w:val="26"/>
        </w:rPr>
        <w:t>Incidents which impact people’s personal security</w:t>
      </w:r>
      <w:r w:rsidR="00FB68DF" w:rsidRPr="00592E9C">
        <w:rPr>
          <w:rFonts w:eastAsia="Calibri" w:cs="Arial"/>
          <w:b/>
          <w:bCs/>
          <w:szCs w:val="26"/>
        </w:rPr>
        <w:t xml:space="preserve"> - </w:t>
      </w:r>
      <w:r w:rsidR="00FB68DF" w:rsidRPr="00592E9C">
        <w:rPr>
          <w:rFonts w:eastAsia="Calibri" w:cs="Arial"/>
          <w:bCs/>
          <w:szCs w:val="26"/>
        </w:rPr>
        <w:t>Such as accidents, injuries, and near misses.</w:t>
      </w:r>
    </w:p>
    <w:p w14:paraId="15FB85B0" w14:textId="268D30A5" w:rsidR="00BD3CAF" w:rsidRPr="00592E9C" w:rsidRDefault="00793C9A" w:rsidP="00BC1F3A">
      <w:pPr>
        <w:spacing w:line="288" w:lineRule="auto"/>
        <w:ind w:right="170"/>
        <w:rPr>
          <w:rFonts w:eastAsia="Calibri" w:cs="Arial"/>
          <w:bCs/>
          <w:szCs w:val="26"/>
        </w:rPr>
      </w:pPr>
      <w:r w:rsidRPr="00592E9C">
        <w:rPr>
          <w:rFonts w:eastAsia="Calibri" w:cs="Arial"/>
          <w:b/>
          <w:bCs/>
          <w:szCs w:val="26"/>
        </w:rPr>
        <w:lastRenderedPageBreak/>
        <w:t xml:space="preserve">IT or information security incidents - </w:t>
      </w:r>
      <w:r w:rsidR="00BD3CAF" w:rsidRPr="00592E9C">
        <w:rPr>
          <w:rFonts w:eastAsia="Calibri" w:cs="Arial"/>
          <w:bCs/>
          <w:szCs w:val="26"/>
        </w:rPr>
        <w:t xml:space="preserve">Such as breach or suspected breach of information, </w:t>
      </w:r>
      <w:proofErr w:type="gramStart"/>
      <w:r w:rsidR="00BD3CAF" w:rsidRPr="00592E9C">
        <w:rPr>
          <w:rFonts w:eastAsia="Calibri" w:cs="Arial"/>
          <w:bCs/>
          <w:szCs w:val="26"/>
        </w:rPr>
        <w:t>data</w:t>
      </w:r>
      <w:proofErr w:type="gramEnd"/>
      <w:r w:rsidR="00BD3CAF" w:rsidRPr="00592E9C">
        <w:rPr>
          <w:rFonts w:eastAsia="Calibri" w:cs="Arial"/>
          <w:bCs/>
          <w:szCs w:val="26"/>
        </w:rPr>
        <w:t xml:space="preserve"> or privacy.</w:t>
      </w:r>
    </w:p>
    <w:p w14:paraId="5A951C5B" w14:textId="25C5BF2F" w:rsidR="00BD3CAF" w:rsidRPr="00592E9C" w:rsidRDefault="000F0EE8" w:rsidP="00BC1F3A">
      <w:pPr>
        <w:spacing w:line="288" w:lineRule="auto"/>
        <w:ind w:right="170"/>
        <w:rPr>
          <w:rFonts w:eastAsia="Calibri" w:cs="Arial"/>
          <w:bCs/>
          <w:szCs w:val="26"/>
        </w:rPr>
      </w:pPr>
      <w:r w:rsidRPr="00592E9C">
        <w:rPr>
          <w:rFonts w:eastAsia="Calibri" w:cs="Arial"/>
          <w:b/>
          <w:bCs/>
          <w:szCs w:val="26"/>
        </w:rPr>
        <w:t xml:space="preserve">Incidents which have a financial impact - </w:t>
      </w:r>
      <w:r w:rsidR="004F389B" w:rsidRPr="00592E9C">
        <w:rPr>
          <w:rFonts w:eastAsia="Calibri" w:cs="Arial"/>
          <w:bCs/>
          <w:szCs w:val="26"/>
        </w:rPr>
        <w:t>Such as significant damage and/or loss of equipment or goods.</w:t>
      </w:r>
    </w:p>
    <w:p w14:paraId="542509BB" w14:textId="0CD3D92D" w:rsidR="004F389B" w:rsidRPr="00592E9C" w:rsidRDefault="00261B4B" w:rsidP="00BC1F3A">
      <w:pPr>
        <w:spacing w:line="288" w:lineRule="auto"/>
        <w:ind w:right="170"/>
        <w:rPr>
          <w:rFonts w:eastAsia="Calibri" w:cs="Arial"/>
          <w:bCs/>
          <w:szCs w:val="26"/>
        </w:rPr>
      </w:pPr>
      <w:r w:rsidRPr="00592E9C">
        <w:rPr>
          <w:rFonts w:eastAsia="Calibri" w:cs="Arial"/>
          <w:b/>
          <w:bCs/>
          <w:szCs w:val="26"/>
        </w:rPr>
        <w:t xml:space="preserve">Incidents which impact physical security - </w:t>
      </w:r>
      <w:r w:rsidR="006824D5" w:rsidRPr="00592E9C">
        <w:rPr>
          <w:rFonts w:eastAsia="Calibri" w:cs="Arial"/>
          <w:bCs/>
          <w:szCs w:val="26"/>
        </w:rPr>
        <w:t>Such as significant damage to property.</w:t>
      </w:r>
    </w:p>
    <w:p w14:paraId="0CE532A8" w14:textId="590B7E2C" w:rsidR="006824D5" w:rsidRPr="00592E9C" w:rsidRDefault="00CB6044" w:rsidP="00BC1F3A">
      <w:pPr>
        <w:spacing w:line="288" w:lineRule="auto"/>
        <w:ind w:right="170"/>
        <w:rPr>
          <w:rFonts w:eastAsia="Calibri" w:cs="Arial"/>
          <w:bCs/>
          <w:szCs w:val="26"/>
        </w:rPr>
      </w:pPr>
      <w:r w:rsidRPr="00592E9C">
        <w:rPr>
          <w:rFonts w:eastAsia="Calibri" w:cs="Arial"/>
          <w:b/>
          <w:bCs/>
          <w:szCs w:val="26"/>
        </w:rPr>
        <w:t xml:space="preserve">Incidents which have a reputational impact - </w:t>
      </w:r>
      <w:r w:rsidR="00C32575" w:rsidRPr="00592E9C">
        <w:rPr>
          <w:rFonts w:eastAsia="Calibri" w:cs="Arial"/>
          <w:bCs/>
          <w:szCs w:val="26"/>
        </w:rPr>
        <w:t xml:space="preserve">Such as a significant complaint, negative </w:t>
      </w:r>
      <w:proofErr w:type="gramStart"/>
      <w:r w:rsidR="00C32575" w:rsidRPr="00592E9C">
        <w:rPr>
          <w:rFonts w:eastAsia="Calibri" w:cs="Arial"/>
          <w:bCs/>
          <w:szCs w:val="26"/>
        </w:rPr>
        <w:t>feedback</w:t>
      </w:r>
      <w:proofErr w:type="gramEnd"/>
      <w:r w:rsidR="00C32575" w:rsidRPr="00592E9C">
        <w:rPr>
          <w:rFonts w:eastAsia="Calibri" w:cs="Arial"/>
          <w:bCs/>
          <w:szCs w:val="26"/>
        </w:rPr>
        <w:t xml:space="preserve"> or breach in statutory breach in obligations which has the potential for negative publicity</w:t>
      </w:r>
      <w:r w:rsidR="004F4DF7" w:rsidRPr="00592E9C">
        <w:rPr>
          <w:rFonts w:eastAsia="Calibri" w:cs="Arial"/>
          <w:bCs/>
          <w:szCs w:val="26"/>
        </w:rPr>
        <w:t>.</w:t>
      </w:r>
    </w:p>
    <w:p w14:paraId="49B7E4EF" w14:textId="0C71CC50" w:rsidR="007130B1" w:rsidRPr="00A212BA" w:rsidRDefault="00A61ACC" w:rsidP="00A212BA">
      <w:pPr>
        <w:spacing w:after="240" w:line="288" w:lineRule="auto"/>
        <w:ind w:right="170"/>
        <w:rPr>
          <w:rFonts w:eastAsia="Calibri" w:cs="Arial"/>
          <w:bCs/>
          <w:szCs w:val="26"/>
        </w:rPr>
      </w:pPr>
      <w:r w:rsidRPr="00592E9C">
        <w:rPr>
          <w:rFonts w:eastAsia="Calibri" w:cs="Arial"/>
          <w:b/>
          <w:bCs/>
          <w:szCs w:val="26"/>
        </w:rPr>
        <w:t xml:space="preserve">A legislative or compliance issue - </w:t>
      </w:r>
      <w:r w:rsidR="004F4DF7" w:rsidRPr="00592E9C">
        <w:rPr>
          <w:rFonts w:eastAsia="Calibri" w:cs="Arial"/>
          <w:bCs/>
          <w:szCs w:val="26"/>
        </w:rPr>
        <w:t>Such as a statutory or regulatory breach (</w:t>
      </w:r>
      <w:proofErr w:type="gramStart"/>
      <w:r w:rsidR="004F4DF7" w:rsidRPr="00592E9C">
        <w:rPr>
          <w:rFonts w:eastAsia="Calibri" w:cs="Arial"/>
          <w:bCs/>
          <w:szCs w:val="26"/>
        </w:rPr>
        <w:t>e.g.</w:t>
      </w:r>
      <w:proofErr w:type="gramEnd"/>
      <w:r w:rsidR="004F4DF7" w:rsidRPr="00592E9C">
        <w:rPr>
          <w:rFonts w:eastAsia="Calibri" w:cs="Arial"/>
          <w:bCs/>
          <w:szCs w:val="26"/>
        </w:rPr>
        <w:t xml:space="preserve"> discrimination, ethical, WHS or financial).</w:t>
      </w:r>
      <w:bookmarkStart w:id="0" w:name="_Toc119333186"/>
    </w:p>
    <w:p w14:paraId="3897BCA8" w14:textId="1AE7CD33" w:rsidR="006B772E" w:rsidRPr="007C205E" w:rsidRDefault="006B772E" w:rsidP="006B772E">
      <w:pPr>
        <w:pStyle w:val="Heading2"/>
        <w:spacing w:before="120" w:after="120" w:line="288" w:lineRule="auto"/>
        <w:rPr>
          <w:rFonts w:eastAsia="Calibri"/>
        </w:rPr>
      </w:pPr>
      <w:r w:rsidRPr="007C205E">
        <w:rPr>
          <w:rFonts w:eastAsia="Calibri"/>
        </w:rPr>
        <w:t>Reporting to other reporting bodies</w:t>
      </w:r>
      <w:bookmarkEnd w:id="0"/>
    </w:p>
    <w:p w14:paraId="302D3CC5" w14:textId="77777777" w:rsidR="006B772E" w:rsidRPr="00A212BA" w:rsidRDefault="006B772E" w:rsidP="007130B1">
      <w:pPr>
        <w:spacing w:after="240" w:line="288" w:lineRule="auto"/>
        <w:rPr>
          <w:rFonts w:eastAsia="Calibri" w:cs="Arial"/>
          <w:color w:val="000000"/>
          <w:szCs w:val="26"/>
        </w:rPr>
      </w:pPr>
      <w:r w:rsidRPr="00A212BA">
        <w:rPr>
          <w:rFonts w:eastAsia="Calibri" w:cs="Arial"/>
          <w:color w:val="000000"/>
          <w:szCs w:val="26"/>
        </w:rPr>
        <w:t xml:space="preserve">Sometimes incidents will occur which require reporting to other bodies. </w:t>
      </w:r>
    </w:p>
    <w:p w14:paraId="37748325" w14:textId="72F98CC0" w:rsidR="00FB68DF" w:rsidRPr="00A212BA" w:rsidRDefault="00C7259E" w:rsidP="00FF78A5">
      <w:pPr>
        <w:spacing w:before="240" w:after="240" w:line="360" w:lineRule="auto"/>
        <w:rPr>
          <w:rFonts w:cs="Arial"/>
          <w:b/>
          <w:bCs/>
          <w:color w:val="2F5496" w:themeColor="accent1" w:themeShade="BF"/>
          <w:szCs w:val="26"/>
          <w:lang w:val="en-US"/>
        </w:rPr>
      </w:pPr>
      <w:r w:rsidRPr="00A212BA">
        <w:rPr>
          <w:rFonts w:cs="Arial"/>
          <w:b/>
          <w:bCs/>
          <w:color w:val="2F5496" w:themeColor="accent1" w:themeShade="BF"/>
          <w:szCs w:val="26"/>
          <w:lang w:val="en-US"/>
        </w:rPr>
        <w:t>Important note: The information below is for reporting in WA. If you require information about reporting in another state, you will need to source the relevant contacts from your state-based resources.</w:t>
      </w:r>
    </w:p>
    <w:p w14:paraId="21C59C14" w14:textId="77777777" w:rsidR="007F3B67" w:rsidRPr="00406C9B" w:rsidRDefault="007F3B67" w:rsidP="00BC1F3A">
      <w:pPr>
        <w:pStyle w:val="Heading3"/>
        <w:spacing w:before="120" w:after="120"/>
        <w:rPr>
          <w:rFonts w:eastAsia="Calibri"/>
        </w:rPr>
      </w:pPr>
      <w:r w:rsidRPr="00406C9B">
        <w:rPr>
          <w:rFonts w:eastAsia="Calibri"/>
        </w:rPr>
        <w:t>Where there are concerns for a child</w:t>
      </w:r>
    </w:p>
    <w:p w14:paraId="35015DFE" w14:textId="77777777" w:rsidR="007F3B67" w:rsidRPr="00A212BA" w:rsidRDefault="007F3B67" w:rsidP="00BC1F3A">
      <w:pPr>
        <w:spacing w:line="288" w:lineRule="auto"/>
        <w:rPr>
          <w:rFonts w:eastAsia="Calibri" w:cs="Arial"/>
          <w:szCs w:val="26"/>
        </w:rPr>
      </w:pPr>
      <w:r w:rsidRPr="00A212BA">
        <w:rPr>
          <w:rFonts w:eastAsia="Calibri" w:cs="Arial"/>
          <w:szCs w:val="26"/>
        </w:rPr>
        <w:t>If there are life-threatening concerns about a child, the police should be contacted on 000.</w:t>
      </w:r>
    </w:p>
    <w:p w14:paraId="107FB1FE" w14:textId="77777777" w:rsidR="007F3B67" w:rsidRPr="00A212BA" w:rsidRDefault="007F3B67" w:rsidP="00BC1F3A">
      <w:pPr>
        <w:spacing w:after="240" w:line="288" w:lineRule="auto"/>
        <w:rPr>
          <w:rFonts w:eastAsia="Calibri" w:cs="Arial"/>
          <w:szCs w:val="26"/>
        </w:rPr>
      </w:pPr>
      <w:r w:rsidRPr="00A212BA">
        <w:rPr>
          <w:rFonts w:eastAsia="Calibri" w:cs="Arial"/>
          <w:szCs w:val="26"/>
        </w:rPr>
        <w:t>If there are concerns about a child's wellbeing, Child Protection Central Intake Team can be contacted on 1800 273 889.</w:t>
      </w:r>
    </w:p>
    <w:p w14:paraId="0DDC1326" w14:textId="5A3EC05E" w:rsidR="007F3B67" w:rsidRPr="00A212BA" w:rsidRDefault="007F3B67" w:rsidP="007130B1">
      <w:pPr>
        <w:spacing w:after="240" w:line="288" w:lineRule="auto"/>
        <w:rPr>
          <w:rFonts w:eastAsia="Calibri" w:cs="Arial"/>
          <w:szCs w:val="26"/>
        </w:rPr>
      </w:pPr>
      <w:r w:rsidRPr="00A212BA">
        <w:rPr>
          <w:rFonts w:eastAsia="Calibri" w:cs="Arial"/>
          <w:szCs w:val="26"/>
        </w:rPr>
        <w:t>For further information and guidance, see</w:t>
      </w:r>
      <w:r w:rsidR="00625E34" w:rsidRPr="00A212BA">
        <w:rPr>
          <w:rFonts w:eastAsia="Calibri" w:cs="Arial"/>
          <w:szCs w:val="26"/>
        </w:rPr>
        <w:t xml:space="preserve"> </w:t>
      </w:r>
      <w:hyperlink r:id="rId18" w:history="1">
        <w:r w:rsidR="00D01AFA" w:rsidRPr="00A212BA">
          <w:rPr>
            <w:rFonts w:eastAsia="Calibri" w:cs="Arial"/>
            <w:color w:val="0000FF"/>
            <w:szCs w:val="26"/>
            <w:u w:val="single"/>
          </w:rPr>
          <w:t>Child protection webpage</w:t>
        </w:r>
      </w:hyperlink>
      <w:r w:rsidR="00D01AFA" w:rsidRPr="00A212BA">
        <w:rPr>
          <w:rFonts w:eastAsia="Calibri" w:cs="Arial"/>
          <w:color w:val="0000FF"/>
          <w:szCs w:val="26"/>
          <w:u w:val="single"/>
        </w:rPr>
        <w:t>.</w:t>
      </w:r>
    </w:p>
    <w:p w14:paraId="4ED76348" w14:textId="77777777" w:rsidR="007F3B67" w:rsidRPr="00DE31EC" w:rsidRDefault="007F3B67" w:rsidP="00406C9B">
      <w:pPr>
        <w:pStyle w:val="Heading3"/>
        <w:rPr>
          <w:rFonts w:eastAsia="Calibri"/>
        </w:rPr>
      </w:pPr>
      <w:r w:rsidRPr="00DE31EC">
        <w:rPr>
          <w:rFonts w:eastAsia="Calibri"/>
        </w:rPr>
        <w:t xml:space="preserve">Where there is an alleged or suspected criminal offence </w:t>
      </w:r>
    </w:p>
    <w:p w14:paraId="3808B020" w14:textId="3312BE9D" w:rsidR="007F3B67" w:rsidRPr="00A212BA" w:rsidRDefault="007F3B67" w:rsidP="00887038">
      <w:pPr>
        <w:spacing w:after="240" w:line="288" w:lineRule="auto"/>
        <w:rPr>
          <w:rFonts w:eastAsia="Calibri" w:cs="Arial"/>
          <w:szCs w:val="26"/>
        </w:rPr>
      </w:pPr>
      <w:r w:rsidRPr="00A212BA">
        <w:rPr>
          <w:rFonts w:eastAsia="Calibri" w:cs="Arial"/>
          <w:szCs w:val="26"/>
        </w:rPr>
        <w:t xml:space="preserve">Where it is alleged or suspected that a criminal offence has occurred, or where there is ongoing danger, Police and other relevant emergency services should be contacted on 000. </w:t>
      </w:r>
    </w:p>
    <w:p w14:paraId="405995D7" w14:textId="0B4BA601" w:rsidR="007F3B67" w:rsidRPr="00A212BA" w:rsidRDefault="007F3B67" w:rsidP="00887038">
      <w:pPr>
        <w:spacing w:after="240" w:line="288" w:lineRule="auto"/>
        <w:rPr>
          <w:rFonts w:eastAsia="Calibri" w:cs="Arial"/>
          <w:szCs w:val="26"/>
        </w:rPr>
      </w:pPr>
      <w:r w:rsidRPr="00A212BA">
        <w:rPr>
          <w:rFonts w:eastAsia="Calibri" w:cs="Arial"/>
          <w:szCs w:val="26"/>
        </w:rPr>
        <w:t xml:space="preserve">For further information and guidance, see </w:t>
      </w:r>
      <w:hyperlink r:id="rId19" w:history="1">
        <w:r w:rsidR="00261803" w:rsidRPr="00A212BA">
          <w:rPr>
            <w:rFonts w:eastAsia="Calibri" w:cs="Arial"/>
            <w:color w:val="0000FF"/>
            <w:szCs w:val="26"/>
            <w:u w:val="single"/>
          </w:rPr>
          <w:t>Western Australia Police Force webpage</w:t>
        </w:r>
      </w:hyperlink>
      <w:r w:rsidR="00887038" w:rsidRPr="00A212BA">
        <w:rPr>
          <w:rFonts w:eastAsia="Calibri" w:cs="Arial"/>
          <w:color w:val="0000FF"/>
          <w:szCs w:val="26"/>
          <w:u w:val="single"/>
        </w:rPr>
        <w:t>.</w:t>
      </w:r>
    </w:p>
    <w:p w14:paraId="47D62741" w14:textId="77777777" w:rsidR="007F3B67" w:rsidRPr="00DE31EC" w:rsidRDefault="007F3B67" w:rsidP="00FF3D72">
      <w:pPr>
        <w:pStyle w:val="Heading3"/>
        <w:rPr>
          <w:rFonts w:eastAsia="Calibri"/>
        </w:rPr>
      </w:pPr>
      <w:r w:rsidRPr="00DE31EC">
        <w:rPr>
          <w:rFonts w:eastAsia="Calibri"/>
        </w:rPr>
        <w:lastRenderedPageBreak/>
        <w:t>In the event of a death</w:t>
      </w:r>
    </w:p>
    <w:p w14:paraId="7DACD3C2" w14:textId="77777777" w:rsidR="007F3B67" w:rsidRPr="00A212BA" w:rsidRDefault="007F3B67" w:rsidP="00352FC1">
      <w:pPr>
        <w:spacing w:after="240" w:line="288" w:lineRule="auto"/>
        <w:rPr>
          <w:rFonts w:eastAsia="Calibri" w:cs="Arial"/>
          <w:szCs w:val="26"/>
        </w:rPr>
      </w:pPr>
      <w:r w:rsidRPr="00A212BA">
        <w:rPr>
          <w:rFonts w:eastAsia="Calibri" w:cs="Arial"/>
          <w:szCs w:val="26"/>
        </w:rPr>
        <w:t xml:space="preserve">There are circumstances where a death must be reported to a coroner, including but not limited to when a death was unexpected, </w:t>
      </w:r>
      <w:proofErr w:type="gramStart"/>
      <w:r w:rsidRPr="00A212BA">
        <w:rPr>
          <w:rFonts w:eastAsia="Calibri" w:cs="Arial"/>
          <w:szCs w:val="26"/>
        </w:rPr>
        <w:t>as a result of</w:t>
      </w:r>
      <w:proofErr w:type="gramEnd"/>
      <w:r w:rsidRPr="00A212BA">
        <w:rPr>
          <w:rFonts w:eastAsia="Calibri" w:cs="Arial"/>
          <w:szCs w:val="26"/>
        </w:rPr>
        <w:t xml:space="preserve"> an accident, they were ‘held in care’ or their identity is not known. </w:t>
      </w:r>
    </w:p>
    <w:p w14:paraId="6A44AFF0" w14:textId="7A34F91C" w:rsidR="007F3B67" w:rsidRPr="00A212BA" w:rsidRDefault="007F3B67" w:rsidP="00352FC1">
      <w:pPr>
        <w:spacing w:after="240" w:line="288" w:lineRule="auto"/>
        <w:rPr>
          <w:rFonts w:eastAsia="Calibri" w:cs="Arial"/>
          <w:szCs w:val="26"/>
        </w:rPr>
      </w:pPr>
      <w:r w:rsidRPr="00A212BA">
        <w:rPr>
          <w:rFonts w:eastAsia="Calibri" w:cs="Arial"/>
          <w:szCs w:val="26"/>
        </w:rPr>
        <w:t xml:space="preserve">For further information and guidance, see </w:t>
      </w:r>
      <w:hyperlink r:id="rId20" w:history="1">
        <w:r w:rsidR="00E12B72" w:rsidRPr="00A212BA">
          <w:rPr>
            <w:rFonts w:eastAsia="Calibri" w:cs="Arial"/>
            <w:color w:val="0000FF"/>
            <w:szCs w:val="26"/>
            <w:u w:val="single"/>
          </w:rPr>
          <w:t>Which Deaths are Reported to the Coroner? - Coroners Court of WA webpage</w:t>
        </w:r>
      </w:hyperlink>
      <w:r w:rsidR="004F7001" w:rsidRPr="00A212BA">
        <w:rPr>
          <w:rFonts w:eastAsia="Calibri" w:cs="Arial"/>
          <w:color w:val="0000FF"/>
          <w:szCs w:val="26"/>
          <w:u w:val="single"/>
        </w:rPr>
        <w:t xml:space="preserve">. </w:t>
      </w:r>
    </w:p>
    <w:p w14:paraId="681E6AC5" w14:textId="77777777" w:rsidR="007F3B67" w:rsidRPr="00DE31EC" w:rsidRDefault="007F3B67" w:rsidP="00FF3D72">
      <w:pPr>
        <w:pStyle w:val="Heading3"/>
        <w:rPr>
          <w:rFonts w:eastAsia="Calibri"/>
        </w:rPr>
      </w:pPr>
      <w:r w:rsidRPr="00DE31EC">
        <w:rPr>
          <w:rFonts w:eastAsia="Calibri"/>
        </w:rPr>
        <w:t>Reporting a death or serious incident at a workplace</w:t>
      </w:r>
    </w:p>
    <w:p w14:paraId="71F2E693" w14:textId="77777777" w:rsidR="007F3B67" w:rsidRPr="00A212BA" w:rsidRDefault="007F3B67" w:rsidP="00423CEF">
      <w:pPr>
        <w:spacing w:after="240" w:line="288" w:lineRule="auto"/>
        <w:rPr>
          <w:rFonts w:eastAsia="Calibri" w:cs="Arial"/>
          <w:szCs w:val="26"/>
        </w:rPr>
      </w:pPr>
      <w:r w:rsidRPr="00A212BA">
        <w:rPr>
          <w:rFonts w:eastAsia="Calibri" w:cs="Arial"/>
          <w:szCs w:val="26"/>
        </w:rPr>
        <w:t xml:space="preserve">To report a workplace related death, serious injury or illness, or immediately life-threatening dangerous incident call </w:t>
      </w:r>
      <w:proofErr w:type="spellStart"/>
      <w:r w:rsidRPr="00A212BA">
        <w:rPr>
          <w:rFonts w:eastAsia="Calibri" w:cs="Arial"/>
          <w:szCs w:val="26"/>
        </w:rPr>
        <w:t>Worksafe</w:t>
      </w:r>
      <w:proofErr w:type="spellEnd"/>
      <w:r w:rsidRPr="00A212BA">
        <w:rPr>
          <w:rFonts w:eastAsia="Calibri" w:cs="Arial"/>
          <w:szCs w:val="26"/>
        </w:rPr>
        <w:t xml:space="preserve"> 1800 678 198. </w:t>
      </w:r>
    </w:p>
    <w:p w14:paraId="42AB8D93" w14:textId="04B7BF34" w:rsidR="00EF0446" w:rsidRPr="00492F94" w:rsidRDefault="007F3B67" w:rsidP="00492F94">
      <w:pPr>
        <w:spacing w:after="160" w:line="288" w:lineRule="auto"/>
        <w:rPr>
          <w:rFonts w:eastAsia="Calibri" w:cs="Arial"/>
          <w:szCs w:val="24"/>
        </w:rPr>
      </w:pPr>
      <w:r w:rsidRPr="00A212BA">
        <w:rPr>
          <w:rFonts w:eastAsia="Calibri" w:cs="Arial"/>
          <w:szCs w:val="26"/>
        </w:rPr>
        <w:t xml:space="preserve">For further information and guidance, </w:t>
      </w:r>
      <w:r w:rsidR="009F278F" w:rsidRPr="00A212BA">
        <w:rPr>
          <w:rFonts w:eastAsia="Calibri" w:cs="Arial"/>
          <w:szCs w:val="26"/>
        </w:rPr>
        <w:t xml:space="preserve">see Department of Mines, Industry Regulation and Safety: </w:t>
      </w:r>
      <w:hyperlink r:id="rId21" w:history="1">
        <w:r w:rsidR="00CF7A07" w:rsidRPr="00A212BA">
          <w:rPr>
            <w:rFonts w:eastAsia="Calibri" w:cs="Arial"/>
            <w:color w:val="0000FF"/>
            <w:szCs w:val="26"/>
            <w:u w:val="single"/>
          </w:rPr>
          <w:t>Report a death or serious incident at a workplace webpage</w:t>
        </w:r>
      </w:hyperlink>
      <w:r w:rsidR="009F278F" w:rsidRPr="00A212BA">
        <w:rPr>
          <w:rFonts w:eastAsia="Calibri" w:cs="Arial"/>
          <w:szCs w:val="26"/>
        </w:rPr>
        <w:t xml:space="preserve"> and </w:t>
      </w:r>
      <w:hyperlink r:id="rId22" w:history="1">
        <w:r w:rsidR="00CF7A07" w:rsidRPr="00A212BA">
          <w:rPr>
            <w:rStyle w:val="Hyperlink"/>
            <w:szCs w:val="26"/>
          </w:rPr>
          <w:t>Report an incident webpage</w:t>
        </w:r>
      </w:hyperlink>
      <w:r w:rsidR="00CF7A07" w:rsidRPr="00A212BA">
        <w:rPr>
          <w:rStyle w:val="Hyperlink"/>
          <w:szCs w:val="26"/>
        </w:rPr>
        <w:t>.</w:t>
      </w:r>
    </w:p>
    <w:p w14:paraId="0B83DA10" w14:textId="2C6F3E08" w:rsidR="007F3B67" w:rsidRPr="00DE31EC" w:rsidRDefault="007F3B67" w:rsidP="00FF3D72">
      <w:pPr>
        <w:pStyle w:val="Heading3"/>
        <w:rPr>
          <w:rFonts w:eastAsia="Calibri"/>
        </w:rPr>
      </w:pPr>
      <w:r w:rsidRPr="00DE31EC">
        <w:rPr>
          <w:rFonts w:eastAsia="Calibri"/>
        </w:rPr>
        <w:t>Where there has been a data breach?</w:t>
      </w:r>
    </w:p>
    <w:p w14:paraId="5C51607E" w14:textId="77777777" w:rsidR="007F3B67" w:rsidRPr="00A212BA" w:rsidRDefault="007F3B67" w:rsidP="00C56D0F">
      <w:pPr>
        <w:spacing w:after="240" w:line="288" w:lineRule="auto"/>
        <w:rPr>
          <w:rFonts w:eastAsia="Calibri" w:cs="Arial"/>
          <w:color w:val="000000"/>
          <w:szCs w:val="26"/>
        </w:rPr>
      </w:pPr>
      <w:r w:rsidRPr="00A212BA">
        <w:rPr>
          <w:rFonts w:eastAsia="Calibri" w:cs="Arial"/>
          <w:color w:val="000000"/>
          <w:szCs w:val="26"/>
        </w:rPr>
        <w:t xml:space="preserve">A data breach, where there is a serious risk of harm to the persons affected by the data breach, must be reported to the Office of the Australian Information Commissioner (OAIC). </w:t>
      </w:r>
    </w:p>
    <w:p w14:paraId="410C9CC7" w14:textId="79B42B9D" w:rsidR="00713C65" w:rsidRPr="00A212BA" w:rsidRDefault="00713C65" w:rsidP="00A212BA">
      <w:pPr>
        <w:spacing w:after="360" w:line="288" w:lineRule="auto"/>
        <w:rPr>
          <w:rFonts w:eastAsia="Calibri" w:cs="Arial"/>
          <w:color w:val="0000FF"/>
          <w:szCs w:val="26"/>
          <w:u w:val="single"/>
        </w:rPr>
      </w:pPr>
      <w:r w:rsidRPr="00A212BA">
        <w:rPr>
          <w:rFonts w:eastAsia="Calibri" w:cs="Arial"/>
          <w:szCs w:val="26"/>
        </w:rPr>
        <w:t>For further information and guidance, see</w:t>
      </w:r>
      <w:r w:rsidR="000F7481" w:rsidRPr="00A212BA">
        <w:rPr>
          <w:rFonts w:eastAsia="Calibri" w:cs="Arial"/>
          <w:szCs w:val="26"/>
        </w:rPr>
        <w:t xml:space="preserve"> </w:t>
      </w:r>
      <w:r w:rsidR="000F7481" w:rsidRPr="00A212BA">
        <w:rPr>
          <w:rFonts w:eastAsia="Calibri" w:cs="Arial"/>
          <w:color w:val="0000FF"/>
          <w:szCs w:val="26"/>
          <w:u w:val="single"/>
        </w:rPr>
        <w:t>About the Notifiable Data Breaches scheme webpage</w:t>
      </w:r>
      <w:r w:rsidRPr="00A212BA">
        <w:rPr>
          <w:rFonts w:eastAsia="Calibri" w:cs="Arial"/>
          <w:color w:val="0000FF"/>
          <w:szCs w:val="26"/>
          <w:u w:val="single"/>
        </w:rPr>
        <w:t>.</w:t>
      </w:r>
    </w:p>
    <w:p w14:paraId="4AD1D3A6" w14:textId="77777777" w:rsidR="00DE31EC" w:rsidRPr="00A212BA" w:rsidRDefault="00DE31EC" w:rsidP="00C56D0F">
      <w:pPr>
        <w:spacing w:after="240" w:line="288" w:lineRule="auto"/>
        <w:rPr>
          <w:rFonts w:eastAsia="Calibri" w:cs="Arial"/>
          <w:szCs w:val="26"/>
          <w:lang w:val="en-US"/>
        </w:rPr>
      </w:pPr>
      <w:r w:rsidRPr="00A212BA">
        <w:rPr>
          <w:rFonts w:eastAsia="Calibri" w:cs="Arial"/>
          <w:b/>
          <w:bCs/>
          <w:szCs w:val="26"/>
          <w:lang w:val="en-US"/>
        </w:rPr>
        <w:t xml:space="preserve">Please note: </w:t>
      </w:r>
      <w:r w:rsidRPr="00A212BA">
        <w:rPr>
          <w:rFonts w:eastAsia="Calibri" w:cs="Arial"/>
          <w:szCs w:val="26"/>
          <w:lang w:val="en-US"/>
        </w:rPr>
        <w:t xml:space="preserve">This resource was reviewed in August 2023 by the NDS Quality and Safeguards Sector Readiness Project. </w:t>
      </w:r>
      <w:r w:rsidRPr="00A212BA">
        <w:rPr>
          <w:rFonts w:eastAsia="Calibri" w:cs="Times New Roman"/>
          <w:szCs w:val="26"/>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A212BA">
        <w:rPr>
          <w:rFonts w:eastAsia="Calibri" w:cs="Arial"/>
          <w:szCs w:val="26"/>
          <w:lang w:val="en-US"/>
        </w:rPr>
        <w:t xml:space="preserve">Please always refer to online documents for the latest versions including the NDIS Practice Standards and advice to providers on the Code of Conduct. </w:t>
      </w:r>
    </w:p>
    <w:p w14:paraId="44F306FD" w14:textId="233C4E7E" w:rsidR="00E40690" w:rsidRPr="00A212BA" w:rsidRDefault="00DE31EC" w:rsidP="00A212BA">
      <w:pPr>
        <w:spacing w:line="288" w:lineRule="auto"/>
        <w:rPr>
          <w:rFonts w:eastAsia="Calibri" w:cs="Arial"/>
          <w:b/>
          <w:bCs/>
          <w:szCs w:val="26"/>
          <w:lang w:val="en-US"/>
        </w:rPr>
      </w:pPr>
      <w:r w:rsidRPr="00A212BA">
        <w:rPr>
          <w:rFonts w:eastAsia="Calibri" w:cs="Arial"/>
          <w:szCs w:val="26"/>
          <w:lang w:val="en-US"/>
        </w:rPr>
        <w:t>End of document.</w:t>
      </w:r>
    </w:p>
    <w:sectPr w:rsidR="00E40690" w:rsidRPr="00A212BA" w:rsidSect="005013FC">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F021" w14:textId="77777777" w:rsidR="009617D1" w:rsidRDefault="009617D1" w:rsidP="00360887">
      <w:pPr>
        <w:spacing w:before="0" w:after="0" w:line="240" w:lineRule="auto"/>
      </w:pPr>
      <w:r>
        <w:separator/>
      </w:r>
    </w:p>
  </w:endnote>
  <w:endnote w:type="continuationSeparator" w:id="0">
    <w:p w14:paraId="1172358B" w14:textId="77777777" w:rsidR="009617D1" w:rsidRDefault="009617D1" w:rsidP="00360887">
      <w:pPr>
        <w:spacing w:before="0" w:after="0" w:line="240" w:lineRule="auto"/>
      </w:pPr>
      <w:r>
        <w:continuationSeparator/>
      </w:r>
    </w:p>
  </w:endnote>
  <w:endnote w:type="continuationNotice" w:id="1">
    <w:p w14:paraId="7DAFDBB7" w14:textId="77777777" w:rsidR="009617D1" w:rsidRDefault="009617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44008"/>
      <w:docPartObj>
        <w:docPartGallery w:val="Page Numbers (Bottom of Page)"/>
        <w:docPartUnique/>
      </w:docPartObj>
    </w:sdtPr>
    <w:sdtEndPr>
      <w:rPr>
        <w:noProof/>
      </w:rPr>
    </w:sdtEndPr>
    <w:sdtContent>
      <w:p w14:paraId="20A84060" w14:textId="377CA01F" w:rsidR="00360887" w:rsidRDefault="003608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62EC87" w14:textId="77777777" w:rsidR="00360887" w:rsidRDefault="0036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D112" w14:textId="77777777" w:rsidR="009617D1" w:rsidRDefault="009617D1" w:rsidP="00360887">
      <w:pPr>
        <w:spacing w:before="0" w:after="0" w:line="240" w:lineRule="auto"/>
      </w:pPr>
      <w:r>
        <w:separator/>
      </w:r>
    </w:p>
  </w:footnote>
  <w:footnote w:type="continuationSeparator" w:id="0">
    <w:p w14:paraId="5F327F8F" w14:textId="77777777" w:rsidR="009617D1" w:rsidRDefault="009617D1" w:rsidP="00360887">
      <w:pPr>
        <w:spacing w:before="0" w:after="0" w:line="240" w:lineRule="auto"/>
      </w:pPr>
      <w:r>
        <w:continuationSeparator/>
      </w:r>
    </w:p>
  </w:footnote>
  <w:footnote w:type="continuationNotice" w:id="1">
    <w:p w14:paraId="547D79F6" w14:textId="77777777" w:rsidR="009617D1" w:rsidRDefault="009617D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0540"/>
    <w:multiLevelType w:val="hybridMultilevel"/>
    <w:tmpl w:val="43407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0B0550"/>
    <w:multiLevelType w:val="hybridMultilevel"/>
    <w:tmpl w:val="FBDEF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43691B"/>
    <w:multiLevelType w:val="hybridMultilevel"/>
    <w:tmpl w:val="DD9E85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1580E61"/>
    <w:multiLevelType w:val="hybridMultilevel"/>
    <w:tmpl w:val="D8ACF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AEC764A"/>
    <w:multiLevelType w:val="hybridMultilevel"/>
    <w:tmpl w:val="9D0C6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F1C2A4D"/>
    <w:multiLevelType w:val="hybridMultilevel"/>
    <w:tmpl w:val="F6827BA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69813DF7"/>
    <w:multiLevelType w:val="hybridMultilevel"/>
    <w:tmpl w:val="80AA7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BF95C37"/>
    <w:multiLevelType w:val="hybridMultilevel"/>
    <w:tmpl w:val="0D8C12EE"/>
    <w:lvl w:ilvl="0" w:tplc="D63692E6">
      <w:start w:val="2"/>
      <w:numFmt w:val="decimal"/>
      <w:lvlText w:val="%1."/>
      <w:lvlJc w:val="left"/>
      <w:pPr>
        <w:ind w:left="720" w:hanging="360"/>
      </w:pPr>
      <w:rPr>
        <w:rFonts w:hint="default"/>
        <w:b/>
        <w:color w:val="3C6E8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2411887">
    <w:abstractNumId w:val="4"/>
  </w:num>
  <w:num w:numId="2" w16cid:durableId="431245567">
    <w:abstractNumId w:val="6"/>
  </w:num>
  <w:num w:numId="3" w16cid:durableId="991251393">
    <w:abstractNumId w:val="3"/>
  </w:num>
  <w:num w:numId="4" w16cid:durableId="288628274">
    <w:abstractNumId w:val="7"/>
  </w:num>
  <w:num w:numId="5" w16cid:durableId="832449743">
    <w:abstractNumId w:val="2"/>
  </w:num>
  <w:num w:numId="6" w16cid:durableId="2065906724">
    <w:abstractNumId w:val="5"/>
  </w:num>
  <w:num w:numId="7" w16cid:durableId="1823354653">
    <w:abstractNumId w:val="0"/>
  </w:num>
  <w:num w:numId="8" w16cid:durableId="465005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FC"/>
    <w:rsid w:val="00010537"/>
    <w:rsid w:val="00010B3D"/>
    <w:rsid w:val="00014199"/>
    <w:rsid w:val="0001598A"/>
    <w:rsid w:val="000209B9"/>
    <w:rsid w:val="00040DAF"/>
    <w:rsid w:val="00045845"/>
    <w:rsid w:val="00097A1F"/>
    <w:rsid w:val="000A1408"/>
    <w:rsid w:val="000A2DBC"/>
    <w:rsid w:val="000B78BA"/>
    <w:rsid w:val="000C1D1D"/>
    <w:rsid w:val="000D1118"/>
    <w:rsid w:val="000D529C"/>
    <w:rsid w:val="000E15A6"/>
    <w:rsid w:val="000F0EE8"/>
    <w:rsid w:val="000F7481"/>
    <w:rsid w:val="00154E12"/>
    <w:rsid w:val="00161381"/>
    <w:rsid w:val="001A62E0"/>
    <w:rsid w:val="001B25F9"/>
    <w:rsid w:val="001B3F17"/>
    <w:rsid w:val="001C00B0"/>
    <w:rsid w:val="001D1141"/>
    <w:rsid w:val="001F4305"/>
    <w:rsid w:val="00211212"/>
    <w:rsid w:val="00224761"/>
    <w:rsid w:val="00261803"/>
    <w:rsid w:val="00261B4B"/>
    <w:rsid w:val="00297648"/>
    <w:rsid w:val="002B7930"/>
    <w:rsid w:val="002C394B"/>
    <w:rsid w:val="002C7865"/>
    <w:rsid w:val="002D409D"/>
    <w:rsid w:val="002E2F87"/>
    <w:rsid w:val="002E7224"/>
    <w:rsid w:val="002F3870"/>
    <w:rsid w:val="00337646"/>
    <w:rsid w:val="00352FC1"/>
    <w:rsid w:val="00360887"/>
    <w:rsid w:val="00361CAD"/>
    <w:rsid w:val="00377D3B"/>
    <w:rsid w:val="00397684"/>
    <w:rsid w:val="003C6021"/>
    <w:rsid w:val="003F7232"/>
    <w:rsid w:val="00406C9B"/>
    <w:rsid w:val="00414878"/>
    <w:rsid w:val="00420959"/>
    <w:rsid w:val="00422CFD"/>
    <w:rsid w:val="00423CEF"/>
    <w:rsid w:val="00454756"/>
    <w:rsid w:val="00485B0A"/>
    <w:rsid w:val="00492F94"/>
    <w:rsid w:val="00495706"/>
    <w:rsid w:val="004C17A1"/>
    <w:rsid w:val="004F389B"/>
    <w:rsid w:val="004F4DF7"/>
    <w:rsid w:val="004F7001"/>
    <w:rsid w:val="005013FC"/>
    <w:rsid w:val="00502DC1"/>
    <w:rsid w:val="00586A6C"/>
    <w:rsid w:val="00592E9C"/>
    <w:rsid w:val="005B39D9"/>
    <w:rsid w:val="005C3538"/>
    <w:rsid w:val="005C4D71"/>
    <w:rsid w:val="00604487"/>
    <w:rsid w:val="006212E9"/>
    <w:rsid w:val="00625E34"/>
    <w:rsid w:val="0063705E"/>
    <w:rsid w:val="00667723"/>
    <w:rsid w:val="006824D5"/>
    <w:rsid w:val="006B772E"/>
    <w:rsid w:val="006E4500"/>
    <w:rsid w:val="00710672"/>
    <w:rsid w:val="007130B1"/>
    <w:rsid w:val="00713C65"/>
    <w:rsid w:val="007516E0"/>
    <w:rsid w:val="00782C36"/>
    <w:rsid w:val="00793C9A"/>
    <w:rsid w:val="007D510B"/>
    <w:rsid w:val="007F3B67"/>
    <w:rsid w:val="00800C26"/>
    <w:rsid w:val="0087230E"/>
    <w:rsid w:val="00887038"/>
    <w:rsid w:val="008E159D"/>
    <w:rsid w:val="008F15EE"/>
    <w:rsid w:val="009132C3"/>
    <w:rsid w:val="009617D1"/>
    <w:rsid w:val="009B1AEA"/>
    <w:rsid w:val="009B32A4"/>
    <w:rsid w:val="009C36E5"/>
    <w:rsid w:val="009C5696"/>
    <w:rsid w:val="009F278F"/>
    <w:rsid w:val="009F45FC"/>
    <w:rsid w:val="00A00E6B"/>
    <w:rsid w:val="00A10777"/>
    <w:rsid w:val="00A212BA"/>
    <w:rsid w:val="00A42B29"/>
    <w:rsid w:val="00A61ACC"/>
    <w:rsid w:val="00AF5F53"/>
    <w:rsid w:val="00B31788"/>
    <w:rsid w:val="00B326AD"/>
    <w:rsid w:val="00B42BE6"/>
    <w:rsid w:val="00B42E33"/>
    <w:rsid w:val="00B9252A"/>
    <w:rsid w:val="00BC1F3A"/>
    <w:rsid w:val="00BD3CAF"/>
    <w:rsid w:val="00BD660C"/>
    <w:rsid w:val="00BE1FBE"/>
    <w:rsid w:val="00C065DD"/>
    <w:rsid w:val="00C1005D"/>
    <w:rsid w:val="00C21BB9"/>
    <w:rsid w:val="00C32575"/>
    <w:rsid w:val="00C56D0F"/>
    <w:rsid w:val="00C711EB"/>
    <w:rsid w:val="00C7259E"/>
    <w:rsid w:val="00CB6044"/>
    <w:rsid w:val="00CC1751"/>
    <w:rsid w:val="00CD63E0"/>
    <w:rsid w:val="00CF7A07"/>
    <w:rsid w:val="00D01AFA"/>
    <w:rsid w:val="00D45394"/>
    <w:rsid w:val="00D76275"/>
    <w:rsid w:val="00DB022E"/>
    <w:rsid w:val="00DE31EC"/>
    <w:rsid w:val="00E0173E"/>
    <w:rsid w:val="00E12B72"/>
    <w:rsid w:val="00E1516D"/>
    <w:rsid w:val="00E32FE3"/>
    <w:rsid w:val="00E35B68"/>
    <w:rsid w:val="00E40690"/>
    <w:rsid w:val="00E509F7"/>
    <w:rsid w:val="00EF0446"/>
    <w:rsid w:val="00EF4F6C"/>
    <w:rsid w:val="00F64570"/>
    <w:rsid w:val="00F64628"/>
    <w:rsid w:val="00FB68DF"/>
    <w:rsid w:val="00FC4C07"/>
    <w:rsid w:val="00FE4088"/>
    <w:rsid w:val="00FF05FB"/>
    <w:rsid w:val="00FF3D72"/>
    <w:rsid w:val="00FF78A5"/>
    <w:rsid w:val="19B53BEC"/>
    <w:rsid w:val="5416D7F0"/>
    <w:rsid w:val="7B35F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640D"/>
  <w15:chartTrackingRefBased/>
  <w15:docId w15:val="{D1C9EF80-1B3A-41C9-B02F-91EFDF02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70"/>
    <w:pPr>
      <w:spacing w:before="120" w:after="120"/>
    </w:pPr>
    <w:rPr>
      <w:rFonts w:ascii="Arial" w:hAnsi="Arial"/>
      <w:kern w:val="0"/>
      <w:sz w:val="26"/>
      <w14:ligatures w14:val="none"/>
    </w:rPr>
  </w:style>
  <w:style w:type="paragraph" w:styleId="Heading1">
    <w:name w:val="heading 1"/>
    <w:basedOn w:val="Normal"/>
    <w:next w:val="Normal"/>
    <w:link w:val="Heading1Char"/>
    <w:autoRedefine/>
    <w:uiPriority w:val="9"/>
    <w:qFormat/>
    <w:rsid w:val="00420959"/>
    <w:pPr>
      <w:keepNext/>
      <w:keepLines/>
      <w:spacing w:before="0" w:after="0" w:line="360" w:lineRule="auto"/>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E40690"/>
    <w:pPr>
      <w:keepNext/>
      <w:keepLines/>
      <w:spacing w:before="0" w:after="0"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40690"/>
    <w:pPr>
      <w:keepNext/>
      <w:keepLines/>
      <w:spacing w:before="0" w:after="0"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E40690"/>
    <w:pPr>
      <w:keepNext/>
      <w:keepLines/>
      <w:spacing w:before="40" w:after="0" w:line="288"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FC"/>
    <w:pPr>
      <w:ind w:left="720"/>
      <w:contextualSpacing/>
    </w:pPr>
  </w:style>
  <w:style w:type="character" w:customStyle="1" w:styleId="Heading1Char">
    <w:name w:val="Heading 1 Char"/>
    <w:basedOn w:val="DefaultParagraphFont"/>
    <w:link w:val="Heading1"/>
    <w:uiPriority w:val="9"/>
    <w:rsid w:val="00420959"/>
    <w:rPr>
      <w:rFonts w:ascii="Arial" w:eastAsiaTheme="majorEastAsia" w:hAnsi="Arial" w:cstheme="majorBidi"/>
      <w:b/>
      <w:bCs/>
      <w:kern w:val="0"/>
      <w:sz w:val="36"/>
      <w:szCs w:val="32"/>
      <w14:ligatures w14:val="none"/>
    </w:rPr>
  </w:style>
  <w:style w:type="character" w:customStyle="1" w:styleId="Heading2Char">
    <w:name w:val="Heading 2 Char"/>
    <w:basedOn w:val="DefaultParagraphFont"/>
    <w:link w:val="Heading2"/>
    <w:uiPriority w:val="9"/>
    <w:rsid w:val="00E40690"/>
    <w:rPr>
      <w:rFonts w:ascii="Arial" w:eastAsiaTheme="majorEastAsia" w:hAnsi="Arial" w:cstheme="majorBidi"/>
      <w:b/>
      <w:kern w:val="0"/>
      <w:sz w:val="32"/>
      <w:szCs w:val="26"/>
      <w14:ligatures w14:val="none"/>
    </w:rPr>
  </w:style>
  <w:style w:type="character" w:customStyle="1" w:styleId="Heading3Char">
    <w:name w:val="Heading 3 Char"/>
    <w:basedOn w:val="DefaultParagraphFont"/>
    <w:link w:val="Heading3"/>
    <w:uiPriority w:val="9"/>
    <w:rsid w:val="00E40690"/>
    <w:rPr>
      <w:rFonts w:ascii="Arial" w:eastAsiaTheme="majorEastAsia" w:hAnsi="Arial" w:cstheme="majorBidi"/>
      <w:b/>
      <w:kern w:val="0"/>
      <w:sz w:val="28"/>
      <w:szCs w:val="24"/>
      <w14:ligatures w14:val="none"/>
    </w:rPr>
  </w:style>
  <w:style w:type="character" w:customStyle="1" w:styleId="Heading4Char">
    <w:name w:val="Heading 4 Char"/>
    <w:basedOn w:val="DefaultParagraphFont"/>
    <w:link w:val="Heading4"/>
    <w:uiPriority w:val="9"/>
    <w:rsid w:val="00E40690"/>
    <w:rPr>
      <w:rFonts w:ascii="Arial" w:eastAsiaTheme="majorEastAsia" w:hAnsi="Arial" w:cstheme="majorBidi"/>
      <w:b/>
      <w:iCs/>
      <w:kern w:val="0"/>
      <w:sz w:val="24"/>
      <w14:ligatures w14:val="none"/>
    </w:rPr>
  </w:style>
  <w:style w:type="paragraph" w:customStyle="1" w:styleId="Tips">
    <w:name w:val="Tips"/>
    <w:basedOn w:val="Normal"/>
    <w:link w:val="TipsChar"/>
    <w:qFormat/>
    <w:rsid w:val="00211212"/>
    <w:pPr>
      <w:spacing w:before="0" w:line="360" w:lineRule="auto"/>
    </w:pPr>
    <w:rPr>
      <w:b/>
      <w:bCs/>
      <w:color w:val="2F5496" w:themeColor="accent1" w:themeShade="BF"/>
      <w:lang w:val="en-US"/>
    </w:rPr>
  </w:style>
  <w:style w:type="character" w:customStyle="1" w:styleId="TipsChar">
    <w:name w:val="Tips Char"/>
    <w:basedOn w:val="DefaultParagraphFont"/>
    <w:link w:val="Tips"/>
    <w:rsid w:val="00211212"/>
    <w:rPr>
      <w:rFonts w:ascii="Arial" w:hAnsi="Arial"/>
      <w:b/>
      <w:bCs/>
      <w:color w:val="2F5496" w:themeColor="accent1" w:themeShade="BF"/>
      <w:kern w:val="0"/>
      <w:sz w:val="24"/>
      <w:lang w:val="en-US"/>
      <w14:ligatures w14:val="none"/>
    </w:rPr>
  </w:style>
  <w:style w:type="paragraph" w:styleId="Header">
    <w:name w:val="header"/>
    <w:basedOn w:val="Normal"/>
    <w:link w:val="HeaderChar"/>
    <w:uiPriority w:val="99"/>
    <w:unhideWhenUsed/>
    <w:rsid w:val="0036088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0887"/>
    <w:rPr>
      <w:rFonts w:ascii="Arial" w:hAnsi="Arial"/>
      <w:kern w:val="0"/>
      <w:sz w:val="24"/>
      <w14:ligatures w14:val="none"/>
    </w:rPr>
  </w:style>
  <w:style w:type="paragraph" w:styleId="Footer">
    <w:name w:val="footer"/>
    <w:basedOn w:val="Normal"/>
    <w:link w:val="FooterChar"/>
    <w:uiPriority w:val="99"/>
    <w:unhideWhenUsed/>
    <w:rsid w:val="0036088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60887"/>
    <w:rPr>
      <w:rFonts w:ascii="Arial" w:hAnsi="Arial"/>
      <w:kern w:val="0"/>
      <w:sz w:val="24"/>
      <w14:ligatures w14:val="none"/>
    </w:rPr>
  </w:style>
  <w:style w:type="paragraph" w:styleId="Revision">
    <w:name w:val="Revision"/>
    <w:hidden/>
    <w:uiPriority w:val="99"/>
    <w:semiHidden/>
    <w:rsid w:val="00782C36"/>
    <w:pPr>
      <w:spacing w:after="0" w:line="240" w:lineRule="auto"/>
    </w:pPr>
    <w:rPr>
      <w:rFonts w:ascii="Arial" w:hAnsi="Arial"/>
      <w:kern w:val="0"/>
      <w:sz w:val="24"/>
      <w14:ligatures w14:val="none"/>
    </w:rPr>
  </w:style>
  <w:style w:type="character" w:styleId="CommentReference">
    <w:name w:val="annotation reference"/>
    <w:basedOn w:val="DefaultParagraphFont"/>
    <w:uiPriority w:val="99"/>
    <w:semiHidden/>
    <w:unhideWhenUsed/>
    <w:rsid w:val="000D1118"/>
    <w:rPr>
      <w:sz w:val="16"/>
      <w:szCs w:val="16"/>
    </w:rPr>
  </w:style>
  <w:style w:type="paragraph" w:styleId="CommentText">
    <w:name w:val="annotation text"/>
    <w:basedOn w:val="Normal"/>
    <w:link w:val="CommentTextChar"/>
    <w:uiPriority w:val="99"/>
    <w:unhideWhenUsed/>
    <w:rsid w:val="000D1118"/>
    <w:pPr>
      <w:spacing w:line="240" w:lineRule="auto"/>
    </w:pPr>
    <w:rPr>
      <w:sz w:val="20"/>
      <w:szCs w:val="20"/>
    </w:rPr>
  </w:style>
  <w:style w:type="character" w:customStyle="1" w:styleId="CommentTextChar">
    <w:name w:val="Comment Text Char"/>
    <w:basedOn w:val="DefaultParagraphFont"/>
    <w:link w:val="CommentText"/>
    <w:uiPriority w:val="99"/>
    <w:rsid w:val="000D1118"/>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D1118"/>
    <w:rPr>
      <w:b/>
      <w:bCs/>
    </w:rPr>
  </w:style>
  <w:style w:type="character" w:customStyle="1" w:styleId="CommentSubjectChar">
    <w:name w:val="Comment Subject Char"/>
    <w:basedOn w:val="CommentTextChar"/>
    <w:link w:val="CommentSubject"/>
    <w:uiPriority w:val="99"/>
    <w:semiHidden/>
    <w:rsid w:val="000D1118"/>
    <w:rPr>
      <w:rFonts w:ascii="Arial" w:hAnsi="Arial"/>
      <w:b/>
      <w:bCs/>
      <w:kern w:val="0"/>
      <w:sz w:val="20"/>
      <w:szCs w:val="20"/>
      <w14:ligatures w14:val="none"/>
    </w:rPr>
  </w:style>
  <w:style w:type="character" w:styleId="Hyperlink">
    <w:name w:val="Hyperlink"/>
    <w:basedOn w:val="DefaultParagraphFont"/>
    <w:uiPriority w:val="99"/>
    <w:unhideWhenUsed/>
    <w:qFormat/>
    <w:rsid w:val="009F2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iscommission.gov.au/sites/default/files/2022-02/detailed-guidance-reportable-incidents-detailed-guidance-registered.pdf" TargetMode="External"/><Relationship Id="rId18" Type="http://schemas.openxmlformats.org/officeDocument/2006/relationships/hyperlink" Target="https://www.wa.gov.au/organisation/department-of-communities/child-protection" TargetMode="External"/><Relationship Id="rId3" Type="http://schemas.openxmlformats.org/officeDocument/2006/relationships/customXml" Target="../customXml/item3.xml"/><Relationship Id="rId21" Type="http://schemas.openxmlformats.org/officeDocument/2006/relationships/hyperlink" Target="https://www.commerce.wa.gov.au/worksafe/report-death-or-serious-incident-workplace" TargetMode="External"/><Relationship Id="rId7" Type="http://schemas.openxmlformats.org/officeDocument/2006/relationships/settings" Target="settings.xml"/><Relationship Id="rId12" Type="http://schemas.openxmlformats.org/officeDocument/2006/relationships/hyperlink" Target="https://www.ndiscommission.gov.au/sites/default/files/2022-02/detailed-guidance-expectations-workers-providing-services-incident_1.pdf" TargetMode="External"/><Relationship Id="rId17" Type="http://schemas.openxmlformats.org/officeDocument/2006/relationships/hyperlink" Target="https://www.commerce.wa.gov.au/worksafe/what-notifiable-incid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mmerce.wa.gov.au/worksafe" TargetMode="External"/><Relationship Id="rId20" Type="http://schemas.openxmlformats.org/officeDocument/2006/relationships/hyperlink" Target="https://www.coronerscourt.wa.gov.au/R/reported_coroner.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ww.ndiscommission.gov.au%2Fsites%2Fdefault%2Ffiles%2F2022-02%2Fdetailed-guidance-incident-management-systems-detailed-guidance-regi_1.docx&amp;wdOrigin=BROWSELI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feworkaustralia.gov.au/safety-topic/managing-health-and-safety/incident-reporti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olice.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workaustralia.gov.au/safety-topic/managing-health-and-safety" TargetMode="External"/><Relationship Id="rId22" Type="http://schemas.openxmlformats.org/officeDocument/2006/relationships/hyperlink" Target="https://www.commerce.wa.gov.au/worksafe/report-inciden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BFAF0-EE81-4D7B-A8FB-56FD38C7435B}">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customXml/itemProps2.xml><?xml version="1.0" encoding="utf-8"?>
<ds:datastoreItem xmlns:ds="http://schemas.openxmlformats.org/officeDocument/2006/customXml" ds:itemID="{C15C385A-7F27-472C-8FBC-2518D38DF21F}">
  <ds:schemaRefs>
    <ds:schemaRef ds:uri="http://schemas.openxmlformats.org/officeDocument/2006/bibliography"/>
  </ds:schemaRefs>
</ds:datastoreItem>
</file>

<file path=customXml/itemProps3.xml><?xml version="1.0" encoding="utf-8"?>
<ds:datastoreItem xmlns:ds="http://schemas.openxmlformats.org/officeDocument/2006/customXml" ds:itemID="{A75838BF-EFA3-4E42-9CF3-D62563FA1B66}">
  <ds:schemaRefs>
    <ds:schemaRef ds:uri="http://schemas.microsoft.com/sharepoint/v3/contenttype/forms"/>
  </ds:schemaRefs>
</ds:datastoreItem>
</file>

<file path=customXml/itemProps4.xml><?xml version="1.0" encoding="utf-8"?>
<ds:datastoreItem xmlns:ds="http://schemas.openxmlformats.org/officeDocument/2006/customXml" ds:itemID="{153087AA-B3D5-46AB-B445-9E81E11E5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Factsheet: Understanding Incidents - Recording and Reporting requirements </vt:lpstr>
    </vt:vector>
  </TitlesOfParts>
  <Company>National Disability Services</Company>
  <LinksUpToDate>false</LinksUpToDate>
  <CharactersWithSpaces>11022</CharactersWithSpaces>
  <SharedDoc>false</SharedDoc>
  <HLinks>
    <vt:vector size="72" baseType="variant">
      <vt:variant>
        <vt:i4>4587597</vt:i4>
      </vt:variant>
      <vt:variant>
        <vt:i4>33</vt:i4>
      </vt:variant>
      <vt:variant>
        <vt:i4>0</vt:i4>
      </vt:variant>
      <vt:variant>
        <vt:i4>5</vt:i4>
      </vt:variant>
      <vt:variant>
        <vt:lpwstr>https://www.commerce.wa.gov.au/worksafe/report-death-or-serious-incident-workplace</vt:lpwstr>
      </vt:variant>
      <vt:variant>
        <vt:lpwstr>:~:text=Call%201800%20678%20198%20to%20report%20a%20workplace,required%20should%20be%20sought%20prior%20to%20contacting%20WorkSafe.</vt:lpwstr>
      </vt:variant>
      <vt:variant>
        <vt:i4>7143536</vt:i4>
      </vt:variant>
      <vt:variant>
        <vt:i4>30</vt:i4>
      </vt:variant>
      <vt:variant>
        <vt:i4>0</vt:i4>
      </vt:variant>
      <vt:variant>
        <vt:i4>5</vt:i4>
      </vt:variant>
      <vt:variant>
        <vt:lpwstr>https://www.commerce.wa.gov.au/worksafe/report-death-or-serious-incident-workplace</vt:lpwstr>
      </vt:variant>
      <vt:variant>
        <vt:lpwstr/>
      </vt:variant>
      <vt:variant>
        <vt:i4>7995458</vt:i4>
      </vt:variant>
      <vt:variant>
        <vt:i4>27</vt:i4>
      </vt:variant>
      <vt:variant>
        <vt:i4>0</vt:i4>
      </vt:variant>
      <vt:variant>
        <vt:i4>5</vt:i4>
      </vt:variant>
      <vt:variant>
        <vt:lpwstr>https://www.coronerscourt.wa.gov.au/R/reported_coroner.aspx</vt:lpwstr>
      </vt:variant>
      <vt:variant>
        <vt:lpwstr/>
      </vt:variant>
      <vt:variant>
        <vt:i4>4587520</vt:i4>
      </vt:variant>
      <vt:variant>
        <vt:i4>24</vt:i4>
      </vt:variant>
      <vt:variant>
        <vt:i4>0</vt:i4>
      </vt:variant>
      <vt:variant>
        <vt:i4>5</vt:i4>
      </vt:variant>
      <vt:variant>
        <vt:lpwstr>https://www.police.wa.gov.au/</vt:lpwstr>
      </vt:variant>
      <vt:variant>
        <vt:lpwstr/>
      </vt:variant>
      <vt:variant>
        <vt:i4>4391000</vt:i4>
      </vt:variant>
      <vt:variant>
        <vt:i4>21</vt:i4>
      </vt:variant>
      <vt:variant>
        <vt:i4>0</vt:i4>
      </vt:variant>
      <vt:variant>
        <vt:i4>5</vt:i4>
      </vt:variant>
      <vt:variant>
        <vt:lpwstr>https://www.wa.gov.au/organisation/department-of-communities/child-protection</vt:lpwstr>
      </vt:variant>
      <vt:variant>
        <vt:lpwstr/>
      </vt:variant>
      <vt:variant>
        <vt:i4>5832715</vt:i4>
      </vt:variant>
      <vt:variant>
        <vt:i4>18</vt:i4>
      </vt:variant>
      <vt:variant>
        <vt:i4>0</vt:i4>
      </vt:variant>
      <vt:variant>
        <vt:i4>5</vt:i4>
      </vt:variant>
      <vt:variant>
        <vt:lpwstr>https://www.commerce.wa.gov.au/worksafe/what-notifiable-incident</vt:lpwstr>
      </vt:variant>
      <vt:variant>
        <vt:lpwstr/>
      </vt:variant>
      <vt:variant>
        <vt:i4>2097213</vt:i4>
      </vt:variant>
      <vt:variant>
        <vt:i4>15</vt:i4>
      </vt:variant>
      <vt:variant>
        <vt:i4>0</vt:i4>
      </vt:variant>
      <vt:variant>
        <vt:i4>5</vt:i4>
      </vt:variant>
      <vt:variant>
        <vt:lpwstr>https://www.commerce.wa.gov.au/worksafe</vt:lpwstr>
      </vt:variant>
      <vt:variant>
        <vt:lpwstr/>
      </vt:variant>
      <vt:variant>
        <vt:i4>6488186</vt:i4>
      </vt:variant>
      <vt:variant>
        <vt:i4>12</vt:i4>
      </vt:variant>
      <vt:variant>
        <vt:i4>0</vt:i4>
      </vt:variant>
      <vt:variant>
        <vt:i4>5</vt:i4>
      </vt:variant>
      <vt:variant>
        <vt:lpwstr>https://www.safeworkaustralia.gov.au/safety-topic/managing-health-and-safety/incident-reporting</vt:lpwstr>
      </vt:variant>
      <vt:variant>
        <vt:lpwstr/>
      </vt:variant>
      <vt:variant>
        <vt:i4>6160474</vt:i4>
      </vt:variant>
      <vt:variant>
        <vt:i4>9</vt:i4>
      </vt:variant>
      <vt:variant>
        <vt:i4>0</vt:i4>
      </vt:variant>
      <vt:variant>
        <vt:i4>5</vt:i4>
      </vt:variant>
      <vt:variant>
        <vt:lpwstr>https://www.safeworkaustralia.gov.au/safety-topic/managing-health-and-safety</vt:lpwstr>
      </vt:variant>
      <vt:variant>
        <vt:lpwstr/>
      </vt:variant>
      <vt:variant>
        <vt:i4>5570628</vt:i4>
      </vt:variant>
      <vt:variant>
        <vt:i4>6</vt:i4>
      </vt:variant>
      <vt:variant>
        <vt:i4>0</vt:i4>
      </vt:variant>
      <vt:variant>
        <vt:i4>5</vt:i4>
      </vt:variant>
      <vt:variant>
        <vt:lpwstr>https://ndiscommission.gov.au/sites/default/files/2022-02/detailed-guidance-reportable-incidents-detailed-guidance-registered.pdf</vt:lpwstr>
      </vt:variant>
      <vt:variant>
        <vt:lpwstr/>
      </vt:variant>
      <vt:variant>
        <vt:i4>7995471</vt:i4>
      </vt:variant>
      <vt:variant>
        <vt:i4>3</vt:i4>
      </vt:variant>
      <vt:variant>
        <vt:i4>0</vt:i4>
      </vt:variant>
      <vt:variant>
        <vt:i4>5</vt:i4>
      </vt:variant>
      <vt:variant>
        <vt:lpwstr>https://www.ndiscommission.gov.au/sites/default/files/2022-02/detailed-guidance-expectations-workers-providing-services-incident_1.pdf</vt:lpwstr>
      </vt:variant>
      <vt:variant>
        <vt:lpwstr/>
      </vt:variant>
      <vt:variant>
        <vt:i4>6881358</vt:i4>
      </vt:variant>
      <vt:variant>
        <vt:i4>0</vt:i4>
      </vt:variant>
      <vt:variant>
        <vt:i4>0</vt:i4>
      </vt:variant>
      <vt:variant>
        <vt:i4>5</vt:i4>
      </vt:variant>
      <vt:variant>
        <vt:lpwstr>https://view.officeapps.live.com/op/view.aspx?src=https%3A%2F%2Fwww.ndiscommission.gov.au%2Fsites%2Fdefault%2Ffiles%2F2022-02%2Fdetailed-guidance-incident-management-systems-detailed-guidance-regi_1.docx&amp;wdOrigin=BROWSELINK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Understanding Incidents - Recording and Reporting requirements</dc:title>
  <dc:subject/>
  <dc:creator>National Disability Services Quality &amp; Safeguarding Team</dc:creator>
  <cp:keywords>IncidentManagement; Recording; Reporting</cp:keywords>
  <dc:description/>
  <cp:lastModifiedBy>Livinia McGee</cp:lastModifiedBy>
  <cp:revision>130</cp:revision>
  <dcterms:created xsi:type="dcterms:W3CDTF">2023-09-11T21:13:00Z</dcterms:created>
  <dcterms:modified xsi:type="dcterms:W3CDTF">2023-09-24T22:31:00Z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