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3DA" w:rsidRPr="00405CAA" w:rsidRDefault="003350C0" w:rsidP="000F43DA">
      <w:r>
        <w:rPr>
          <w:noProof/>
        </w:rPr>
        <w:t xml:space="preserve">National Disability Services (NDS) </w:t>
      </w:r>
    </w:p>
    <w:p w:rsidR="000F43DA" w:rsidRPr="00405CAA" w:rsidRDefault="000F43DA" w:rsidP="000F43DA"/>
    <w:p w:rsidR="002C0576" w:rsidRDefault="002C0576">
      <w:pPr>
        <w:rPr>
          <w:rFonts w:eastAsiaTheme="majorEastAsia"/>
          <w:spacing w:val="-10"/>
          <w:kern w:val="28"/>
          <w:sz w:val="96"/>
          <w:szCs w:val="96"/>
        </w:rPr>
      </w:pPr>
      <w:r>
        <w:rPr>
          <w:rFonts w:eastAsiaTheme="majorEastAsia"/>
          <w:spacing w:val="-10"/>
          <w:kern w:val="28"/>
          <w:sz w:val="96"/>
          <w:szCs w:val="96"/>
        </w:rPr>
        <w:t xml:space="preserve">Analysing Time: </w:t>
      </w:r>
    </w:p>
    <w:p w:rsidR="002323CB" w:rsidRPr="00405CAA" w:rsidRDefault="004B7785">
      <w:pPr>
        <w:rPr>
          <w:sz w:val="96"/>
          <w:szCs w:val="96"/>
        </w:rPr>
      </w:pPr>
      <w:r w:rsidRPr="00405CAA">
        <w:rPr>
          <w:rFonts w:eastAsiaTheme="majorEastAsia"/>
          <w:spacing w:val="-10"/>
          <w:kern w:val="28"/>
          <w:sz w:val="96"/>
          <w:szCs w:val="96"/>
        </w:rPr>
        <w:t>A guide to understanding key elements of workforce costs under the NDIS</w:t>
      </w:r>
    </w:p>
    <w:p w:rsidR="007E3CBC" w:rsidRPr="00405CAA" w:rsidRDefault="007E3CBC">
      <w:pPr>
        <w:sectPr w:rsidR="007E3CBC" w:rsidRPr="00405CAA" w:rsidSect="00527F37">
          <w:headerReference w:type="even" r:id="rId8"/>
          <w:footerReference w:type="even" r:id="rId9"/>
          <w:footerReference w:type="default" r:id="rId10"/>
          <w:footerReference w:type="first" r:id="rId11"/>
          <w:pgSz w:w="11900" w:h="16840"/>
          <w:pgMar w:top="2268" w:right="1134" w:bottom="1701" w:left="1134" w:header="709" w:footer="709" w:gutter="0"/>
          <w:pgNumType w:fmt="lowerRoman" w:start="1"/>
          <w:cols w:space="708"/>
          <w:titlePg/>
          <w:docGrid w:linePitch="360"/>
        </w:sectPr>
      </w:pPr>
    </w:p>
    <w:p w:rsidR="00755155" w:rsidRPr="00405CAA" w:rsidRDefault="00755155"/>
    <w:p w:rsidR="007D0940" w:rsidRPr="00405CAA" w:rsidRDefault="007D0940" w:rsidP="007D0940">
      <w:pPr>
        <w:pStyle w:val="Stongheadinglarge"/>
        <w:rPr>
          <w:rFonts w:ascii="Arial" w:hAnsi="Arial" w:cs="Arial"/>
          <w:sz w:val="24"/>
        </w:rPr>
      </w:pPr>
      <w:r w:rsidRPr="00405CAA">
        <w:rPr>
          <w:rFonts w:ascii="Arial" w:hAnsi="Arial" w:cs="Arial"/>
          <w:sz w:val="24"/>
        </w:rPr>
        <w:t>Contact details</w:t>
      </w:r>
    </w:p>
    <w:p w:rsidR="007D0940" w:rsidRPr="00405CAA" w:rsidRDefault="007D0940" w:rsidP="007D0940">
      <w:r w:rsidRPr="00405CAA">
        <w:t>Caroline Alcorso</w:t>
      </w:r>
      <w:r w:rsidRPr="00405CAA">
        <w:br/>
        <w:t>National Manager (Workforce Development)</w:t>
      </w:r>
      <w:r w:rsidRPr="00405CAA">
        <w:br/>
        <w:t>National Disability Services</w:t>
      </w:r>
    </w:p>
    <w:p w:rsidR="007D0940" w:rsidRPr="00405CAA" w:rsidRDefault="007D0940" w:rsidP="007D0940">
      <w:r w:rsidRPr="00405CAA">
        <w:t>Level 19, 66 Goulburn Street</w:t>
      </w:r>
      <w:r w:rsidRPr="00405CAA">
        <w:br/>
        <w:t>SYDNEY NSW 200</w:t>
      </w:r>
      <w:r w:rsidR="000962B4" w:rsidRPr="00405CAA">
        <w:t>0</w:t>
      </w:r>
    </w:p>
    <w:p w:rsidR="007D0940" w:rsidRPr="00405CAA" w:rsidRDefault="007D0940" w:rsidP="007D0940">
      <w:pPr>
        <w:tabs>
          <w:tab w:val="left" w:pos="851"/>
        </w:tabs>
      </w:pPr>
      <w:r w:rsidRPr="00405CAA">
        <w:t>Phone:</w:t>
      </w:r>
      <w:r w:rsidRPr="00405CAA">
        <w:tab/>
        <w:t>02 9256 3111</w:t>
      </w:r>
      <w:r w:rsidRPr="00405CAA">
        <w:br/>
        <w:t>Email:</w:t>
      </w:r>
      <w:r w:rsidRPr="00405CAA">
        <w:tab/>
        <w:t>caroline.alcorso@nds.org.au</w:t>
      </w:r>
    </w:p>
    <w:p w:rsidR="007D0940" w:rsidRPr="00405CAA" w:rsidRDefault="004B7785" w:rsidP="007D0940">
      <w:r w:rsidRPr="00405CAA">
        <w:t>Th</w:t>
      </w:r>
      <w:r w:rsidR="00DB54C6" w:rsidRPr="00405CAA">
        <w:t>is</w:t>
      </w:r>
      <w:r w:rsidRPr="00405CAA">
        <w:t xml:space="preserve"> guide to understanding key elements of workforce costs under the NDIS</w:t>
      </w:r>
      <w:r w:rsidR="007D0940" w:rsidRPr="00405CAA">
        <w:t xml:space="preserve"> was developed </w:t>
      </w:r>
      <w:r w:rsidR="00190519" w:rsidRPr="00405CAA">
        <w:t xml:space="preserve">with funding from </w:t>
      </w:r>
      <w:r w:rsidR="007D0940" w:rsidRPr="00405CAA">
        <w:t>the Victorian Government Department of Health and Human Services</w:t>
      </w:r>
      <w:r w:rsidR="00190519" w:rsidRPr="00405CAA">
        <w:t xml:space="preserve"> and funding from </w:t>
      </w:r>
      <w:r w:rsidR="009E3F19" w:rsidRPr="00405CAA">
        <w:t>National Disability Services (</w:t>
      </w:r>
      <w:r w:rsidR="00190519" w:rsidRPr="00405CAA">
        <w:t>NDS</w:t>
      </w:r>
      <w:r w:rsidR="009E3F19" w:rsidRPr="00405CAA">
        <w:t>)</w:t>
      </w:r>
      <w:r w:rsidR="007D0940" w:rsidRPr="00405CAA">
        <w:t>. It was developed jointly by BaxterLawley</w:t>
      </w:r>
      <w:r w:rsidR="00565373" w:rsidRPr="00405CAA">
        <w:rPr>
          <w:rStyle w:val="FootnoteReference"/>
        </w:rPr>
        <w:footnoteReference w:id="1"/>
      </w:r>
      <w:r w:rsidR="007D0940" w:rsidRPr="00405CAA">
        <w:t xml:space="preserve"> and </w:t>
      </w:r>
      <w:r w:rsidR="009E3F19" w:rsidRPr="00405CAA">
        <w:t>NDS</w:t>
      </w:r>
      <w:r w:rsidR="007D0940" w:rsidRPr="00405CAA">
        <w:t xml:space="preserve">. </w:t>
      </w:r>
    </w:p>
    <w:p w:rsidR="00CF060A" w:rsidRPr="00405CAA" w:rsidRDefault="00CF060A" w:rsidP="007D0940">
      <w:pPr>
        <w:pStyle w:val="Stongheadinglarge"/>
        <w:rPr>
          <w:rFonts w:ascii="Arial" w:hAnsi="Arial" w:cs="Arial"/>
          <w:sz w:val="24"/>
        </w:rPr>
      </w:pPr>
    </w:p>
    <w:p w:rsidR="007D0940" w:rsidRPr="00405CAA" w:rsidRDefault="007D0940" w:rsidP="007D0940">
      <w:pPr>
        <w:pStyle w:val="Stongheadinglarge"/>
        <w:rPr>
          <w:rFonts w:ascii="Arial" w:hAnsi="Arial" w:cs="Arial"/>
          <w:sz w:val="24"/>
        </w:rPr>
      </w:pPr>
      <w:r w:rsidRPr="00405CAA">
        <w:rPr>
          <w:rFonts w:ascii="Arial" w:hAnsi="Arial" w:cs="Arial"/>
          <w:sz w:val="24"/>
        </w:rPr>
        <w:t>Disclaimer</w:t>
      </w:r>
    </w:p>
    <w:p w:rsidR="00754127" w:rsidRPr="00405CAA" w:rsidRDefault="007D0940" w:rsidP="00D710C4">
      <w:r w:rsidRPr="00405CAA">
        <w:t>The information provided in this document is made available in good faith and is believed to be accurate at the time of publication. However the document is intended to be a guide only and should not be seen as a substitute for obtaining expert advice.</w:t>
      </w:r>
      <w:r w:rsidR="00D710C4" w:rsidRPr="00405CAA">
        <w:t xml:space="preserve"> </w:t>
      </w:r>
    </w:p>
    <w:p w:rsidR="00486047" w:rsidRPr="00405CAA" w:rsidRDefault="00754127" w:rsidP="00CA27C7">
      <w:pPr>
        <w:spacing w:after="0" w:line="240" w:lineRule="auto"/>
      </w:pPr>
      <w:r w:rsidRPr="00405CAA">
        <w:t>Ju</w:t>
      </w:r>
      <w:r w:rsidR="00DB54C6" w:rsidRPr="00405CAA">
        <w:t>ly</w:t>
      </w:r>
      <w:r w:rsidRPr="00405CAA">
        <w:t xml:space="preserve"> 2017</w:t>
      </w:r>
    </w:p>
    <w:p w:rsidR="007D0940" w:rsidRPr="00405CAA" w:rsidRDefault="007D0940" w:rsidP="00CA27C7">
      <w:pPr>
        <w:spacing w:after="0" w:line="240" w:lineRule="auto"/>
      </w:pPr>
      <w:r w:rsidRPr="00405CAA">
        <w:t>© This publication is copyright.</w:t>
      </w:r>
    </w:p>
    <w:p w:rsidR="00754127" w:rsidRPr="00405CAA" w:rsidRDefault="00754127" w:rsidP="007D0940"/>
    <w:p w:rsidR="007D0940" w:rsidRPr="00405CAA" w:rsidRDefault="007D0940" w:rsidP="007D0940">
      <w:r w:rsidRPr="00405CAA">
        <w:t>All rights reserved. Except as provided in the Copyright Act 1968 (Commonwealth), no use of this work, which is within the exclusive right of the copyright owner, may be made.</w:t>
      </w:r>
    </w:p>
    <w:p w:rsidR="00527F37" w:rsidRPr="00405CAA" w:rsidRDefault="002323CB" w:rsidP="001D2EA0">
      <w:pPr>
        <w:tabs>
          <w:tab w:val="center" w:pos="4816"/>
        </w:tabs>
      </w:pPr>
      <w:r w:rsidRPr="00405CAA">
        <w:br w:type="page"/>
      </w:r>
    </w:p>
    <w:sdt>
      <w:sdtPr>
        <w:rPr>
          <w:rFonts w:ascii="Arial" w:eastAsiaTheme="minorEastAsia" w:hAnsi="Arial" w:cs="Arial"/>
          <w:b w:val="0"/>
          <w:bCs w:val="0"/>
          <w:color w:val="auto"/>
          <w:sz w:val="24"/>
          <w:szCs w:val="24"/>
          <w:lang w:val="en-AU" w:eastAsia="en-AU"/>
        </w:rPr>
        <w:id w:val="-820417996"/>
        <w:docPartObj>
          <w:docPartGallery w:val="Table of Contents"/>
          <w:docPartUnique/>
        </w:docPartObj>
      </w:sdtPr>
      <w:sdtEndPr>
        <w:rPr>
          <w:noProof/>
        </w:rPr>
      </w:sdtEndPr>
      <w:sdtContent>
        <w:p w:rsidR="009C3D79" w:rsidRPr="00EC7B7B" w:rsidRDefault="009C3D79" w:rsidP="008F2D15">
          <w:pPr>
            <w:pStyle w:val="TOCHeading"/>
            <w:tabs>
              <w:tab w:val="right" w:leader="dot" w:pos="7088"/>
            </w:tabs>
            <w:rPr>
              <w:rFonts w:ascii="Arial" w:hAnsi="Arial" w:cs="Arial"/>
              <w:color w:val="auto"/>
              <w:sz w:val="24"/>
              <w:szCs w:val="24"/>
            </w:rPr>
          </w:pPr>
          <w:r w:rsidRPr="00EC7B7B">
            <w:rPr>
              <w:rFonts w:ascii="Arial" w:hAnsi="Arial" w:cs="Arial"/>
              <w:color w:val="auto"/>
              <w:sz w:val="24"/>
              <w:szCs w:val="24"/>
            </w:rPr>
            <w:t>Table of Contents</w:t>
          </w:r>
        </w:p>
        <w:p w:rsidR="00E54420" w:rsidRPr="00EC7B7B" w:rsidRDefault="009C3D79">
          <w:pPr>
            <w:pStyle w:val="TOC1"/>
            <w:tabs>
              <w:tab w:val="right" w:leader="dot" w:pos="9622"/>
            </w:tabs>
            <w:rPr>
              <w:rFonts w:ascii="Arial" w:hAnsi="Arial"/>
              <w:b w:val="0"/>
              <w:bCs w:val="0"/>
              <w:noProof/>
              <w:color w:val="auto"/>
              <w:lang w:val="en-GB" w:eastAsia="en-GB"/>
            </w:rPr>
          </w:pPr>
          <w:r w:rsidRPr="00EC7B7B">
            <w:rPr>
              <w:rFonts w:ascii="Arial" w:hAnsi="Arial"/>
              <w:color w:val="auto"/>
            </w:rPr>
            <w:fldChar w:fldCharType="begin"/>
          </w:r>
          <w:r w:rsidRPr="00EC7B7B">
            <w:rPr>
              <w:rFonts w:ascii="Arial" w:hAnsi="Arial"/>
              <w:color w:val="auto"/>
            </w:rPr>
            <w:instrText xml:space="preserve"> TOC \o "1-2" </w:instrText>
          </w:r>
          <w:r w:rsidRPr="00EC7B7B">
            <w:rPr>
              <w:rFonts w:ascii="Arial" w:hAnsi="Arial"/>
              <w:color w:val="auto"/>
            </w:rPr>
            <w:fldChar w:fldCharType="separate"/>
          </w:r>
          <w:r w:rsidR="00E54420" w:rsidRPr="00EC7B7B">
            <w:rPr>
              <w:rFonts w:ascii="Arial" w:hAnsi="Arial"/>
              <w:noProof/>
              <w:color w:val="auto"/>
            </w:rPr>
            <w:t>Glossary</w:t>
          </w:r>
          <w:r w:rsidR="00E54420" w:rsidRPr="00EC7B7B">
            <w:rPr>
              <w:rFonts w:ascii="Arial" w:hAnsi="Arial"/>
              <w:noProof/>
              <w:color w:val="auto"/>
            </w:rPr>
            <w:tab/>
          </w:r>
          <w:r w:rsidR="00E54420" w:rsidRPr="00EC7B7B">
            <w:rPr>
              <w:rFonts w:ascii="Arial" w:hAnsi="Arial"/>
              <w:noProof/>
              <w:color w:val="auto"/>
            </w:rPr>
            <w:fldChar w:fldCharType="begin"/>
          </w:r>
          <w:r w:rsidR="00E54420" w:rsidRPr="00EC7B7B">
            <w:rPr>
              <w:rFonts w:ascii="Arial" w:hAnsi="Arial"/>
              <w:noProof/>
              <w:color w:val="auto"/>
            </w:rPr>
            <w:instrText xml:space="preserve"> PAGEREF _Toc488912234 \h </w:instrText>
          </w:r>
          <w:r w:rsidR="00E54420" w:rsidRPr="00EC7B7B">
            <w:rPr>
              <w:rFonts w:ascii="Arial" w:hAnsi="Arial"/>
              <w:noProof/>
              <w:color w:val="auto"/>
            </w:rPr>
          </w:r>
          <w:r w:rsidR="00E54420" w:rsidRPr="00EC7B7B">
            <w:rPr>
              <w:rFonts w:ascii="Arial" w:hAnsi="Arial"/>
              <w:noProof/>
              <w:color w:val="auto"/>
            </w:rPr>
            <w:fldChar w:fldCharType="separate"/>
          </w:r>
          <w:r w:rsidR="00D66937">
            <w:rPr>
              <w:rFonts w:ascii="Arial" w:hAnsi="Arial"/>
              <w:noProof/>
              <w:color w:val="auto"/>
            </w:rPr>
            <w:t>1</w:t>
          </w:r>
          <w:r w:rsidR="00E54420" w:rsidRPr="00EC7B7B">
            <w:rPr>
              <w:rFonts w:ascii="Arial" w:hAnsi="Arial"/>
              <w:noProof/>
              <w:color w:val="auto"/>
            </w:rPr>
            <w:fldChar w:fldCharType="end"/>
          </w:r>
        </w:p>
        <w:p w:rsidR="00E54420" w:rsidRPr="00EC7B7B" w:rsidRDefault="00E54420">
          <w:pPr>
            <w:pStyle w:val="TOC1"/>
            <w:tabs>
              <w:tab w:val="left" w:pos="480"/>
              <w:tab w:val="right" w:leader="dot" w:pos="9622"/>
            </w:tabs>
            <w:rPr>
              <w:rFonts w:ascii="Arial" w:hAnsi="Arial"/>
              <w:b w:val="0"/>
              <w:bCs w:val="0"/>
              <w:noProof/>
              <w:color w:val="auto"/>
              <w:lang w:val="en-GB" w:eastAsia="en-GB"/>
            </w:rPr>
          </w:pPr>
          <w:r w:rsidRPr="00EC7B7B">
            <w:rPr>
              <w:rFonts w:ascii="Arial" w:hAnsi="Arial"/>
              <w:noProof/>
              <w:color w:val="auto"/>
            </w:rPr>
            <w:t>1.</w:t>
          </w:r>
          <w:r w:rsidRPr="00EC7B7B">
            <w:rPr>
              <w:rFonts w:ascii="Arial" w:hAnsi="Arial"/>
              <w:b w:val="0"/>
              <w:bCs w:val="0"/>
              <w:noProof/>
              <w:color w:val="auto"/>
              <w:lang w:val="en-GB" w:eastAsia="en-GB"/>
            </w:rPr>
            <w:tab/>
          </w:r>
          <w:r w:rsidRPr="00EC7B7B">
            <w:rPr>
              <w:rFonts w:ascii="Arial" w:hAnsi="Arial"/>
              <w:noProof/>
              <w:color w:val="auto"/>
            </w:rPr>
            <w:t>Introduction</w:t>
          </w:r>
          <w:r w:rsidRPr="00EC7B7B">
            <w:rPr>
              <w:rFonts w:ascii="Arial" w:hAnsi="Arial"/>
              <w:noProof/>
              <w:color w:val="auto"/>
            </w:rPr>
            <w:tab/>
          </w:r>
          <w:r w:rsidRPr="00EC7B7B">
            <w:rPr>
              <w:rFonts w:ascii="Arial" w:hAnsi="Arial"/>
              <w:noProof/>
              <w:color w:val="auto"/>
            </w:rPr>
            <w:fldChar w:fldCharType="begin"/>
          </w:r>
          <w:r w:rsidRPr="00EC7B7B">
            <w:rPr>
              <w:rFonts w:ascii="Arial" w:hAnsi="Arial"/>
              <w:noProof/>
              <w:color w:val="auto"/>
            </w:rPr>
            <w:instrText xml:space="preserve"> PAGEREF _Toc488912235 \h </w:instrText>
          </w:r>
          <w:r w:rsidRPr="00EC7B7B">
            <w:rPr>
              <w:rFonts w:ascii="Arial" w:hAnsi="Arial"/>
              <w:noProof/>
              <w:color w:val="auto"/>
            </w:rPr>
          </w:r>
          <w:r w:rsidRPr="00EC7B7B">
            <w:rPr>
              <w:rFonts w:ascii="Arial" w:hAnsi="Arial"/>
              <w:noProof/>
              <w:color w:val="auto"/>
            </w:rPr>
            <w:fldChar w:fldCharType="separate"/>
          </w:r>
          <w:r w:rsidR="00D66937">
            <w:rPr>
              <w:rFonts w:ascii="Arial" w:hAnsi="Arial"/>
              <w:noProof/>
              <w:color w:val="auto"/>
            </w:rPr>
            <w:t>3</w:t>
          </w:r>
          <w:r w:rsidRPr="00EC7B7B">
            <w:rPr>
              <w:rFonts w:ascii="Arial" w:hAnsi="Arial"/>
              <w:noProof/>
              <w:color w:val="auto"/>
            </w:rPr>
            <w:fldChar w:fldCharType="end"/>
          </w:r>
        </w:p>
        <w:p w:rsidR="00E54420" w:rsidRPr="00EC7B7B" w:rsidRDefault="00E54420">
          <w:pPr>
            <w:pStyle w:val="TOC1"/>
            <w:tabs>
              <w:tab w:val="left" w:pos="480"/>
              <w:tab w:val="right" w:leader="dot" w:pos="9622"/>
            </w:tabs>
            <w:rPr>
              <w:rFonts w:ascii="Arial" w:hAnsi="Arial"/>
              <w:b w:val="0"/>
              <w:bCs w:val="0"/>
              <w:noProof/>
              <w:color w:val="auto"/>
              <w:lang w:val="en-GB" w:eastAsia="en-GB"/>
            </w:rPr>
          </w:pPr>
          <w:r w:rsidRPr="00EC7B7B">
            <w:rPr>
              <w:rFonts w:ascii="Arial" w:hAnsi="Arial"/>
              <w:noProof/>
              <w:color w:val="auto"/>
            </w:rPr>
            <w:t>2.</w:t>
          </w:r>
          <w:r w:rsidRPr="00EC7B7B">
            <w:rPr>
              <w:rFonts w:ascii="Arial" w:hAnsi="Arial"/>
              <w:b w:val="0"/>
              <w:bCs w:val="0"/>
              <w:noProof/>
              <w:color w:val="auto"/>
              <w:lang w:val="en-GB" w:eastAsia="en-GB"/>
            </w:rPr>
            <w:tab/>
          </w:r>
          <w:r w:rsidRPr="00EC7B7B">
            <w:rPr>
              <w:rFonts w:ascii="Arial" w:hAnsi="Arial"/>
              <w:noProof/>
              <w:color w:val="auto"/>
            </w:rPr>
            <w:t>This Guide</w:t>
          </w:r>
          <w:r w:rsidRPr="00EC7B7B">
            <w:rPr>
              <w:rFonts w:ascii="Arial" w:hAnsi="Arial"/>
              <w:noProof/>
              <w:color w:val="auto"/>
            </w:rPr>
            <w:tab/>
          </w:r>
          <w:r w:rsidRPr="00EC7B7B">
            <w:rPr>
              <w:rFonts w:ascii="Arial" w:hAnsi="Arial"/>
              <w:noProof/>
              <w:color w:val="auto"/>
            </w:rPr>
            <w:fldChar w:fldCharType="begin"/>
          </w:r>
          <w:r w:rsidRPr="00EC7B7B">
            <w:rPr>
              <w:rFonts w:ascii="Arial" w:hAnsi="Arial"/>
              <w:noProof/>
              <w:color w:val="auto"/>
            </w:rPr>
            <w:instrText xml:space="preserve"> PAGEREF _Toc488912236 \h </w:instrText>
          </w:r>
          <w:r w:rsidRPr="00EC7B7B">
            <w:rPr>
              <w:rFonts w:ascii="Arial" w:hAnsi="Arial"/>
              <w:noProof/>
              <w:color w:val="auto"/>
            </w:rPr>
          </w:r>
          <w:r w:rsidRPr="00EC7B7B">
            <w:rPr>
              <w:rFonts w:ascii="Arial" w:hAnsi="Arial"/>
              <w:noProof/>
              <w:color w:val="auto"/>
            </w:rPr>
            <w:fldChar w:fldCharType="separate"/>
          </w:r>
          <w:r w:rsidR="00D66937">
            <w:rPr>
              <w:rFonts w:ascii="Arial" w:hAnsi="Arial"/>
              <w:noProof/>
              <w:color w:val="auto"/>
            </w:rPr>
            <w:t>3</w:t>
          </w:r>
          <w:r w:rsidRPr="00EC7B7B">
            <w:rPr>
              <w:rFonts w:ascii="Arial" w:hAnsi="Arial"/>
              <w:noProof/>
              <w:color w:val="auto"/>
            </w:rPr>
            <w:fldChar w:fldCharType="end"/>
          </w:r>
        </w:p>
        <w:p w:rsidR="00E54420" w:rsidRPr="00EC7B7B" w:rsidRDefault="00E54420">
          <w:pPr>
            <w:pStyle w:val="TOC1"/>
            <w:tabs>
              <w:tab w:val="left" w:pos="480"/>
              <w:tab w:val="right" w:leader="dot" w:pos="9622"/>
            </w:tabs>
            <w:rPr>
              <w:rFonts w:ascii="Arial" w:hAnsi="Arial"/>
              <w:b w:val="0"/>
              <w:bCs w:val="0"/>
              <w:noProof/>
              <w:color w:val="auto"/>
              <w:lang w:val="en-GB" w:eastAsia="en-GB"/>
            </w:rPr>
          </w:pPr>
          <w:r w:rsidRPr="00EC7B7B">
            <w:rPr>
              <w:rFonts w:ascii="Arial" w:hAnsi="Arial"/>
              <w:noProof/>
              <w:color w:val="auto"/>
            </w:rPr>
            <w:t>3.</w:t>
          </w:r>
          <w:r w:rsidRPr="00EC7B7B">
            <w:rPr>
              <w:rFonts w:ascii="Arial" w:hAnsi="Arial"/>
              <w:b w:val="0"/>
              <w:bCs w:val="0"/>
              <w:noProof/>
              <w:color w:val="auto"/>
              <w:lang w:val="en-GB" w:eastAsia="en-GB"/>
            </w:rPr>
            <w:tab/>
          </w:r>
          <w:r w:rsidRPr="00EC7B7B">
            <w:rPr>
              <w:rFonts w:ascii="Arial" w:hAnsi="Arial"/>
              <w:noProof/>
              <w:color w:val="auto"/>
            </w:rPr>
            <w:t>Key concepts and definitions</w:t>
          </w:r>
          <w:r w:rsidRPr="00EC7B7B">
            <w:rPr>
              <w:rFonts w:ascii="Arial" w:hAnsi="Arial"/>
              <w:noProof/>
              <w:color w:val="auto"/>
            </w:rPr>
            <w:tab/>
          </w:r>
          <w:r w:rsidRPr="00EC7B7B">
            <w:rPr>
              <w:rFonts w:ascii="Arial" w:hAnsi="Arial"/>
              <w:noProof/>
              <w:color w:val="auto"/>
            </w:rPr>
            <w:fldChar w:fldCharType="begin"/>
          </w:r>
          <w:r w:rsidRPr="00EC7B7B">
            <w:rPr>
              <w:rFonts w:ascii="Arial" w:hAnsi="Arial"/>
              <w:noProof/>
              <w:color w:val="auto"/>
            </w:rPr>
            <w:instrText xml:space="preserve"> PAGEREF _Toc488912237 \h </w:instrText>
          </w:r>
          <w:r w:rsidRPr="00EC7B7B">
            <w:rPr>
              <w:rFonts w:ascii="Arial" w:hAnsi="Arial"/>
              <w:noProof/>
              <w:color w:val="auto"/>
            </w:rPr>
          </w:r>
          <w:r w:rsidRPr="00EC7B7B">
            <w:rPr>
              <w:rFonts w:ascii="Arial" w:hAnsi="Arial"/>
              <w:noProof/>
              <w:color w:val="auto"/>
            </w:rPr>
            <w:fldChar w:fldCharType="separate"/>
          </w:r>
          <w:r w:rsidR="00D66937">
            <w:rPr>
              <w:rFonts w:ascii="Arial" w:hAnsi="Arial"/>
              <w:noProof/>
              <w:color w:val="auto"/>
            </w:rPr>
            <w:t>4</w:t>
          </w:r>
          <w:r w:rsidRPr="00EC7B7B">
            <w:rPr>
              <w:rFonts w:ascii="Arial" w:hAnsi="Arial"/>
              <w:noProof/>
              <w:color w:val="auto"/>
            </w:rPr>
            <w:fldChar w:fldCharType="end"/>
          </w:r>
        </w:p>
        <w:p w:rsidR="00E54420" w:rsidRPr="00EC7B7B" w:rsidRDefault="00E54420">
          <w:pPr>
            <w:pStyle w:val="TOC1"/>
            <w:tabs>
              <w:tab w:val="left" w:pos="480"/>
              <w:tab w:val="right" w:leader="dot" w:pos="9622"/>
            </w:tabs>
            <w:rPr>
              <w:rFonts w:ascii="Arial" w:hAnsi="Arial"/>
              <w:b w:val="0"/>
              <w:bCs w:val="0"/>
              <w:noProof/>
              <w:color w:val="auto"/>
              <w:lang w:val="en-GB" w:eastAsia="en-GB"/>
            </w:rPr>
          </w:pPr>
          <w:r w:rsidRPr="00EC7B7B">
            <w:rPr>
              <w:rFonts w:ascii="Arial" w:hAnsi="Arial"/>
              <w:noProof/>
              <w:color w:val="auto"/>
            </w:rPr>
            <w:t>4.</w:t>
          </w:r>
          <w:r w:rsidRPr="00EC7B7B">
            <w:rPr>
              <w:rFonts w:ascii="Arial" w:hAnsi="Arial"/>
              <w:b w:val="0"/>
              <w:bCs w:val="0"/>
              <w:noProof/>
              <w:color w:val="auto"/>
              <w:lang w:val="en-GB" w:eastAsia="en-GB"/>
            </w:rPr>
            <w:tab/>
          </w:r>
          <w:r w:rsidRPr="00EC7B7B">
            <w:rPr>
              <w:rFonts w:ascii="Arial" w:hAnsi="Arial"/>
              <w:noProof/>
              <w:color w:val="auto"/>
            </w:rPr>
            <w:t>Productivity</w:t>
          </w:r>
          <w:r w:rsidRPr="00EC7B7B">
            <w:rPr>
              <w:rFonts w:ascii="Arial" w:hAnsi="Arial"/>
              <w:noProof/>
              <w:color w:val="auto"/>
            </w:rPr>
            <w:tab/>
          </w:r>
          <w:r w:rsidRPr="00EC7B7B">
            <w:rPr>
              <w:rFonts w:ascii="Arial" w:hAnsi="Arial"/>
              <w:noProof/>
              <w:color w:val="auto"/>
            </w:rPr>
            <w:fldChar w:fldCharType="begin"/>
          </w:r>
          <w:r w:rsidRPr="00EC7B7B">
            <w:rPr>
              <w:rFonts w:ascii="Arial" w:hAnsi="Arial"/>
              <w:noProof/>
              <w:color w:val="auto"/>
            </w:rPr>
            <w:instrText xml:space="preserve"> PAGEREF _Toc488912238 \h </w:instrText>
          </w:r>
          <w:r w:rsidRPr="00EC7B7B">
            <w:rPr>
              <w:rFonts w:ascii="Arial" w:hAnsi="Arial"/>
              <w:noProof/>
              <w:color w:val="auto"/>
            </w:rPr>
          </w:r>
          <w:r w:rsidRPr="00EC7B7B">
            <w:rPr>
              <w:rFonts w:ascii="Arial" w:hAnsi="Arial"/>
              <w:noProof/>
              <w:color w:val="auto"/>
            </w:rPr>
            <w:fldChar w:fldCharType="separate"/>
          </w:r>
          <w:r w:rsidR="00D66937">
            <w:rPr>
              <w:rFonts w:ascii="Arial" w:hAnsi="Arial"/>
              <w:noProof/>
              <w:color w:val="auto"/>
            </w:rPr>
            <w:t>4</w:t>
          </w:r>
          <w:r w:rsidRPr="00EC7B7B">
            <w:rPr>
              <w:rFonts w:ascii="Arial" w:hAnsi="Arial"/>
              <w:noProof/>
              <w:color w:val="auto"/>
            </w:rPr>
            <w:fldChar w:fldCharType="end"/>
          </w:r>
        </w:p>
        <w:p w:rsidR="00E54420" w:rsidRPr="00EC7B7B" w:rsidRDefault="00E54420">
          <w:pPr>
            <w:pStyle w:val="TOC1"/>
            <w:tabs>
              <w:tab w:val="left" w:pos="480"/>
              <w:tab w:val="right" w:leader="dot" w:pos="9622"/>
            </w:tabs>
            <w:rPr>
              <w:rFonts w:ascii="Arial" w:hAnsi="Arial"/>
              <w:b w:val="0"/>
              <w:bCs w:val="0"/>
              <w:noProof/>
              <w:color w:val="auto"/>
              <w:lang w:val="en-GB" w:eastAsia="en-GB"/>
            </w:rPr>
          </w:pPr>
          <w:r w:rsidRPr="00EC7B7B">
            <w:rPr>
              <w:rFonts w:ascii="Arial" w:hAnsi="Arial"/>
              <w:noProof/>
              <w:color w:val="auto"/>
            </w:rPr>
            <w:t>5.</w:t>
          </w:r>
          <w:r w:rsidRPr="00EC7B7B">
            <w:rPr>
              <w:rFonts w:ascii="Arial" w:hAnsi="Arial"/>
              <w:b w:val="0"/>
              <w:bCs w:val="0"/>
              <w:noProof/>
              <w:color w:val="auto"/>
              <w:lang w:val="en-GB" w:eastAsia="en-GB"/>
            </w:rPr>
            <w:tab/>
          </w:r>
          <w:r w:rsidRPr="00EC7B7B">
            <w:rPr>
              <w:rFonts w:ascii="Arial" w:hAnsi="Arial"/>
              <w:noProof/>
              <w:color w:val="auto"/>
            </w:rPr>
            <w:t>Utilisation</w:t>
          </w:r>
          <w:r w:rsidRPr="00EC7B7B">
            <w:rPr>
              <w:rFonts w:ascii="Arial" w:hAnsi="Arial"/>
              <w:noProof/>
              <w:color w:val="auto"/>
            </w:rPr>
            <w:tab/>
          </w:r>
          <w:r w:rsidRPr="00EC7B7B">
            <w:rPr>
              <w:rFonts w:ascii="Arial" w:hAnsi="Arial"/>
              <w:noProof/>
              <w:color w:val="auto"/>
            </w:rPr>
            <w:fldChar w:fldCharType="begin"/>
          </w:r>
          <w:r w:rsidRPr="00EC7B7B">
            <w:rPr>
              <w:rFonts w:ascii="Arial" w:hAnsi="Arial"/>
              <w:noProof/>
              <w:color w:val="auto"/>
            </w:rPr>
            <w:instrText xml:space="preserve"> PAGEREF _Toc488912239 \h </w:instrText>
          </w:r>
          <w:r w:rsidRPr="00EC7B7B">
            <w:rPr>
              <w:rFonts w:ascii="Arial" w:hAnsi="Arial"/>
              <w:noProof/>
              <w:color w:val="auto"/>
            </w:rPr>
          </w:r>
          <w:r w:rsidRPr="00EC7B7B">
            <w:rPr>
              <w:rFonts w:ascii="Arial" w:hAnsi="Arial"/>
              <w:noProof/>
              <w:color w:val="auto"/>
            </w:rPr>
            <w:fldChar w:fldCharType="separate"/>
          </w:r>
          <w:r w:rsidR="00D66937">
            <w:rPr>
              <w:rFonts w:ascii="Arial" w:hAnsi="Arial"/>
              <w:noProof/>
              <w:color w:val="auto"/>
            </w:rPr>
            <w:t>8</w:t>
          </w:r>
          <w:r w:rsidRPr="00EC7B7B">
            <w:rPr>
              <w:rFonts w:ascii="Arial" w:hAnsi="Arial"/>
              <w:noProof/>
              <w:color w:val="auto"/>
            </w:rPr>
            <w:fldChar w:fldCharType="end"/>
          </w:r>
        </w:p>
        <w:p w:rsidR="00E54420" w:rsidRPr="00EC7B7B" w:rsidRDefault="00E54420">
          <w:pPr>
            <w:pStyle w:val="TOC1"/>
            <w:tabs>
              <w:tab w:val="left" w:pos="480"/>
              <w:tab w:val="right" w:leader="dot" w:pos="9622"/>
            </w:tabs>
            <w:rPr>
              <w:rFonts w:ascii="Arial" w:hAnsi="Arial"/>
              <w:b w:val="0"/>
              <w:bCs w:val="0"/>
              <w:noProof/>
              <w:color w:val="auto"/>
              <w:lang w:val="en-GB" w:eastAsia="en-GB"/>
            </w:rPr>
          </w:pPr>
          <w:r w:rsidRPr="00EC7B7B">
            <w:rPr>
              <w:rFonts w:ascii="Arial" w:hAnsi="Arial"/>
              <w:noProof/>
              <w:color w:val="auto"/>
            </w:rPr>
            <w:t>6.</w:t>
          </w:r>
          <w:r w:rsidRPr="00EC7B7B">
            <w:rPr>
              <w:rFonts w:ascii="Arial" w:hAnsi="Arial"/>
              <w:b w:val="0"/>
              <w:bCs w:val="0"/>
              <w:noProof/>
              <w:color w:val="auto"/>
              <w:lang w:val="en-GB" w:eastAsia="en-GB"/>
            </w:rPr>
            <w:tab/>
          </w:r>
          <w:r w:rsidRPr="00EC7B7B">
            <w:rPr>
              <w:rFonts w:ascii="Arial" w:hAnsi="Arial"/>
              <w:noProof/>
              <w:color w:val="auto"/>
            </w:rPr>
            <w:t>The influence of the NDIS and the Reasonable Cost Model</w:t>
          </w:r>
          <w:r w:rsidRPr="00EC7B7B">
            <w:rPr>
              <w:rFonts w:ascii="Arial" w:hAnsi="Arial"/>
              <w:noProof/>
              <w:color w:val="auto"/>
            </w:rPr>
            <w:tab/>
          </w:r>
          <w:r w:rsidRPr="00EC7B7B">
            <w:rPr>
              <w:rFonts w:ascii="Arial" w:hAnsi="Arial"/>
              <w:noProof/>
              <w:color w:val="auto"/>
            </w:rPr>
            <w:fldChar w:fldCharType="begin"/>
          </w:r>
          <w:r w:rsidRPr="00EC7B7B">
            <w:rPr>
              <w:rFonts w:ascii="Arial" w:hAnsi="Arial"/>
              <w:noProof/>
              <w:color w:val="auto"/>
            </w:rPr>
            <w:instrText xml:space="preserve"> PAGEREF _Toc488912240 \h </w:instrText>
          </w:r>
          <w:r w:rsidRPr="00EC7B7B">
            <w:rPr>
              <w:rFonts w:ascii="Arial" w:hAnsi="Arial"/>
              <w:noProof/>
              <w:color w:val="auto"/>
            </w:rPr>
          </w:r>
          <w:r w:rsidRPr="00EC7B7B">
            <w:rPr>
              <w:rFonts w:ascii="Arial" w:hAnsi="Arial"/>
              <w:noProof/>
              <w:color w:val="auto"/>
            </w:rPr>
            <w:fldChar w:fldCharType="separate"/>
          </w:r>
          <w:r w:rsidR="00D66937">
            <w:rPr>
              <w:rFonts w:ascii="Arial" w:hAnsi="Arial"/>
              <w:noProof/>
              <w:color w:val="auto"/>
            </w:rPr>
            <w:t>10</w:t>
          </w:r>
          <w:r w:rsidRPr="00EC7B7B">
            <w:rPr>
              <w:rFonts w:ascii="Arial" w:hAnsi="Arial"/>
              <w:noProof/>
              <w:color w:val="auto"/>
            </w:rPr>
            <w:fldChar w:fldCharType="end"/>
          </w:r>
        </w:p>
        <w:p w:rsidR="00E54420" w:rsidRPr="00EC7B7B" w:rsidRDefault="00E54420">
          <w:pPr>
            <w:pStyle w:val="TOC1"/>
            <w:tabs>
              <w:tab w:val="left" w:pos="480"/>
              <w:tab w:val="right" w:leader="dot" w:pos="9622"/>
            </w:tabs>
            <w:rPr>
              <w:rFonts w:ascii="Arial" w:hAnsi="Arial"/>
              <w:b w:val="0"/>
              <w:bCs w:val="0"/>
              <w:noProof/>
              <w:color w:val="auto"/>
              <w:lang w:val="en-GB" w:eastAsia="en-GB"/>
            </w:rPr>
          </w:pPr>
          <w:r w:rsidRPr="00EC7B7B">
            <w:rPr>
              <w:rFonts w:ascii="Arial" w:hAnsi="Arial"/>
              <w:noProof/>
              <w:color w:val="auto"/>
            </w:rPr>
            <w:t>7.</w:t>
          </w:r>
          <w:r w:rsidRPr="00EC7B7B">
            <w:rPr>
              <w:rFonts w:ascii="Arial" w:hAnsi="Arial"/>
              <w:b w:val="0"/>
              <w:bCs w:val="0"/>
              <w:noProof/>
              <w:color w:val="auto"/>
              <w:lang w:val="en-GB" w:eastAsia="en-GB"/>
            </w:rPr>
            <w:tab/>
          </w:r>
          <w:r w:rsidRPr="00EC7B7B">
            <w:rPr>
              <w:rFonts w:ascii="Arial" w:hAnsi="Arial"/>
              <w:noProof/>
              <w:color w:val="auto"/>
            </w:rPr>
            <w:t>Summary of key concepts</w:t>
          </w:r>
          <w:r w:rsidRPr="00EC7B7B">
            <w:rPr>
              <w:rFonts w:ascii="Arial" w:hAnsi="Arial"/>
              <w:noProof/>
              <w:color w:val="auto"/>
            </w:rPr>
            <w:tab/>
          </w:r>
          <w:r w:rsidRPr="00EC7B7B">
            <w:rPr>
              <w:rFonts w:ascii="Arial" w:hAnsi="Arial"/>
              <w:noProof/>
              <w:color w:val="auto"/>
            </w:rPr>
            <w:fldChar w:fldCharType="begin"/>
          </w:r>
          <w:r w:rsidRPr="00EC7B7B">
            <w:rPr>
              <w:rFonts w:ascii="Arial" w:hAnsi="Arial"/>
              <w:noProof/>
              <w:color w:val="auto"/>
            </w:rPr>
            <w:instrText xml:space="preserve"> PAGEREF _Toc488912241 \h </w:instrText>
          </w:r>
          <w:r w:rsidRPr="00EC7B7B">
            <w:rPr>
              <w:rFonts w:ascii="Arial" w:hAnsi="Arial"/>
              <w:noProof/>
              <w:color w:val="auto"/>
            </w:rPr>
          </w:r>
          <w:r w:rsidRPr="00EC7B7B">
            <w:rPr>
              <w:rFonts w:ascii="Arial" w:hAnsi="Arial"/>
              <w:noProof/>
              <w:color w:val="auto"/>
            </w:rPr>
            <w:fldChar w:fldCharType="separate"/>
          </w:r>
          <w:r w:rsidR="00D66937">
            <w:rPr>
              <w:rFonts w:ascii="Arial" w:hAnsi="Arial"/>
              <w:noProof/>
              <w:color w:val="auto"/>
            </w:rPr>
            <w:t>13</w:t>
          </w:r>
          <w:r w:rsidRPr="00EC7B7B">
            <w:rPr>
              <w:rFonts w:ascii="Arial" w:hAnsi="Arial"/>
              <w:noProof/>
              <w:color w:val="auto"/>
            </w:rPr>
            <w:fldChar w:fldCharType="end"/>
          </w:r>
        </w:p>
        <w:p w:rsidR="00E54420" w:rsidRPr="00EC7B7B" w:rsidRDefault="00E54420">
          <w:pPr>
            <w:pStyle w:val="TOC1"/>
            <w:tabs>
              <w:tab w:val="left" w:pos="480"/>
              <w:tab w:val="right" w:leader="dot" w:pos="9622"/>
            </w:tabs>
            <w:rPr>
              <w:rFonts w:ascii="Arial" w:hAnsi="Arial"/>
              <w:b w:val="0"/>
              <w:bCs w:val="0"/>
              <w:noProof/>
              <w:color w:val="auto"/>
              <w:lang w:val="en-GB" w:eastAsia="en-GB"/>
            </w:rPr>
          </w:pPr>
          <w:r w:rsidRPr="00EC7B7B">
            <w:rPr>
              <w:rFonts w:ascii="Arial" w:hAnsi="Arial"/>
              <w:noProof/>
              <w:color w:val="auto"/>
            </w:rPr>
            <w:t>8.</w:t>
          </w:r>
          <w:r w:rsidRPr="00EC7B7B">
            <w:rPr>
              <w:rFonts w:ascii="Arial" w:hAnsi="Arial"/>
              <w:b w:val="0"/>
              <w:bCs w:val="0"/>
              <w:noProof/>
              <w:color w:val="auto"/>
              <w:lang w:val="en-GB" w:eastAsia="en-GB"/>
            </w:rPr>
            <w:tab/>
          </w:r>
          <w:r w:rsidRPr="00EC7B7B">
            <w:rPr>
              <w:rFonts w:ascii="Arial" w:hAnsi="Arial"/>
              <w:noProof/>
              <w:color w:val="auto"/>
            </w:rPr>
            <w:t>Capacity elasticity</w:t>
          </w:r>
          <w:r w:rsidRPr="00EC7B7B">
            <w:rPr>
              <w:rFonts w:ascii="Arial" w:hAnsi="Arial"/>
              <w:noProof/>
              <w:color w:val="auto"/>
            </w:rPr>
            <w:tab/>
          </w:r>
          <w:r w:rsidRPr="00EC7B7B">
            <w:rPr>
              <w:rFonts w:ascii="Arial" w:hAnsi="Arial"/>
              <w:noProof/>
              <w:color w:val="auto"/>
            </w:rPr>
            <w:fldChar w:fldCharType="begin"/>
          </w:r>
          <w:r w:rsidRPr="00EC7B7B">
            <w:rPr>
              <w:rFonts w:ascii="Arial" w:hAnsi="Arial"/>
              <w:noProof/>
              <w:color w:val="auto"/>
            </w:rPr>
            <w:instrText xml:space="preserve"> PAGEREF _Toc488912242 \h </w:instrText>
          </w:r>
          <w:r w:rsidRPr="00EC7B7B">
            <w:rPr>
              <w:rFonts w:ascii="Arial" w:hAnsi="Arial"/>
              <w:noProof/>
              <w:color w:val="auto"/>
            </w:rPr>
          </w:r>
          <w:r w:rsidRPr="00EC7B7B">
            <w:rPr>
              <w:rFonts w:ascii="Arial" w:hAnsi="Arial"/>
              <w:noProof/>
              <w:color w:val="auto"/>
            </w:rPr>
            <w:fldChar w:fldCharType="separate"/>
          </w:r>
          <w:r w:rsidR="00D66937">
            <w:rPr>
              <w:rFonts w:ascii="Arial" w:hAnsi="Arial"/>
              <w:noProof/>
              <w:color w:val="auto"/>
            </w:rPr>
            <w:t>14</w:t>
          </w:r>
          <w:r w:rsidRPr="00EC7B7B">
            <w:rPr>
              <w:rFonts w:ascii="Arial" w:hAnsi="Arial"/>
              <w:noProof/>
              <w:color w:val="auto"/>
            </w:rPr>
            <w:fldChar w:fldCharType="end"/>
          </w:r>
        </w:p>
        <w:p w:rsidR="00E54420" w:rsidRPr="00EC7B7B" w:rsidRDefault="00E54420">
          <w:pPr>
            <w:pStyle w:val="TOC1"/>
            <w:tabs>
              <w:tab w:val="left" w:pos="480"/>
              <w:tab w:val="right" w:leader="dot" w:pos="9622"/>
            </w:tabs>
            <w:rPr>
              <w:rFonts w:ascii="Arial" w:hAnsi="Arial"/>
              <w:b w:val="0"/>
              <w:bCs w:val="0"/>
              <w:noProof/>
              <w:color w:val="auto"/>
              <w:lang w:val="en-GB" w:eastAsia="en-GB"/>
            </w:rPr>
          </w:pPr>
          <w:r w:rsidRPr="00EC7B7B">
            <w:rPr>
              <w:rFonts w:ascii="Arial" w:hAnsi="Arial"/>
              <w:noProof/>
              <w:color w:val="auto"/>
            </w:rPr>
            <w:t>9.</w:t>
          </w:r>
          <w:r w:rsidRPr="00EC7B7B">
            <w:rPr>
              <w:rFonts w:ascii="Arial" w:hAnsi="Arial"/>
              <w:b w:val="0"/>
              <w:bCs w:val="0"/>
              <w:noProof/>
              <w:color w:val="auto"/>
              <w:lang w:val="en-GB" w:eastAsia="en-GB"/>
            </w:rPr>
            <w:tab/>
          </w:r>
          <w:r w:rsidRPr="00EC7B7B">
            <w:rPr>
              <w:rFonts w:ascii="Arial" w:hAnsi="Arial"/>
              <w:noProof/>
              <w:color w:val="auto"/>
            </w:rPr>
            <w:t>A scenario: flexible working in a therapy setting</w:t>
          </w:r>
          <w:r w:rsidRPr="00EC7B7B">
            <w:rPr>
              <w:rFonts w:ascii="Arial" w:hAnsi="Arial"/>
              <w:noProof/>
              <w:color w:val="auto"/>
            </w:rPr>
            <w:tab/>
          </w:r>
          <w:r w:rsidRPr="00EC7B7B">
            <w:rPr>
              <w:rFonts w:ascii="Arial" w:hAnsi="Arial"/>
              <w:noProof/>
              <w:color w:val="auto"/>
            </w:rPr>
            <w:fldChar w:fldCharType="begin"/>
          </w:r>
          <w:r w:rsidRPr="00EC7B7B">
            <w:rPr>
              <w:rFonts w:ascii="Arial" w:hAnsi="Arial"/>
              <w:noProof/>
              <w:color w:val="auto"/>
            </w:rPr>
            <w:instrText xml:space="preserve"> PAGEREF _Toc488912243 \h </w:instrText>
          </w:r>
          <w:r w:rsidRPr="00EC7B7B">
            <w:rPr>
              <w:rFonts w:ascii="Arial" w:hAnsi="Arial"/>
              <w:noProof/>
              <w:color w:val="auto"/>
            </w:rPr>
          </w:r>
          <w:r w:rsidRPr="00EC7B7B">
            <w:rPr>
              <w:rFonts w:ascii="Arial" w:hAnsi="Arial"/>
              <w:noProof/>
              <w:color w:val="auto"/>
            </w:rPr>
            <w:fldChar w:fldCharType="separate"/>
          </w:r>
          <w:r w:rsidR="00D66937">
            <w:rPr>
              <w:rFonts w:ascii="Arial" w:hAnsi="Arial"/>
              <w:noProof/>
              <w:color w:val="auto"/>
            </w:rPr>
            <w:t>17</w:t>
          </w:r>
          <w:r w:rsidRPr="00EC7B7B">
            <w:rPr>
              <w:rFonts w:ascii="Arial" w:hAnsi="Arial"/>
              <w:noProof/>
              <w:color w:val="auto"/>
            </w:rPr>
            <w:fldChar w:fldCharType="end"/>
          </w:r>
        </w:p>
        <w:p w:rsidR="00E54420" w:rsidRPr="00EC7B7B" w:rsidRDefault="00E54420">
          <w:pPr>
            <w:pStyle w:val="TOC1"/>
            <w:tabs>
              <w:tab w:val="right" w:leader="dot" w:pos="9622"/>
            </w:tabs>
            <w:rPr>
              <w:rFonts w:ascii="Arial" w:hAnsi="Arial"/>
              <w:b w:val="0"/>
              <w:bCs w:val="0"/>
              <w:noProof/>
              <w:color w:val="auto"/>
              <w:lang w:val="en-GB" w:eastAsia="en-GB"/>
            </w:rPr>
          </w:pPr>
          <w:r w:rsidRPr="00EC7B7B">
            <w:rPr>
              <w:rFonts w:ascii="Arial" w:hAnsi="Arial"/>
              <w:noProof/>
              <w:color w:val="auto"/>
            </w:rPr>
            <w:t>Appendix A: Tools</w:t>
          </w:r>
          <w:r w:rsidRPr="00EC7B7B">
            <w:rPr>
              <w:rFonts w:ascii="Arial" w:hAnsi="Arial"/>
              <w:noProof/>
              <w:color w:val="auto"/>
            </w:rPr>
            <w:tab/>
          </w:r>
          <w:r w:rsidRPr="00EC7B7B">
            <w:rPr>
              <w:rFonts w:ascii="Arial" w:hAnsi="Arial"/>
              <w:noProof/>
              <w:color w:val="auto"/>
            </w:rPr>
            <w:fldChar w:fldCharType="begin"/>
          </w:r>
          <w:r w:rsidRPr="00EC7B7B">
            <w:rPr>
              <w:rFonts w:ascii="Arial" w:hAnsi="Arial"/>
              <w:noProof/>
              <w:color w:val="auto"/>
            </w:rPr>
            <w:instrText xml:space="preserve"> PAGEREF _Toc488912244 \h </w:instrText>
          </w:r>
          <w:r w:rsidRPr="00EC7B7B">
            <w:rPr>
              <w:rFonts w:ascii="Arial" w:hAnsi="Arial"/>
              <w:noProof/>
              <w:color w:val="auto"/>
            </w:rPr>
          </w:r>
          <w:r w:rsidRPr="00EC7B7B">
            <w:rPr>
              <w:rFonts w:ascii="Arial" w:hAnsi="Arial"/>
              <w:noProof/>
              <w:color w:val="auto"/>
            </w:rPr>
            <w:fldChar w:fldCharType="separate"/>
          </w:r>
          <w:r w:rsidR="00D66937">
            <w:rPr>
              <w:rFonts w:ascii="Arial" w:hAnsi="Arial"/>
              <w:noProof/>
              <w:color w:val="auto"/>
            </w:rPr>
            <w:t>23</w:t>
          </w:r>
          <w:r w:rsidRPr="00EC7B7B">
            <w:rPr>
              <w:rFonts w:ascii="Arial" w:hAnsi="Arial"/>
              <w:noProof/>
              <w:color w:val="auto"/>
            </w:rPr>
            <w:fldChar w:fldCharType="end"/>
          </w:r>
        </w:p>
        <w:p w:rsidR="009C3D79" w:rsidRPr="00405CAA" w:rsidRDefault="009C3D79" w:rsidP="008F2D15">
          <w:pPr>
            <w:tabs>
              <w:tab w:val="right" w:leader="dot" w:pos="7088"/>
            </w:tabs>
          </w:pPr>
          <w:r w:rsidRPr="00EC7B7B">
            <w:fldChar w:fldCharType="end"/>
          </w:r>
        </w:p>
      </w:sdtContent>
    </w:sdt>
    <w:p w:rsidR="00527F37" w:rsidRPr="00405CAA" w:rsidRDefault="00527F37" w:rsidP="008F2D15"/>
    <w:p w:rsidR="008F2D15" w:rsidRPr="00405CAA" w:rsidRDefault="008F2D15" w:rsidP="008F2D15">
      <w:pPr>
        <w:sectPr w:rsidR="008F2D15" w:rsidRPr="00405CAA" w:rsidSect="002C012B">
          <w:headerReference w:type="first" r:id="rId12"/>
          <w:footerReference w:type="first" r:id="rId13"/>
          <w:pgSz w:w="11900" w:h="16840"/>
          <w:pgMar w:top="2410" w:right="1134" w:bottom="1701" w:left="1134" w:header="709" w:footer="709" w:gutter="0"/>
          <w:pgNumType w:fmt="lowerRoman" w:start="1"/>
          <w:cols w:space="708"/>
          <w:docGrid w:linePitch="360"/>
        </w:sectPr>
      </w:pPr>
    </w:p>
    <w:p w:rsidR="000104BA" w:rsidRDefault="000104BA" w:rsidP="000327E0">
      <w:pPr>
        <w:pStyle w:val="Appendixheading"/>
        <w:rPr>
          <w:rFonts w:ascii="Arial" w:hAnsi="Arial" w:cs="Arial"/>
          <w:color w:val="auto"/>
          <w:sz w:val="24"/>
          <w:szCs w:val="24"/>
        </w:rPr>
      </w:pPr>
      <w:bookmarkStart w:id="0" w:name="_Toc488912234"/>
      <w:r w:rsidRPr="00EC7B7B">
        <w:rPr>
          <w:rFonts w:ascii="Arial" w:hAnsi="Arial" w:cs="Arial"/>
          <w:color w:val="auto"/>
          <w:sz w:val="24"/>
          <w:szCs w:val="24"/>
        </w:rPr>
        <w:lastRenderedPageBreak/>
        <w:t>Glossary</w:t>
      </w:r>
      <w:bookmarkEnd w:id="0"/>
    </w:p>
    <w:p w:rsidR="00EC7B7B" w:rsidRDefault="00EC7B7B" w:rsidP="000327E0">
      <w:pPr>
        <w:pStyle w:val="Appendixheading"/>
        <w:rPr>
          <w:rFonts w:ascii="Arial" w:hAnsi="Arial" w:cs="Arial"/>
          <w:b w:val="0"/>
          <w:color w:val="auto"/>
          <w:sz w:val="24"/>
          <w:szCs w:val="24"/>
        </w:rPr>
      </w:pPr>
      <w:r w:rsidRPr="00EC7B7B">
        <w:rPr>
          <w:rFonts w:ascii="Arial" w:hAnsi="Arial" w:cs="Arial"/>
          <w:color w:val="auto"/>
          <w:sz w:val="24"/>
          <w:szCs w:val="24"/>
        </w:rPr>
        <w:t>Associated Service Time</w:t>
      </w:r>
      <w:r>
        <w:rPr>
          <w:rFonts w:ascii="Arial" w:hAnsi="Arial" w:cs="Arial"/>
          <w:color w:val="auto"/>
          <w:sz w:val="24"/>
          <w:szCs w:val="24"/>
        </w:rPr>
        <w:t xml:space="preserve">: </w:t>
      </w:r>
      <w:r w:rsidRPr="00EC7B7B">
        <w:rPr>
          <w:rFonts w:ascii="Arial" w:hAnsi="Arial" w:cs="Arial"/>
          <w:b w:val="0"/>
          <w:color w:val="auto"/>
          <w:sz w:val="24"/>
          <w:szCs w:val="24"/>
          <w:u w:val="single"/>
        </w:rPr>
        <w:t>Productive time</w:t>
      </w:r>
      <w:r w:rsidRPr="00EC7B7B">
        <w:rPr>
          <w:rFonts w:ascii="Arial" w:hAnsi="Arial" w:cs="Arial"/>
          <w:b w:val="0"/>
          <w:color w:val="auto"/>
          <w:sz w:val="24"/>
          <w:szCs w:val="24"/>
        </w:rPr>
        <w:t xml:space="preserve"> spent undertaking activities associated with </w:t>
      </w:r>
      <w:r w:rsidRPr="00CB2852">
        <w:rPr>
          <w:rFonts w:ascii="Arial" w:hAnsi="Arial" w:cs="Arial"/>
          <w:b w:val="0"/>
          <w:color w:val="auto"/>
          <w:sz w:val="24"/>
          <w:szCs w:val="24"/>
          <w:u w:val="single"/>
        </w:rPr>
        <w:t>client-facing time</w:t>
      </w:r>
      <w:r w:rsidRPr="00EC7B7B">
        <w:rPr>
          <w:rFonts w:ascii="Arial" w:hAnsi="Arial" w:cs="Arial"/>
          <w:b w:val="0"/>
          <w:color w:val="auto"/>
          <w:sz w:val="24"/>
          <w:szCs w:val="24"/>
        </w:rPr>
        <w:t xml:space="preserve"> (e.g. preparation, finalisation, travel, liaison with other professionals), in accordance with the organisation’s </w:t>
      </w:r>
      <w:r w:rsidRPr="00CB2852">
        <w:rPr>
          <w:rFonts w:ascii="Arial" w:hAnsi="Arial" w:cs="Arial"/>
          <w:b w:val="0"/>
          <w:color w:val="auto"/>
          <w:sz w:val="24"/>
          <w:szCs w:val="24"/>
          <w:u w:val="single"/>
        </w:rPr>
        <w:t>service delivery model</w:t>
      </w:r>
      <w:r w:rsidRPr="00EC7B7B">
        <w:rPr>
          <w:rFonts w:ascii="Arial" w:hAnsi="Arial" w:cs="Arial"/>
          <w:b w:val="0"/>
          <w:color w:val="auto"/>
          <w:sz w:val="24"/>
          <w:szCs w:val="24"/>
        </w:rPr>
        <w:t>.</w:t>
      </w:r>
    </w:p>
    <w:p w:rsidR="00EC7B7B" w:rsidRDefault="00EC7B7B" w:rsidP="000327E0">
      <w:pPr>
        <w:pStyle w:val="Appendixheading"/>
        <w:rPr>
          <w:rFonts w:ascii="Arial" w:hAnsi="Arial" w:cs="Arial"/>
          <w:b w:val="0"/>
          <w:color w:val="auto"/>
          <w:sz w:val="24"/>
          <w:szCs w:val="24"/>
        </w:rPr>
      </w:pPr>
      <w:r w:rsidRPr="00EC7B7B">
        <w:rPr>
          <w:rFonts w:ascii="Arial" w:hAnsi="Arial" w:cs="Arial"/>
          <w:color w:val="auto"/>
          <w:sz w:val="24"/>
          <w:szCs w:val="24"/>
        </w:rPr>
        <w:t>Available Time</w:t>
      </w:r>
      <w:r>
        <w:rPr>
          <w:rFonts w:ascii="Arial" w:hAnsi="Arial" w:cs="Arial"/>
          <w:color w:val="auto"/>
          <w:sz w:val="24"/>
          <w:szCs w:val="24"/>
        </w:rPr>
        <w:t xml:space="preserve">: </w:t>
      </w:r>
      <w:r w:rsidRPr="00EC7B7B">
        <w:rPr>
          <w:rFonts w:ascii="Arial" w:hAnsi="Arial" w:cs="Arial"/>
          <w:b w:val="0"/>
          <w:color w:val="auto"/>
          <w:sz w:val="24"/>
          <w:szCs w:val="24"/>
        </w:rPr>
        <w:t xml:space="preserve">The amount of </w:t>
      </w:r>
      <w:r w:rsidRPr="00CB2852">
        <w:rPr>
          <w:rFonts w:ascii="Arial" w:hAnsi="Arial" w:cs="Arial"/>
          <w:b w:val="0"/>
          <w:color w:val="auto"/>
          <w:sz w:val="24"/>
          <w:szCs w:val="24"/>
          <w:u w:val="single"/>
        </w:rPr>
        <w:t>paid time</w:t>
      </w:r>
      <w:r w:rsidRPr="00EC7B7B">
        <w:rPr>
          <w:rFonts w:ascii="Arial" w:hAnsi="Arial" w:cs="Arial"/>
          <w:b w:val="0"/>
          <w:color w:val="auto"/>
          <w:sz w:val="24"/>
          <w:szCs w:val="24"/>
        </w:rPr>
        <w:t xml:space="preserve"> a </w:t>
      </w:r>
      <w:r w:rsidRPr="00CB2852">
        <w:rPr>
          <w:rFonts w:ascii="Arial" w:hAnsi="Arial" w:cs="Arial"/>
          <w:b w:val="0"/>
          <w:color w:val="auto"/>
          <w:sz w:val="24"/>
          <w:szCs w:val="24"/>
          <w:u w:val="single"/>
        </w:rPr>
        <w:t>worker</w:t>
      </w:r>
      <w:r w:rsidRPr="00EC7B7B">
        <w:rPr>
          <w:rFonts w:ascii="Arial" w:hAnsi="Arial" w:cs="Arial"/>
          <w:b w:val="0"/>
          <w:color w:val="auto"/>
          <w:sz w:val="24"/>
          <w:szCs w:val="24"/>
        </w:rPr>
        <w:t xml:space="preserve"> is available to attend to work duties. Equal to </w:t>
      </w:r>
      <w:r w:rsidRPr="00CB2852">
        <w:rPr>
          <w:rFonts w:ascii="Arial" w:hAnsi="Arial" w:cs="Arial"/>
          <w:b w:val="0"/>
          <w:color w:val="auto"/>
          <w:sz w:val="24"/>
          <w:szCs w:val="24"/>
          <w:u w:val="single"/>
        </w:rPr>
        <w:t>paid time</w:t>
      </w:r>
      <w:r w:rsidRPr="00EC7B7B">
        <w:rPr>
          <w:rFonts w:ascii="Arial" w:hAnsi="Arial" w:cs="Arial"/>
          <w:b w:val="0"/>
          <w:color w:val="auto"/>
          <w:sz w:val="24"/>
          <w:szCs w:val="24"/>
        </w:rPr>
        <w:t xml:space="preserve"> less </w:t>
      </w:r>
      <w:r w:rsidRPr="00CB2852">
        <w:rPr>
          <w:rFonts w:ascii="Arial" w:hAnsi="Arial" w:cs="Arial"/>
          <w:b w:val="0"/>
          <w:color w:val="auto"/>
          <w:sz w:val="24"/>
          <w:szCs w:val="24"/>
          <w:u w:val="single"/>
        </w:rPr>
        <w:t>unavailable time</w:t>
      </w:r>
      <w:r w:rsidRPr="00EC7B7B">
        <w:rPr>
          <w:rFonts w:ascii="Arial" w:hAnsi="Arial" w:cs="Arial"/>
          <w:b w:val="0"/>
          <w:color w:val="auto"/>
          <w:sz w:val="24"/>
          <w:szCs w:val="24"/>
        </w:rPr>
        <w:t>.</w:t>
      </w:r>
    </w:p>
    <w:p w:rsidR="00EC7B7B" w:rsidRDefault="00EC7B7B" w:rsidP="000327E0">
      <w:pPr>
        <w:pStyle w:val="Appendixheading"/>
        <w:rPr>
          <w:rFonts w:ascii="Arial" w:hAnsi="Arial" w:cs="Arial"/>
          <w:b w:val="0"/>
          <w:color w:val="auto"/>
          <w:sz w:val="24"/>
          <w:szCs w:val="24"/>
        </w:rPr>
      </w:pPr>
      <w:r w:rsidRPr="00EC7B7B">
        <w:rPr>
          <w:rFonts w:ascii="Arial" w:hAnsi="Arial" w:cs="Arial"/>
          <w:color w:val="auto"/>
          <w:sz w:val="24"/>
          <w:szCs w:val="24"/>
        </w:rPr>
        <w:t>Billable Time</w:t>
      </w:r>
      <w:r>
        <w:rPr>
          <w:rFonts w:ascii="Arial" w:hAnsi="Arial" w:cs="Arial"/>
          <w:color w:val="auto"/>
          <w:sz w:val="24"/>
          <w:szCs w:val="24"/>
        </w:rPr>
        <w:t xml:space="preserve">: </w:t>
      </w:r>
      <w:r w:rsidRPr="00EC7B7B">
        <w:rPr>
          <w:rFonts w:ascii="Arial" w:hAnsi="Arial" w:cs="Arial"/>
          <w:b w:val="0"/>
          <w:color w:val="auto"/>
          <w:sz w:val="24"/>
          <w:szCs w:val="24"/>
        </w:rPr>
        <w:t xml:space="preserve">The amount of </w:t>
      </w:r>
      <w:r w:rsidRPr="00CB2852">
        <w:rPr>
          <w:rFonts w:ascii="Arial" w:hAnsi="Arial" w:cs="Arial"/>
          <w:b w:val="0"/>
          <w:color w:val="auto"/>
          <w:sz w:val="24"/>
          <w:szCs w:val="24"/>
          <w:u w:val="single"/>
        </w:rPr>
        <w:t>productive time</w:t>
      </w:r>
      <w:r w:rsidRPr="00EC7B7B">
        <w:rPr>
          <w:rFonts w:ascii="Arial" w:hAnsi="Arial" w:cs="Arial"/>
          <w:b w:val="0"/>
          <w:color w:val="auto"/>
          <w:sz w:val="24"/>
          <w:szCs w:val="24"/>
        </w:rPr>
        <w:t xml:space="preserve"> spent delivering billable services (that is, services that are billable according to the </w:t>
      </w:r>
      <w:r w:rsidRPr="00CB2852">
        <w:rPr>
          <w:rFonts w:ascii="Arial" w:hAnsi="Arial" w:cs="Arial"/>
          <w:b w:val="0"/>
          <w:color w:val="auto"/>
          <w:sz w:val="24"/>
          <w:szCs w:val="24"/>
          <w:u w:val="single"/>
        </w:rPr>
        <w:t>Service Agreement</w:t>
      </w:r>
      <w:r w:rsidRPr="00EC7B7B">
        <w:rPr>
          <w:rFonts w:ascii="Arial" w:hAnsi="Arial" w:cs="Arial"/>
          <w:b w:val="0"/>
          <w:color w:val="auto"/>
          <w:sz w:val="24"/>
          <w:szCs w:val="24"/>
        </w:rPr>
        <w:t>).</w:t>
      </w:r>
    </w:p>
    <w:p w:rsidR="00CB2852" w:rsidRDefault="00CB2852" w:rsidP="000327E0">
      <w:pPr>
        <w:pStyle w:val="Appendixheading"/>
        <w:rPr>
          <w:rFonts w:ascii="Arial" w:hAnsi="Arial" w:cs="Arial"/>
          <w:b w:val="0"/>
          <w:color w:val="auto"/>
          <w:sz w:val="24"/>
          <w:szCs w:val="24"/>
        </w:rPr>
      </w:pPr>
      <w:r w:rsidRPr="00CB2852">
        <w:rPr>
          <w:rFonts w:ascii="Arial" w:hAnsi="Arial" w:cs="Arial"/>
          <w:color w:val="auto"/>
          <w:sz w:val="24"/>
          <w:szCs w:val="24"/>
        </w:rPr>
        <w:t>Client:</w:t>
      </w:r>
      <w:r w:rsidRPr="00CB2852">
        <w:rPr>
          <w:rFonts w:ascii="Arial" w:hAnsi="Arial" w:cs="Arial"/>
          <w:b w:val="0"/>
          <w:color w:val="auto"/>
          <w:sz w:val="24"/>
          <w:szCs w:val="24"/>
        </w:rPr>
        <w:t xml:space="preserve"> The person receiving the </w:t>
      </w:r>
      <w:r w:rsidRPr="00CB2852">
        <w:rPr>
          <w:rFonts w:ascii="Arial" w:hAnsi="Arial" w:cs="Arial"/>
          <w:b w:val="0"/>
          <w:color w:val="auto"/>
          <w:sz w:val="24"/>
          <w:szCs w:val="24"/>
          <w:u w:val="single"/>
        </w:rPr>
        <w:t>services.</w:t>
      </w:r>
    </w:p>
    <w:p w:rsidR="00CB2852" w:rsidRDefault="00CB2852" w:rsidP="000327E0">
      <w:pPr>
        <w:pStyle w:val="Appendixheading"/>
        <w:rPr>
          <w:rFonts w:ascii="Arial" w:hAnsi="Arial" w:cs="Arial"/>
          <w:b w:val="0"/>
          <w:color w:val="auto"/>
          <w:sz w:val="24"/>
          <w:szCs w:val="24"/>
        </w:rPr>
      </w:pPr>
      <w:r w:rsidRPr="00CB2852">
        <w:rPr>
          <w:rFonts w:ascii="Arial" w:hAnsi="Arial" w:cs="Arial"/>
          <w:color w:val="auto"/>
          <w:sz w:val="24"/>
          <w:szCs w:val="24"/>
        </w:rPr>
        <w:t xml:space="preserve">Client-facing </w:t>
      </w:r>
      <w:r w:rsidR="006C40C3">
        <w:rPr>
          <w:rFonts w:ascii="Arial" w:hAnsi="Arial" w:cs="Arial"/>
          <w:color w:val="auto"/>
          <w:sz w:val="24"/>
          <w:szCs w:val="24"/>
        </w:rPr>
        <w:t xml:space="preserve">Service </w:t>
      </w:r>
      <w:r w:rsidRPr="00CB2852">
        <w:rPr>
          <w:rFonts w:ascii="Arial" w:hAnsi="Arial" w:cs="Arial"/>
          <w:color w:val="auto"/>
          <w:sz w:val="24"/>
          <w:szCs w:val="24"/>
        </w:rPr>
        <w:t>Time:</w:t>
      </w:r>
      <w:r>
        <w:rPr>
          <w:rFonts w:ascii="Arial" w:hAnsi="Arial" w:cs="Arial"/>
          <w:color w:val="auto"/>
          <w:sz w:val="24"/>
          <w:szCs w:val="24"/>
        </w:rPr>
        <w:t xml:space="preserve"> </w:t>
      </w:r>
      <w:r w:rsidRPr="00220E10">
        <w:rPr>
          <w:rFonts w:ascii="Arial" w:hAnsi="Arial" w:cs="Arial"/>
          <w:b w:val="0"/>
          <w:color w:val="auto"/>
          <w:sz w:val="24"/>
          <w:szCs w:val="24"/>
          <w:u w:val="single"/>
        </w:rPr>
        <w:t>Productive time</w:t>
      </w:r>
      <w:r w:rsidRPr="00CB2852">
        <w:rPr>
          <w:rFonts w:ascii="Arial" w:hAnsi="Arial" w:cs="Arial"/>
          <w:b w:val="0"/>
          <w:color w:val="auto"/>
          <w:sz w:val="24"/>
          <w:szCs w:val="24"/>
        </w:rPr>
        <w:t xml:space="preserve"> spent servicing a </w:t>
      </w:r>
      <w:r w:rsidRPr="00220E10">
        <w:rPr>
          <w:rFonts w:ascii="Arial" w:hAnsi="Arial" w:cs="Arial"/>
          <w:b w:val="0"/>
          <w:color w:val="auto"/>
          <w:sz w:val="24"/>
          <w:szCs w:val="24"/>
          <w:u w:val="single"/>
        </w:rPr>
        <w:t>client</w:t>
      </w:r>
      <w:r w:rsidRPr="00CB2852">
        <w:rPr>
          <w:rFonts w:ascii="Arial" w:hAnsi="Arial" w:cs="Arial"/>
          <w:b w:val="0"/>
          <w:color w:val="auto"/>
          <w:sz w:val="24"/>
          <w:szCs w:val="24"/>
        </w:rPr>
        <w:t xml:space="preserve"> face-to-face, in accordance with the organisation’s </w:t>
      </w:r>
      <w:r w:rsidRPr="00220E10">
        <w:rPr>
          <w:rFonts w:ascii="Arial" w:hAnsi="Arial" w:cs="Arial"/>
          <w:b w:val="0"/>
          <w:color w:val="auto"/>
          <w:sz w:val="24"/>
          <w:szCs w:val="24"/>
          <w:u w:val="single"/>
        </w:rPr>
        <w:t>service delivery model.</w:t>
      </w:r>
    </w:p>
    <w:p w:rsidR="00CB2852" w:rsidRDefault="00CB2852" w:rsidP="000327E0">
      <w:pPr>
        <w:pStyle w:val="Appendixheading"/>
        <w:rPr>
          <w:rFonts w:ascii="Arial" w:hAnsi="Arial" w:cs="Arial"/>
          <w:b w:val="0"/>
          <w:color w:val="auto"/>
          <w:sz w:val="24"/>
          <w:szCs w:val="24"/>
        </w:rPr>
      </w:pPr>
      <w:r w:rsidRPr="00CB2852">
        <w:rPr>
          <w:rFonts w:ascii="Arial" w:hAnsi="Arial" w:cs="Arial"/>
          <w:color w:val="auto"/>
          <w:sz w:val="24"/>
          <w:szCs w:val="24"/>
        </w:rPr>
        <w:t>Front-line Workers:</w:t>
      </w:r>
      <w:r>
        <w:rPr>
          <w:rFonts w:ascii="Arial" w:hAnsi="Arial" w:cs="Arial"/>
          <w:color w:val="auto"/>
          <w:sz w:val="24"/>
          <w:szCs w:val="24"/>
        </w:rPr>
        <w:t xml:space="preserve"> </w:t>
      </w:r>
      <w:r w:rsidRPr="00220E10">
        <w:rPr>
          <w:rFonts w:ascii="Arial" w:hAnsi="Arial" w:cs="Arial"/>
          <w:b w:val="0"/>
          <w:color w:val="auto"/>
          <w:sz w:val="24"/>
          <w:szCs w:val="24"/>
          <w:u w:val="single"/>
        </w:rPr>
        <w:t>Workers</w:t>
      </w:r>
      <w:r w:rsidRPr="00CB2852">
        <w:rPr>
          <w:rFonts w:ascii="Arial" w:hAnsi="Arial" w:cs="Arial"/>
          <w:b w:val="0"/>
          <w:color w:val="auto"/>
          <w:sz w:val="24"/>
          <w:szCs w:val="24"/>
        </w:rPr>
        <w:t xml:space="preserve"> who have direct contact with clients, together with their first-line supervisors.</w:t>
      </w:r>
    </w:p>
    <w:p w:rsidR="00CB2852" w:rsidRDefault="00CB2852" w:rsidP="000327E0">
      <w:pPr>
        <w:pStyle w:val="Appendixheading"/>
        <w:rPr>
          <w:rFonts w:ascii="Arial" w:hAnsi="Arial" w:cs="Arial"/>
          <w:b w:val="0"/>
          <w:color w:val="auto"/>
          <w:sz w:val="24"/>
          <w:szCs w:val="24"/>
        </w:rPr>
      </w:pPr>
      <w:r w:rsidRPr="00CB2852">
        <w:rPr>
          <w:rFonts w:ascii="Arial" w:hAnsi="Arial" w:cs="Arial"/>
          <w:color w:val="auto"/>
          <w:sz w:val="24"/>
          <w:szCs w:val="24"/>
        </w:rPr>
        <w:t>Full Time Equivalent (FTE)</w:t>
      </w:r>
      <w:r>
        <w:rPr>
          <w:rFonts w:ascii="Arial" w:hAnsi="Arial" w:cs="Arial"/>
          <w:color w:val="auto"/>
          <w:sz w:val="24"/>
          <w:szCs w:val="24"/>
        </w:rPr>
        <w:t xml:space="preserve">: </w:t>
      </w:r>
      <w:r w:rsidRPr="00CB2852">
        <w:rPr>
          <w:rFonts w:ascii="Arial" w:hAnsi="Arial" w:cs="Arial"/>
          <w:b w:val="0"/>
          <w:color w:val="auto"/>
          <w:sz w:val="24"/>
          <w:szCs w:val="24"/>
        </w:rPr>
        <w:t>An FTE is the hours worked by one employee on a full-time basis. In the disability sector this is typically 1,976 hours per annum. The concept is used to provide a basis for comparing the hours worked by part-time employees with the hours worked by full-time employees.</w:t>
      </w:r>
    </w:p>
    <w:p w:rsidR="00CB2852" w:rsidRDefault="00CB2852" w:rsidP="000327E0">
      <w:pPr>
        <w:pStyle w:val="Appendixheading"/>
        <w:rPr>
          <w:rFonts w:ascii="Arial" w:hAnsi="Arial" w:cs="Arial"/>
          <w:b w:val="0"/>
          <w:color w:val="auto"/>
          <w:sz w:val="24"/>
          <w:szCs w:val="24"/>
        </w:rPr>
      </w:pPr>
      <w:r w:rsidRPr="00CB2852">
        <w:rPr>
          <w:rFonts w:ascii="Arial" w:hAnsi="Arial" w:cs="Arial"/>
          <w:color w:val="auto"/>
          <w:sz w:val="24"/>
          <w:szCs w:val="24"/>
        </w:rPr>
        <w:t>Service Delivery Model</w:t>
      </w:r>
      <w:r>
        <w:rPr>
          <w:rFonts w:ascii="Arial" w:hAnsi="Arial" w:cs="Arial"/>
          <w:color w:val="auto"/>
          <w:sz w:val="24"/>
          <w:szCs w:val="24"/>
        </w:rPr>
        <w:t>:</w:t>
      </w:r>
      <w:r w:rsidR="00797C28">
        <w:rPr>
          <w:rFonts w:ascii="Arial" w:hAnsi="Arial" w:cs="Arial"/>
          <w:color w:val="auto"/>
          <w:sz w:val="24"/>
          <w:szCs w:val="24"/>
        </w:rPr>
        <w:t xml:space="preserve"> </w:t>
      </w:r>
      <w:r w:rsidR="00797C28" w:rsidRPr="00797C28">
        <w:rPr>
          <w:rFonts w:ascii="Arial" w:hAnsi="Arial" w:cs="Arial"/>
          <w:b w:val="0"/>
          <w:color w:val="auto"/>
          <w:sz w:val="24"/>
          <w:szCs w:val="24"/>
        </w:rPr>
        <w:t xml:space="preserve">Broad definition of the type of services delivered by the </w:t>
      </w:r>
      <w:r w:rsidR="00797C28" w:rsidRPr="00220E10">
        <w:rPr>
          <w:rFonts w:ascii="Arial" w:hAnsi="Arial" w:cs="Arial"/>
          <w:b w:val="0"/>
          <w:color w:val="auto"/>
          <w:sz w:val="24"/>
          <w:szCs w:val="24"/>
          <w:u w:val="single"/>
        </w:rPr>
        <w:t>organisation</w:t>
      </w:r>
      <w:r w:rsidR="00797C28" w:rsidRPr="00797C28">
        <w:rPr>
          <w:rFonts w:ascii="Arial" w:hAnsi="Arial" w:cs="Arial"/>
          <w:b w:val="0"/>
          <w:color w:val="auto"/>
          <w:sz w:val="24"/>
          <w:szCs w:val="24"/>
        </w:rPr>
        <w:t>, this can include: a description of the activities that are to be undertaken in delivering services and supports; by what type and level of workers; and for what durations.</w:t>
      </w:r>
    </w:p>
    <w:p w:rsidR="00797C28" w:rsidRDefault="00797C28" w:rsidP="000327E0">
      <w:pPr>
        <w:pStyle w:val="Appendixheading"/>
        <w:rPr>
          <w:rFonts w:ascii="Arial" w:hAnsi="Arial" w:cs="Arial"/>
          <w:b w:val="0"/>
          <w:color w:val="auto"/>
          <w:sz w:val="24"/>
          <w:szCs w:val="24"/>
        </w:rPr>
      </w:pPr>
      <w:r w:rsidRPr="00797C28">
        <w:rPr>
          <w:rFonts w:ascii="Arial" w:hAnsi="Arial" w:cs="Arial"/>
          <w:color w:val="auto"/>
          <w:sz w:val="24"/>
          <w:szCs w:val="24"/>
        </w:rPr>
        <w:t>Non-billable Time:</w:t>
      </w:r>
      <w:r>
        <w:rPr>
          <w:rFonts w:ascii="Arial" w:hAnsi="Arial" w:cs="Arial"/>
          <w:color w:val="auto"/>
          <w:sz w:val="24"/>
          <w:szCs w:val="24"/>
        </w:rPr>
        <w:t xml:space="preserve"> </w:t>
      </w:r>
      <w:r w:rsidRPr="00797C28">
        <w:rPr>
          <w:rFonts w:ascii="Arial" w:hAnsi="Arial" w:cs="Arial"/>
          <w:b w:val="0"/>
          <w:color w:val="auto"/>
          <w:sz w:val="24"/>
          <w:szCs w:val="24"/>
        </w:rPr>
        <w:t xml:space="preserve">The amount of </w:t>
      </w:r>
      <w:r w:rsidRPr="00220E10">
        <w:rPr>
          <w:rFonts w:ascii="Arial" w:hAnsi="Arial" w:cs="Arial"/>
          <w:b w:val="0"/>
          <w:color w:val="auto"/>
          <w:sz w:val="24"/>
          <w:szCs w:val="24"/>
          <w:u w:val="single"/>
        </w:rPr>
        <w:t>productive time</w:t>
      </w:r>
      <w:r w:rsidRPr="00797C28">
        <w:rPr>
          <w:rFonts w:ascii="Arial" w:hAnsi="Arial" w:cs="Arial"/>
          <w:b w:val="0"/>
          <w:color w:val="auto"/>
          <w:sz w:val="24"/>
          <w:szCs w:val="24"/>
        </w:rPr>
        <w:t xml:space="preserve"> that is not billable according to the </w:t>
      </w:r>
      <w:r w:rsidRPr="00220E10">
        <w:rPr>
          <w:rFonts w:ascii="Arial" w:hAnsi="Arial" w:cs="Arial"/>
          <w:b w:val="0"/>
          <w:color w:val="auto"/>
          <w:sz w:val="24"/>
          <w:szCs w:val="24"/>
          <w:u w:val="single"/>
        </w:rPr>
        <w:t>Service Agreement</w:t>
      </w:r>
      <w:r w:rsidRPr="00797C28">
        <w:rPr>
          <w:rFonts w:ascii="Arial" w:hAnsi="Arial" w:cs="Arial"/>
          <w:b w:val="0"/>
          <w:color w:val="auto"/>
          <w:sz w:val="24"/>
          <w:szCs w:val="24"/>
        </w:rPr>
        <w:t>.</w:t>
      </w:r>
    </w:p>
    <w:p w:rsidR="00797C28" w:rsidRDefault="00797C28" w:rsidP="000327E0">
      <w:pPr>
        <w:pStyle w:val="Appendixheading"/>
        <w:rPr>
          <w:rFonts w:ascii="Arial" w:hAnsi="Arial" w:cs="Arial"/>
          <w:b w:val="0"/>
          <w:color w:val="auto"/>
          <w:sz w:val="24"/>
          <w:szCs w:val="24"/>
        </w:rPr>
      </w:pPr>
      <w:r w:rsidRPr="00797C28">
        <w:rPr>
          <w:rFonts w:ascii="Arial" w:hAnsi="Arial" w:cs="Arial"/>
          <w:color w:val="auto"/>
          <w:sz w:val="24"/>
          <w:szCs w:val="24"/>
        </w:rPr>
        <w:t>Non-productive Time:</w:t>
      </w:r>
      <w:r>
        <w:rPr>
          <w:rFonts w:ascii="Arial" w:hAnsi="Arial" w:cs="Arial"/>
          <w:color w:val="auto"/>
          <w:sz w:val="24"/>
          <w:szCs w:val="24"/>
        </w:rPr>
        <w:t xml:space="preserve"> </w:t>
      </w:r>
      <w:r w:rsidRPr="00220E10">
        <w:rPr>
          <w:rFonts w:ascii="Arial" w:hAnsi="Arial" w:cs="Arial"/>
          <w:b w:val="0"/>
          <w:color w:val="auto"/>
          <w:sz w:val="24"/>
          <w:szCs w:val="24"/>
          <w:u w:val="single"/>
        </w:rPr>
        <w:t>Available time</w:t>
      </w:r>
      <w:r w:rsidRPr="00797C28">
        <w:rPr>
          <w:rFonts w:ascii="Arial" w:hAnsi="Arial" w:cs="Arial"/>
          <w:b w:val="0"/>
          <w:color w:val="auto"/>
          <w:sz w:val="24"/>
          <w:szCs w:val="24"/>
        </w:rPr>
        <w:t xml:space="preserve"> spent undertaking work activities other than delivering services in accordance with the </w:t>
      </w:r>
      <w:r w:rsidRPr="00220E10">
        <w:rPr>
          <w:rFonts w:ascii="Arial" w:hAnsi="Arial" w:cs="Arial"/>
          <w:b w:val="0"/>
          <w:color w:val="auto"/>
          <w:sz w:val="24"/>
          <w:szCs w:val="24"/>
          <w:u w:val="single"/>
        </w:rPr>
        <w:t>service delivery model</w:t>
      </w:r>
      <w:r w:rsidRPr="00797C28">
        <w:rPr>
          <w:rFonts w:ascii="Arial" w:hAnsi="Arial" w:cs="Arial"/>
          <w:b w:val="0"/>
          <w:color w:val="auto"/>
          <w:sz w:val="24"/>
          <w:szCs w:val="24"/>
        </w:rPr>
        <w:t>.</w:t>
      </w:r>
    </w:p>
    <w:p w:rsidR="00797C28" w:rsidRDefault="00797C28" w:rsidP="000327E0">
      <w:pPr>
        <w:pStyle w:val="Appendixheading"/>
        <w:rPr>
          <w:rFonts w:ascii="Arial" w:hAnsi="Arial" w:cs="Arial"/>
          <w:b w:val="0"/>
          <w:color w:val="auto"/>
          <w:sz w:val="24"/>
          <w:szCs w:val="24"/>
        </w:rPr>
      </w:pPr>
      <w:r w:rsidRPr="00797C28">
        <w:rPr>
          <w:rFonts w:ascii="Arial" w:hAnsi="Arial" w:cs="Arial"/>
          <w:color w:val="auto"/>
          <w:sz w:val="24"/>
          <w:szCs w:val="24"/>
        </w:rPr>
        <w:lastRenderedPageBreak/>
        <w:t>Organisation or Provider:</w:t>
      </w:r>
      <w:r>
        <w:rPr>
          <w:rFonts w:ascii="Arial" w:hAnsi="Arial" w:cs="Arial"/>
          <w:color w:val="auto"/>
          <w:sz w:val="24"/>
          <w:szCs w:val="24"/>
        </w:rPr>
        <w:t xml:space="preserve"> </w:t>
      </w:r>
      <w:r w:rsidRPr="00797C28">
        <w:rPr>
          <w:rFonts w:ascii="Arial" w:hAnsi="Arial" w:cs="Arial"/>
          <w:b w:val="0"/>
          <w:color w:val="auto"/>
          <w:sz w:val="24"/>
          <w:szCs w:val="24"/>
        </w:rPr>
        <w:t>A provider of disability services.</w:t>
      </w:r>
    </w:p>
    <w:p w:rsidR="00797C28" w:rsidRDefault="00FF3503" w:rsidP="000327E0">
      <w:pPr>
        <w:pStyle w:val="Appendixheading"/>
        <w:rPr>
          <w:rFonts w:ascii="Arial" w:hAnsi="Arial" w:cs="Arial"/>
          <w:b w:val="0"/>
          <w:color w:val="auto"/>
          <w:sz w:val="24"/>
          <w:szCs w:val="24"/>
        </w:rPr>
      </w:pPr>
      <w:r w:rsidRPr="00FF3503">
        <w:rPr>
          <w:rFonts w:ascii="Arial" w:hAnsi="Arial" w:cs="Arial"/>
          <w:color w:val="auto"/>
          <w:sz w:val="24"/>
          <w:szCs w:val="24"/>
        </w:rPr>
        <w:t>Paid Time:</w:t>
      </w:r>
      <w:r>
        <w:rPr>
          <w:rFonts w:ascii="Arial" w:hAnsi="Arial" w:cs="Arial"/>
          <w:color w:val="auto"/>
          <w:sz w:val="24"/>
          <w:szCs w:val="24"/>
        </w:rPr>
        <w:t xml:space="preserve"> </w:t>
      </w:r>
      <w:r w:rsidRPr="00FF3503">
        <w:rPr>
          <w:rFonts w:ascii="Arial" w:hAnsi="Arial" w:cs="Arial"/>
          <w:b w:val="0"/>
          <w:color w:val="auto"/>
          <w:sz w:val="24"/>
          <w:szCs w:val="24"/>
        </w:rPr>
        <w:t>All time for which a worker is paid.</w:t>
      </w:r>
    </w:p>
    <w:p w:rsidR="00FF3503" w:rsidRDefault="00FF3503" w:rsidP="000327E0">
      <w:pPr>
        <w:pStyle w:val="Appendixheading"/>
        <w:rPr>
          <w:rFonts w:ascii="Arial" w:hAnsi="Arial" w:cs="Arial"/>
          <w:b w:val="0"/>
          <w:color w:val="auto"/>
          <w:sz w:val="24"/>
          <w:szCs w:val="24"/>
        </w:rPr>
      </w:pPr>
      <w:r w:rsidRPr="00FF3503">
        <w:rPr>
          <w:rFonts w:ascii="Arial" w:hAnsi="Arial" w:cs="Arial"/>
          <w:color w:val="auto"/>
          <w:sz w:val="24"/>
          <w:szCs w:val="24"/>
        </w:rPr>
        <w:t>Productive Time:</w:t>
      </w:r>
      <w:r>
        <w:rPr>
          <w:rFonts w:ascii="Arial" w:hAnsi="Arial" w:cs="Arial"/>
          <w:color w:val="auto"/>
          <w:sz w:val="24"/>
          <w:szCs w:val="24"/>
        </w:rPr>
        <w:t xml:space="preserve"> </w:t>
      </w:r>
      <w:r w:rsidRPr="00FF3503">
        <w:rPr>
          <w:rFonts w:ascii="Arial" w:hAnsi="Arial" w:cs="Arial"/>
          <w:b w:val="0"/>
          <w:color w:val="auto"/>
          <w:sz w:val="24"/>
          <w:szCs w:val="24"/>
        </w:rPr>
        <w:t xml:space="preserve">The amount of </w:t>
      </w:r>
      <w:r w:rsidRPr="00220E10">
        <w:rPr>
          <w:rFonts w:ascii="Arial" w:hAnsi="Arial" w:cs="Arial"/>
          <w:b w:val="0"/>
          <w:color w:val="auto"/>
          <w:sz w:val="24"/>
          <w:szCs w:val="24"/>
          <w:u w:val="single"/>
        </w:rPr>
        <w:t>available time</w:t>
      </w:r>
      <w:r w:rsidRPr="00FF3503">
        <w:rPr>
          <w:rFonts w:ascii="Arial" w:hAnsi="Arial" w:cs="Arial"/>
          <w:b w:val="0"/>
          <w:color w:val="auto"/>
          <w:sz w:val="24"/>
          <w:szCs w:val="24"/>
        </w:rPr>
        <w:t xml:space="preserve"> spent delivering </w:t>
      </w:r>
      <w:r w:rsidRPr="00220E10">
        <w:rPr>
          <w:rFonts w:ascii="Arial" w:hAnsi="Arial" w:cs="Arial"/>
          <w:b w:val="0"/>
          <w:color w:val="auto"/>
          <w:sz w:val="24"/>
          <w:szCs w:val="24"/>
          <w:u w:val="single"/>
        </w:rPr>
        <w:t>services</w:t>
      </w:r>
      <w:r w:rsidRPr="00FF3503">
        <w:rPr>
          <w:rFonts w:ascii="Arial" w:hAnsi="Arial" w:cs="Arial"/>
          <w:b w:val="0"/>
          <w:color w:val="auto"/>
          <w:sz w:val="24"/>
          <w:szCs w:val="24"/>
        </w:rPr>
        <w:t>.</w:t>
      </w:r>
    </w:p>
    <w:p w:rsidR="00FF3503" w:rsidRDefault="00FF3503" w:rsidP="000327E0">
      <w:pPr>
        <w:pStyle w:val="Appendixheading"/>
        <w:rPr>
          <w:rFonts w:ascii="Arial" w:hAnsi="Arial" w:cs="Arial"/>
          <w:b w:val="0"/>
          <w:color w:val="auto"/>
          <w:sz w:val="24"/>
          <w:szCs w:val="24"/>
        </w:rPr>
      </w:pPr>
      <w:r w:rsidRPr="00FF3503">
        <w:rPr>
          <w:rFonts w:ascii="Arial" w:hAnsi="Arial" w:cs="Arial"/>
          <w:color w:val="auto"/>
          <w:sz w:val="24"/>
          <w:szCs w:val="24"/>
        </w:rPr>
        <w:t>Service Agreement:</w:t>
      </w:r>
      <w:r>
        <w:rPr>
          <w:rFonts w:ascii="Arial" w:hAnsi="Arial" w:cs="Arial"/>
          <w:color w:val="auto"/>
          <w:sz w:val="24"/>
          <w:szCs w:val="24"/>
        </w:rPr>
        <w:t xml:space="preserve"> </w:t>
      </w:r>
      <w:r w:rsidRPr="00FF3503">
        <w:rPr>
          <w:rFonts w:ascii="Arial" w:hAnsi="Arial" w:cs="Arial"/>
          <w:b w:val="0"/>
          <w:color w:val="auto"/>
          <w:sz w:val="24"/>
          <w:szCs w:val="24"/>
        </w:rPr>
        <w:t xml:space="preserve">The agreement between the client and the provider for the provision of </w:t>
      </w:r>
      <w:r w:rsidRPr="00220E10">
        <w:rPr>
          <w:rFonts w:ascii="Arial" w:hAnsi="Arial" w:cs="Arial"/>
          <w:b w:val="0"/>
          <w:color w:val="auto"/>
          <w:sz w:val="24"/>
          <w:szCs w:val="24"/>
          <w:u w:val="single"/>
        </w:rPr>
        <w:t>billable services</w:t>
      </w:r>
      <w:r w:rsidRPr="00FF3503">
        <w:rPr>
          <w:rFonts w:ascii="Arial" w:hAnsi="Arial" w:cs="Arial"/>
          <w:b w:val="0"/>
          <w:color w:val="auto"/>
          <w:sz w:val="24"/>
          <w:szCs w:val="24"/>
        </w:rPr>
        <w:t>.</w:t>
      </w:r>
    </w:p>
    <w:p w:rsidR="00220E10" w:rsidRDefault="00FF3503" w:rsidP="000327E0">
      <w:pPr>
        <w:pStyle w:val="Appendixheading"/>
        <w:rPr>
          <w:rFonts w:ascii="Arial" w:hAnsi="Arial" w:cs="Arial"/>
          <w:b w:val="0"/>
          <w:color w:val="auto"/>
          <w:sz w:val="24"/>
          <w:szCs w:val="24"/>
        </w:rPr>
      </w:pPr>
      <w:r w:rsidRPr="00FF3503">
        <w:rPr>
          <w:rFonts w:ascii="Arial" w:hAnsi="Arial" w:cs="Arial"/>
          <w:color w:val="auto"/>
          <w:sz w:val="24"/>
          <w:szCs w:val="24"/>
        </w:rPr>
        <w:t>Services:</w:t>
      </w:r>
      <w:r>
        <w:rPr>
          <w:rFonts w:ascii="Arial" w:hAnsi="Arial" w:cs="Arial"/>
          <w:color w:val="auto"/>
          <w:sz w:val="24"/>
          <w:szCs w:val="24"/>
        </w:rPr>
        <w:t xml:space="preserve"> </w:t>
      </w:r>
      <w:r w:rsidRPr="00FF3503">
        <w:rPr>
          <w:rFonts w:ascii="Arial" w:hAnsi="Arial" w:cs="Arial"/>
          <w:b w:val="0"/>
          <w:color w:val="auto"/>
          <w:sz w:val="24"/>
          <w:szCs w:val="24"/>
        </w:rPr>
        <w:t xml:space="preserve">The </w:t>
      </w:r>
      <w:r w:rsidRPr="00220E10">
        <w:rPr>
          <w:rFonts w:ascii="Arial" w:hAnsi="Arial" w:cs="Arial"/>
          <w:b w:val="0"/>
          <w:color w:val="auto"/>
          <w:sz w:val="24"/>
          <w:szCs w:val="24"/>
          <w:u w:val="single"/>
        </w:rPr>
        <w:t>services</w:t>
      </w:r>
      <w:r w:rsidRPr="00FF3503">
        <w:rPr>
          <w:rFonts w:ascii="Arial" w:hAnsi="Arial" w:cs="Arial"/>
          <w:b w:val="0"/>
          <w:color w:val="auto"/>
          <w:sz w:val="24"/>
          <w:szCs w:val="24"/>
        </w:rPr>
        <w:t xml:space="preserve"> and supports provided by the organisation. Services can be billable or non-billable.</w:t>
      </w:r>
    </w:p>
    <w:p w:rsidR="002323CB" w:rsidRPr="00405CAA" w:rsidRDefault="00FF3503" w:rsidP="00D710C4">
      <w:pPr>
        <w:pStyle w:val="Appendixheading"/>
      </w:pPr>
      <w:r w:rsidRPr="00FF3503">
        <w:rPr>
          <w:rFonts w:ascii="Arial" w:hAnsi="Arial" w:cs="Arial"/>
          <w:color w:val="auto"/>
          <w:sz w:val="24"/>
          <w:szCs w:val="24"/>
        </w:rPr>
        <w:t xml:space="preserve">Unavailable Time: </w:t>
      </w:r>
      <w:r w:rsidRPr="00FF3503">
        <w:rPr>
          <w:rFonts w:ascii="Arial" w:hAnsi="Arial" w:cs="Arial"/>
          <w:b w:val="0"/>
          <w:color w:val="auto"/>
          <w:sz w:val="24"/>
          <w:szCs w:val="24"/>
        </w:rPr>
        <w:t xml:space="preserve">The amount of </w:t>
      </w:r>
      <w:r w:rsidRPr="00220E10">
        <w:rPr>
          <w:rFonts w:ascii="Arial" w:hAnsi="Arial" w:cs="Arial"/>
          <w:b w:val="0"/>
          <w:color w:val="auto"/>
          <w:sz w:val="24"/>
          <w:szCs w:val="24"/>
          <w:u w:val="single"/>
        </w:rPr>
        <w:t>paid time</w:t>
      </w:r>
      <w:r w:rsidRPr="00FF3503">
        <w:rPr>
          <w:rFonts w:ascii="Arial" w:hAnsi="Arial" w:cs="Arial"/>
          <w:b w:val="0"/>
          <w:color w:val="auto"/>
          <w:sz w:val="24"/>
          <w:szCs w:val="24"/>
        </w:rPr>
        <w:t xml:space="preserve"> a worker is not available to attend to duties. Workers may not be available to attend to work duties because they are on regular leave (annual leave, sick leave, personal leave, long service leave, and public holidays) or on a rostered day off (RDO).</w:t>
      </w:r>
      <w:r w:rsidR="00D710C4" w:rsidRPr="00405CAA">
        <w:t xml:space="preserve"> </w:t>
      </w:r>
    </w:p>
    <w:p w:rsidR="000A14AF" w:rsidRPr="00405CAA" w:rsidRDefault="000A14AF" w:rsidP="002323CB">
      <w:r w:rsidRPr="00405CAA">
        <w:br w:type="page"/>
      </w:r>
    </w:p>
    <w:p w:rsidR="009360B3" w:rsidRPr="00E73977" w:rsidRDefault="000A71F2">
      <w:pPr>
        <w:pStyle w:val="Heading1"/>
        <w:rPr>
          <w:rFonts w:ascii="Arial" w:hAnsi="Arial" w:cs="Arial"/>
          <w:color w:val="auto"/>
          <w:sz w:val="24"/>
          <w:szCs w:val="24"/>
        </w:rPr>
      </w:pPr>
      <w:bookmarkStart w:id="1" w:name="_Toc488912235"/>
      <w:r w:rsidRPr="00E73977">
        <w:rPr>
          <w:rFonts w:ascii="Arial" w:hAnsi="Arial" w:cs="Arial"/>
          <w:color w:val="auto"/>
          <w:sz w:val="24"/>
          <w:szCs w:val="24"/>
        </w:rPr>
        <w:lastRenderedPageBreak/>
        <w:t>Introduction</w:t>
      </w:r>
      <w:bookmarkEnd w:id="1"/>
    </w:p>
    <w:p w:rsidR="007A556C" w:rsidRPr="00405CAA" w:rsidRDefault="00565373">
      <w:r w:rsidRPr="00405CAA">
        <w:t>As in other human services organisations, w</w:t>
      </w:r>
      <w:r w:rsidR="007A556C" w:rsidRPr="00405CAA">
        <w:t>orkforce</w:t>
      </w:r>
      <w:r w:rsidR="002B35C6" w:rsidRPr="00405CAA">
        <w:t xml:space="preserve"> </w:t>
      </w:r>
      <w:r w:rsidR="00D44E7B" w:rsidRPr="00405CAA">
        <w:t>is</w:t>
      </w:r>
      <w:r w:rsidR="002B35C6" w:rsidRPr="00405CAA">
        <w:t xml:space="preserve"> the most significant </w:t>
      </w:r>
      <w:r w:rsidR="00D44E7B" w:rsidRPr="00405CAA">
        <w:t>resource</w:t>
      </w:r>
      <w:r w:rsidR="002B35C6" w:rsidRPr="00405CAA">
        <w:t xml:space="preserve"> </w:t>
      </w:r>
      <w:r w:rsidR="00F07A65" w:rsidRPr="00405CAA">
        <w:t xml:space="preserve">and cost element </w:t>
      </w:r>
      <w:r w:rsidR="002B35C6" w:rsidRPr="00405CAA">
        <w:t xml:space="preserve">in </w:t>
      </w:r>
      <w:r w:rsidR="00C653AC" w:rsidRPr="00405CAA">
        <w:t xml:space="preserve">disability </w:t>
      </w:r>
      <w:r w:rsidR="005C23E2" w:rsidRPr="00405CAA">
        <w:t>services</w:t>
      </w:r>
      <w:r w:rsidRPr="00405CAA">
        <w:t xml:space="preserve">. </w:t>
      </w:r>
      <w:r w:rsidR="005A4E2A" w:rsidRPr="00405CAA">
        <w:t xml:space="preserve">Because of </w:t>
      </w:r>
      <w:r w:rsidR="005C23E2" w:rsidRPr="00405CAA">
        <w:t>this</w:t>
      </w:r>
      <w:r w:rsidR="005A4E2A" w:rsidRPr="00405CAA">
        <w:t>, it</w:t>
      </w:r>
      <w:r w:rsidR="00FC2DC4" w:rsidRPr="00405CAA">
        <w:t xml:space="preserve"> </w:t>
      </w:r>
      <w:r w:rsidR="002B35C6" w:rsidRPr="00405CAA">
        <w:t xml:space="preserve">is the area where </w:t>
      </w:r>
      <w:r w:rsidR="00D44E7B" w:rsidRPr="00405CAA">
        <w:t xml:space="preserve">competitive advantage and </w:t>
      </w:r>
      <w:r w:rsidR="002B35C6" w:rsidRPr="00405CAA">
        <w:t xml:space="preserve">efficiencies </w:t>
      </w:r>
      <w:r w:rsidRPr="00405CAA">
        <w:t xml:space="preserve">may </w:t>
      </w:r>
      <w:r w:rsidR="002B35C6" w:rsidRPr="00405CAA">
        <w:t xml:space="preserve">be </w:t>
      </w:r>
      <w:r w:rsidRPr="00405CAA">
        <w:t>sought and an area that warrants close attention</w:t>
      </w:r>
      <w:r w:rsidR="002B35C6" w:rsidRPr="00405CAA">
        <w:t>.</w:t>
      </w:r>
      <w:r w:rsidR="00C653AC" w:rsidRPr="00405CAA">
        <w:t xml:space="preserve"> </w:t>
      </w:r>
      <w:r w:rsidR="007A556C" w:rsidRPr="00405CAA">
        <w:t>I</w:t>
      </w:r>
      <w:r w:rsidR="00F76C40" w:rsidRPr="00405CAA">
        <w:t xml:space="preserve">t </w:t>
      </w:r>
      <w:r w:rsidR="007A556C" w:rsidRPr="00405CAA">
        <w:t>is also the most complex area to plan and manage for effective service delivery</w:t>
      </w:r>
      <w:r w:rsidR="005C23E2" w:rsidRPr="00405CAA">
        <w:t>. S</w:t>
      </w:r>
      <w:r w:rsidR="007A556C" w:rsidRPr="00405CAA">
        <w:t xml:space="preserve">taff must be adequately trained, experienced, and deployed at the right times to meet the needs of both the current </w:t>
      </w:r>
      <w:r w:rsidR="009B538F">
        <w:t xml:space="preserve">and future operating </w:t>
      </w:r>
      <w:r w:rsidR="007A556C" w:rsidRPr="00405CAA">
        <w:t>environment</w:t>
      </w:r>
      <w:r w:rsidR="009B538F">
        <w:t>s</w:t>
      </w:r>
      <w:r w:rsidR="007A556C" w:rsidRPr="00405CAA">
        <w:t xml:space="preserve"> </w:t>
      </w:r>
      <w:r w:rsidR="000A14AF" w:rsidRPr="00405CAA">
        <w:t>while placing</w:t>
      </w:r>
      <w:r w:rsidR="007A556C" w:rsidRPr="00405CAA">
        <w:t xml:space="preserve"> </w:t>
      </w:r>
      <w:r w:rsidR="00C653AC" w:rsidRPr="00405CAA">
        <w:t>client</w:t>
      </w:r>
      <w:r w:rsidR="007A556C" w:rsidRPr="00405CAA">
        <w:t xml:space="preserve"> choice and control at the centre of </w:t>
      </w:r>
      <w:r w:rsidR="000A14AF" w:rsidRPr="00405CAA">
        <w:t>workforce decision-making.</w:t>
      </w:r>
    </w:p>
    <w:p w:rsidR="002B35C6" w:rsidRPr="00405CAA" w:rsidRDefault="00091FE6">
      <w:r w:rsidRPr="00405CAA">
        <w:t xml:space="preserve">We know that one impact of the NDIS roll-out will be the workforce impact associated with the expansion of demand as more people living with disabilities enter the system. </w:t>
      </w:r>
      <w:r w:rsidR="009B538F">
        <w:t>E</w:t>
      </w:r>
      <w:r w:rsidRPr="00405CAA">
        <w:t xml:space="preserve">fficiency in this area is critical in order to allow your organisation to grow in a sustainable way. </w:t>
      </w:r>
      <w:r w:rsidR="002B35C6" w:rsidRPr="00405CAA">
        <w:t xml:space="preserve">Importantly, achieving workforce efficiency </w:t>
      </w:r>
      <w:r w:rsidR="00C653AC" w:rsidRPr="00405CAA">
        <w:t xml:space="preserve">is also </w:t>
      </w:r>
      <w:r w:rsidR="00BF500A" w:rsidRPr="00405CAA">
        <w:t>an important element in</w:t>
      </w:r>
      <w:r w:rsidR="00C653AC" w:rsidRPr="00405CAA">
        <w:t xml:space="preserve"> overcoming</w:t>
      </w:r>
      <w:r w:rsidR="002B35C6" w:rsidRPr="00405CAA">
        <w:t xml:space="preserve"> a</w:t>
      </w:r>
      <w:r w:rsidR="00D44E7B" w:rsidRPr="00405CAA">
        <w:t>n expected</w:t>
      </w:r>
      <w:r w:rsidR="002B35C6" w:rsidRPr="00405CAA">
        <w:t xml:space="preserve"> shortfall in workforce capacity </w:t>
      </w:r>
      <w:r w:rsidR="00D44E7B" w:rsidRPr="00405CAA">
        <w:t xml:space="preserve">due to increasing demand </w:t>
      </w:r>
      <w:r w:rsidR="002B35C6" w:rsidRPr="00405CAA">
        <w:t xml:space="preserve">(higher labour efficiency </w:t>
      </w:r>
      <w:r w:rsidR="0005028A" w:rsidRPr="00405CAA">
        <w:t>allows for meeting a higher level of demand for</w:t>
      </w:r>
      <w:r w:rsidR="002B35C6" w:rsidRPr="00405CAA">
        <w:t xml:space="preserve"> service </w:t>
      </w:r>
      <w:r w:rsidR="0005028A" w:rsidRPr="00405CAA">
        <w:t xml:space="preserve">with </w:t>
      </w:r>
      <w:r w:rsidR="002B35C6" w:rsidRPr="00405CAA">
        <w:t xml:space="preserve">a given level of </w:t>
      </w:r>
      <w:r w:rsidR="0005028A" w:rsidRPr="00405CAA">
        <w:t>staff</w:t>
      </w:r>
      <w:r w:rsidR="002B35C6" w:rsidRPr="00405CAA">
        <w:t>).</w:t>
      </w:r>
      <w:r w:rsidR="00FC2DC4" w:rsidRPr="00405CAA">
        <w:t xml:space="preserve"> </w:t>
      </w:r>
    </w:p>
    <w:p w:rsidR="00E977F0" w:rsidRPr="00405CAA" w:rsidRDefault="002C62BD">
      <w:pPr>
        <w:pStyle w:val="Normalprelist"/>
      </w:pPr>
      <w:r w:rsidRPr="00405CAA">
        <w:t>From commercial</w:t>
      </w:r>
      <w:r w:rsidR="00BA5AD0" w:rsidRPr="00405CAA">
        <w:t xml:space="preserve">, operational and mission </w:t>
      </w:r>
      <w:r w:rsidRPr="00405CAA">
        <w:t>perspective</w:t>
      </w:r>
      <w:r w:rsidR="00BA5AD0" w:rsidRPr="00405CAA">
        <w:t>s</w:t>
      </w:r>
      <w:r w:rsidRPr="00405CAA">
        <w:t xml:space="preserve">, accurate matching </w:t>
      </w:r>
      <w:r w:rsidR="00BA5AD0" w:rsidRPr="00405CAA">
        <w:t xml:space="preserve">both </w:t>
      </w:r>
      <w:r w:rsidR="00C17639" w:rsidRPr="00405CAA">
        <w:t xml:space="preserve">of </w:t>
      </w:r>
      <w:r w:rsidR="00BA5AD0" w:rsidRPr="00405CAA">
        <w:t>existing supply to existing demand</w:t>
      </w:r>
      <w:r w:rsidR="00C17639" w:rsidRPr="00405CAA">
        <w:t>,</w:t>
      </w:r>
      <w:r w:rsidR="00BA5AD0" w:rsidRPr="00405CAA">
        <w:t xml:space="preserve"> and future supply to future demand</w:t>
      </w:r>
      <w:r w:rsidR="00C17639" w:rsidRPr="00405CAA">
        <w:t>,</w:t>
      </w:r>
      <w:r w:rsidR="00BA5AD0" w:rsidRPr="00405CAA">
        <w:t xml:space="preserve"> are </w:t>
      </w:r>
      <w:r w:rsidRPr="00405CAA">
        <w:t>significant issue</w:t>
      </w:r>
      <w:r w:rsidR="00BA5AD0" w:rsidRPr="00405CAA">
        <w:t>s</w:t>
      </w:r>
      <w:r w:rsidRPr="00405CAA">
        <w:t xml:space="preserve">. </w:t>
      </w:r>
      <w:r w:rsidR="00540C33" w:rsidRPr="00405CAA">
        <w:t xml:space="preserve">Disability organisations need to balance the </w:t>
      </w:r>
      <w:r w:rsidR="00305D28" w:rsidRPr="00405CAA">
        <w:t xml:space="preserve">need to </w:t>
      </w:r>
      <w:r w:rsidR="00E977F0" w:rsidRPr="00405CAA">
        <w:t xml:space="preserve">limit the amount of non-billable time with the capacity to service new clients </w:t>
      </w:r>
      <w:r w:rsidR="00C17639" w:rsidRPr="00405CAA">
        <w:t xml:space="preserve">who </w:t>
      </w:r>
      <w:r w:rsidR="00E977F0" w:rsidRPr="00405CAA">
        <w:t>approach the service, and to be flexible enough to cope with fluctuations in daily, weekly and yearly schedules that are arising as consumers have more choice and control of their lives under the NDIS.</w:t>
      </w:r>
    </w:p>
    <w:p w:rsidR="007A556C" w:rsidRPr="00405CAA" w:rsidRDefault="002C62BD">
      <w:pPr>
        <w:pStyle w:val="Normalprelist"/>
      </w:pPr>
      <w:r w:rsidRPr="00405CAA">
        <w:t>O</w:t>
      </w:r>
      <w:r w:rsidR="00C653AC" w:rsidRPr="00405CAA">
        <w:t>rganisation</w:t>
      </w:r>
      <w:r w:rsidR="007A556C" w:rsidRPr="00405CAA">
        <w:t xml:space="preserve">s require a </w:t>
      </w:r>
      <w:r w:rsidR="002B35C6" w:rsidRPr="00405CAA">
        <w:t>capacity to understand, plan and str</w:t>
      </w:r>
      <w:r w:rsidR="007A556C" w:rsidRPr="00405CAA">
        <w:t xml:space="preserve">ategise around </w:t>
      </w:r>
      <w:r w:rsidR="00F76C40" w:rsidRPr="00405CAA">
        <w:t xml:space="preserve">how they utilise </w:t>
      </w:r>
      <w:r w:rsidR="007A556C" w:rsidRPr="00405CAA">
        <w:t>their workforce in order to:</w:t>
      </w:r>
    </w:p>
    <w:p w:rsidR="007A556C" w:rsidRPr="00405CAA" w:rsidRDefault="005D7226">
      <w:pPr>
        <w:pStyle w:val="ListParagraph"/>
        <w:numPr>
          <w:ilvl w:val="0"/>
          <w:numId w:val="12"/>
        </w:numPr>
      </w:pPr>
      <w:r w:rsidRPr="00405CAA">
        <w:t>effectively</w:t>
      </w:r>
      <w:r w:rsidR="002B35C6" w:rsidRPr="00405CAA">
        <w:t xml:space="preserve"> respond to </w:t>
      </w:r>
      <w:r w:rsidR="00C653AC" w:rsidRPr="00405CAA">
        <w:t>client</w:t>
      </w:r>
      <w:r w:rsidR="002B35C6" w:rsidRPr="00405CAA">
        <w:t xml:space="preserve"> need</w:t>
      </w:r>
      <w:r w:rsidR="00C653AC" w:rsidRPr="00405CAA">
        <w:t>s</w:t>
      </w:r>
      <w:r w:rsidRPr="00405CAA">
        <w:t xml:space="preserve"> in a choice environment</w:t>
      </w:r>
      <w:r w:rsidR="00C17639" w:rsidRPr="00405CAA">
        <w:t>;</w:t>
      </w:r>
    </w:p>
    <w:p w:rsidR="00190C5D" w:rsidRPr="00405CAA" w:rsidRDefault="00190C5D">
      <w:pPr>
        <w:pStyle w:val="ListParagraph"/>
        <w:numPr>
          <w:ilvl w:val="0"/>
          <w:numId w:val="12"/>
        </w:numPr>
      </w:pPr>
      <w:r w:rsidRPr="00405CAA">
        <w:t xml:space="preserve">offer satisfying jobs to attract and retain </w:t>
      </w:r>
      <w:r w:rsidR="00C653AC" w:rsidRPr="00405CAA">
        <w:t xml:space="preserve">good </w:t>
      </w:r>
      <w:r w:rsidRPr="00405CAA">
        <w:t>staff</w:t>
      </w:r>
      <w:r w:rsidR="00C17639" w:rsidRPr="00405CAA">
        <w:t>;</w:t>
      </w:r>
    </w:p>
    <w:p w:rsidR="007A556C" w:rsidRPr="00405CAA" w:rsidRDefault="002B35C6">
      <w:pPr>
        <w:pStyle w:val="ListParagraph"/>
        <w:numPr>
          <w:ilvl w:val="0"/>
          <w:numId w:val="12"/>
        </w:numPr>
      </w:pPr>
      <w:r w:rsidRPr="00405CAA">
        <w:t>ensure efficiency in the deployment of staff</w:t>
      </w:r>
      <w:r w:rsidR="00C17639" w:rsidRPr="00405CAA">
        <w:t>;</w:t>
      </w:r>
    </w:p>
    <w:p w:rsidR="007A556C" w:rsidRPr="00405CAA" w:rsidRDefault="002B35C6">
      <w:pPr>
        <w:pStyle w:val="ListParagraph"/>
        <w:numPr>
          <w:ilvl w:val="0"/>
          <w:numId w:val="12"/>
        </w:numPr>
      </w:pPr>
      <w:r w:rsidRPr="00405CAA">
        <w:t xml:space="preserve">plan for significant uplift in expected </w:t>
      </w:r>
      <w:r w:rsidR="00C653AC" w:rsidRPr="00405CAA">
        <w:t>client</w:t>
      </w:r>
      <w:r w:rsidRPr="00405CAA">
        <w:t xml:space="preserve"> numbers</w:t>
      </w:r>
      <w:r w:rsidR="007A556C" w:rsidRPr="00405CAA">
        <w:t>; and</w:t>
      </w:r>
    </w:p>
    <w:p w:rsidR="002B35C6" w:rsidRPr="00405CAA" w:rsidRDefault="002B35C6">
      <w:pPr>
        <w:pStyle w:val="ListParagraph"/>
        <w:numPr>
          <w:ilvl w:val="0"/>
          <w:numId w:val="12"/>
        </w:numPr>
      </w:pPr>
      <w:r w:rsidRPr="00405CAA">
        <w:t>strategically achieve efficiencies in their cost base</w:t>
      </w:r>
      <w:r w:rsidR="007A556C" w:rsidRPr="00405CAA">
        <w:t>.</w:t>
      </w:r>
    </w:p>
    <w:p w:rsidR="002B35C6" w:rsidRPr="00405CAA" w:rsidRDefault="00631F21" w:rsidP="002C012B">
      <w:pPr>
        <w:pStyle w:val="Normalprelist"/>
      </w:pPr>
      <w:r w:rsidRPr="00405CAA">
        <w:t>O</w:t>
      </w:r>
      <w:r w:rsidR="00C653AC" w:rsidRPr="00405CAA">
        <w:t>rganisation</w:t>
      </w:r>
      <w:r w:rsidR="0099577F" w:rsidRPr="00405CAA">
        <w:t xml:space="preserve">s must </w:t>
      </w:r>
      <w:r w:rsidRPr="00405CAA">
        <w:t xml:space="preserve">also </w:t>
      </w:r>
      <w:r w:rsidR="002B35C6" w:rsidRPr="00405CAA">
        <w:t>balanc</w:t>
      </w:r>
      <w:r w:rsidR="0099577F" w:rsidRPr="00405CAA">
        <w:t>e</w:t>
      </w:r>
      <w:r w:rsidR="002B35C6" w:rsidRPr="00405CAA">
        <w:t xml:space="preserve"> </w:t>
      </w:r>
      <w:r w:rsidR="0099577F" w:rsidRPr="00405CAA">
        <w:t xml:space="preserve">operational and </w:t>
      </w:r>
      <w:r w:rsidR="002B35C6" w:rsidRPr="00405CAA">
        <w:t>cost efficiency with</w:t>
      </w:r>
      <w:r w:rsidRPr="00405CAA">
        <w:t xml:space="preserve"> their need to </w:t>
      </w:r>
      <w:r w:rsidR="002B35C6" w:rsidRPr="00405CAA">
        <w:t>compl</w:t>
      </w:r>
      <w:r w:rsidRPr="00405CAA">
        <w:t>y</w:t>
      </w:r>
      <w:r w:rsidR="002B35C6" w:rsidRPr="00405CAA">
        <w:t xml:space="preserve"> with the other critical aspects of service delivery—clinical</w:t>
      </w:r>
      <w:r w:rsidR="00C17639" w:rsidRPr="00405CAA">
        <w:t>/organisational</w:t>
      </w:r>
      <w:r w:rsidR="002B35C6" w:rsidRPr="00405CAA">
        <w:t xml:space="preserve"> governance, quality standards, occupational health and safety, and relationship management.</w:t>
      </w:r>
      <w:r w:rsidR="00936EA3" w:rsidRPr="00405CAA">
        <w:t xml:space="preserve"> </w:t>
      </w:r>
      <w:r w:rsidR="005041EC" w:rsidRPr="00405CAA">
        <w:t xml:space="preserve">These </w:t>
      </w:r>
      <w:r w:rsidR="000E3603" w:rsidRPr="00405CAA">
        <w:t>topics</w:t>
      </w:r>
      <w:r w:rsidR="005041EC" w:rsidRPr="00405CAA">
        <w:t xml:space="preserve"> are not covered in this </w:t>
      </w:r>
      <w:r w:rsidR="00581A2D" w:rsidRPr="00405CAA">
        <w:t>guide</w:t>
      </w:r>
      <w:r w:rsidRPr="00405CAA">
        <w:t xml:space="preserve"> but we should always approach workforce </w:t>
      </w:r>
      <w:r w:rsidR="005C23E2" w:rsidRPr="00405CAA">
        <w:t xml:space="preserve">decisions </w:t>
      </w:r>
      <w:r w:rsidRPr="00405CAA">
        <w:t xml:space="preserve">with the </w:t>
      </w:r>
      <w:r w:rsidR="00C17639" w:rsidRPr="00405CAA">
        <w:t xml:space="preserve">broader </w:t>
      </w:r>
      <w:r w:rsidRPr="00405CAA">
        <w:t>context in mind</w:t>
      </w:r>
      <w:r w:rsidR="005041EC" w:rsidRPr="00405CAA">
        <w:t>.</w:t>
      </w:r>
    </w:p>
    <w:p w:rsidR="00857F1D" w:rsidRPr="00E73977" w:rsidRDefault="00857F1D" w:rsidP="001D2EA0">
      <w:pPr>
        <w:pStyle w:val="Heading1"/>
        <w:rPr>
          <w:rFonts w:ascii="Arial" w:hAnsi="Arial" w:cs="Arial"/>
          <w:color w:val="auto"/>
          <w:sz w:val="24"/>
          <w:szCs w:val="24"/>
        </w:rPr>
      </w:pPr>
      <w:bookmarkStart w:id="2" w:name="_Toc488912236"/>
      <w:r w:rsidRPr="00E73977">
        <w:rPr>
          <w:rFonts w:ascii="Arial" w:hAnsi="Arial" w:cs="Arial"/>
          <w:color w:val="auto"/>
          <w:sz w:val="24"/>
          <w:szCs w:val="24"/>
        </w:rPr>
        <w:t>This Guide</w:t>
      </w:r>
      <w:bookmarkEnd w:id="2"/>
    </w:p>
    <w:p w:rsidR="00857F1D" w:rsidRPr="00405CAA" w:rsidRDefault="00857F1D" w:rsidP="00857F1D">
      <w:r w:rsidRPr="00405CAA">
        <w:t xml:space="preserve">This guide concentrates on the organisation’s </w:t>
      </w:r>
      <w:r w:rsidR="00BF0C19" w:rsidRPr="00405CAA">
        <w:t>perspective</w:t>
      </w:r>
      <w:r w:rsidRPr="00405CAA">
        <w:t xml:space="preserve"> and specifically on the mechanics of workforce utilisation – the factors affecting the availability and use of workers who provide or directly support service delivery.  </w:t>
      </w:r>
    </w:p>
    <w:p w:rsidR="00857F1D" w:rsidRPr="00405CAA" w:rsidRDefault="00857F1D" w:rsidP="007D29DA">
      <w:r w:rsidRPr="00405CAA">
        <w:lastRenderedPageBreak/>
        <w:t>By describing, from a utilisation and management perspective, the different elements that comp</w:t>
      </w:r>
      <w:r w:rsidR="002F7971" w:rsidRPr="00405CAA">
        <w:t>rise</w:t>
      </w:r>
      <w:r w:rsidRPr="00405CAA">
        <w:t xml:space="preserve"> working time</w:t>
      </w:r>
      <w:r w:rsidR="00EC79FA" w:rsidRPr="00405CAA">
        <w:t>,</w:t>
      </w:r>
      <w:r w:rsidRPr="00405CAA">
        <w:t xml:space="preserve"> this Guide </w:t>
      </w:r>
      <w:r w:rsidR="002F7971" w:rsidRPr="00405CAA">
        <w:t xml:space="preserve">is intended to </w:t>
      </w:r>
      <w:r w:rsidR="00581CEA" w:rsidRPr="00405CAA">
        <w:t xml:space="preserve">be </w:t>
      </w:r>
      <w:r w:rsidRPr="00405CAA">
        <w:t xml:space="preserve">useful to </w:t>
      </w:r>
      <w:r w:rsidR="002F7971" w:rsidRPr="00405CAA">
        <w:t xml:space="preserve">organisations in </w:t>
      </w:r>
      <w:r w:rsidRPr="00405CAA">
        <w:t xml:space="preserve">support </w:t>
      </w:r>
      <w:r w:rsidR="002F7971" w:rsidRPr="00405CAA">
        <w:t xml:space="preserve">of their </w:t>
      </w:r>
      <w:r w:rsidRPr="00405CAA">
        <w:t xml:space="preserve">budgeting, costing and pricing, </w:t>
      </w:r>
      <w:r w:rsidR="00BF0C19" w:rsidRPr="00405CAA">
        <w:t xml:space="preserve">rostering, </w:t>
      </w:r>
      <w:r w:rsidRPr="00405CAA">
        <w:t>management and supervision</w:t>
      </w:r>
      <w:r w:rsidR="00091FE6" w:rsidRPr="00405CAA">
        <w:t>,</w:t>
      </w:r>
      <w:r w:rsidRPr="00405CAA">
        <w:t xml:space="preserve"> and </w:t>
      </w:r>
      <w:r w:rsidR="00BF0C19" w:rsidRPr="00405CAA">
        <w:t xml:space="preserve">organisational development. It can also be </w:t>
      </w:r>
      <w:r w:rsidRPr="00405CAA">
        <w:t>used to support the workforce planning process, where a forecast of staff hours, numbers and types forms one element</w:t>
      </w:r>
      <w:r w:rsidR="00BF0C19" w:rsidRPr="00405CAA">
        <w:t xml:space="preserve"> in designing a workforce plan.</w:t>
      </w:r>
    </w:p>
    <w:p w:rsidR="00936EA3" w:rsidRPr="00E73977" w:rsidRDefault="00936EA3" w:rsidP="001D2EA0">
      <w:pPr>
        <w:pStyle w:val="Heading1"/>
        <w:rPr>
          <w:rFonts w:ascii="Arial" w:hAnsi="Arial" w:cs="Arial"/>
          <w:color w:val="auto"/>
          <w:sz w:val="24"/>
          <w:szCs w:val="24"/>
        </w:rPr>
      </w:pPr>
      <w:bookmarkStart w:id="3" w:name="_Toc488912237"/>
      <w:r w:rsidRPr="00E73977">
        <w:rPr>
          <w:rFonts w:ascii="Arial" w:hAnsi="Arial" w:cs="Arial"/>
          <w:color w:val="auto"/>
          <w:sz w:val="24"/>
          <w:szCs w:val="24"/>
        </w:rPr>
        <w:t xml:space="preserve">Key concepts and </w:t>
      </w:r>
      <w:r w:rsidR="00765F0F" w:rsidRPr="00E73977">
        <w:rPr>
          <w:rFonts w:ascii="Arial" w:hAnsi="Arial" w:cs="Arial"/>
          <w:color w:val="auto"/>
          <w:sz w:val="24"/>
          <w:szCs w:val="24"/>
        </w:rPr>
        <w:t>definitions</w:t>
      </w:r>
      <w:bookmarkEnd w:id="3"/>
    </w:p>
    <w:p w:rsidR="002F7FB3" w:rsidRPr="00405CAA" w:rsidRDefault="000E3603" w:rsidP="002F7FB3">
      <w:pPr>
        <w:pStyle w:val="Normalprelist"/>
      </w:pPr>
      <w:r w:rsidRPr="00405CAA">
        <w:t xml:space="preserve">The </w:t>
      </w:r>
      <w:r w:rsidR="00765F0F" w:rsidRPr="00405CAA">
        <w:t xml:space="preserve">Glossary </w:t>
      </w:r>
      <w:r w:rsidR="00BF0C19" w:rsidRPr="00405CAA">
        <w:t>on pages 1 and 2</w:t>
      </w:r>
      <w:r w:rsidR="00765F0F" w:rsidRPr="00405CAA">
        <w:t xml:space="preserve"> defines </w:t>
      </w:r>
      <w:r w:rsidR="00E070D8" w:rsidRPr="00405CAA">
        <w:t xml:space="preserve">the main terms used in </w:t>
      </w:r>
      <w:r w:rsidR="002F7971" w:rsidRPr="00405CAA">
        <w:t xml:space="preserve">this </w:t>
      </w:r>
      <w:r w:rsidR="002C012B" w:rsidRPr="00405CAA">
        <w:t>G</w:t>
      </w:r>
      <w:r w:rsidR="002F7971" w:rsidRPr="00405CAA">
        <w:t>uide</w:t>
      </w:r>
      <w:r w:rsidR="00525B8C" w:rsidRPr="00405CAA">
        <w:t xml:space="preserve">. </w:t>
      </w:r>
      <w:r w:rsidR="00091FE6" w:rsidRPr="00405CAA">
        <w:t>We recommend you review this section prior to proceeding as i</w:t>
      </w:r>
      <w:r w:rsidR="002F7FB3" w:rsidRPr="00405CAA">
        <w:t xml:space="preserve">t is important to understand the fine distinctions between the defined terms, as they are </w:t>
      </w:r>
      <w:r w:rsidR="007745AE" w:rsidRPr="00405CAA">
        <w:t xml:space="preserve">needed when </w:t>
      </w:r>
      <w:r w:rsidR="002F7FB3" w:rsidRPr="00405CAA">
        <w:t>understanding important principles</w:t>
      </w:r>
      <w:r w:rsidR="00F77F5A" w:rsidRPr="00405CAA">
        <w:t xml:space="preserve"> in delivering services under the NDIS. These include</w:t>
      </w:r>
      <w:r w:rsidR="00F4422D" w:rsidRPr="00405CAA">
        <w:t xml:space="preserve"> the following</w:t>
      </w:r>
      <w:r w:rsidR="00F77F5A" w:rsidRPr="00405CAA">
        <w:t>:</w:t>
      </w:r>
    </w:p>
    <w:p w:rsidR="002F7FB3" w:rsidRPr="00405CAA" w:rsidRDefault="002F7FB3" w:rsidP="002F7FB3">
      <w:pPr>
        <w:pStyle w:val="ListParagraph"/>
        <w:numPr>
          <w:ilvl w:val="0"/>
          <w:numId w:val="23"/>
        </w:numPr>
      </w:pPr>
      <w:r w:rsidRPr="00405CAA">
        <w:t xml:space="preserve">While client schedules drive </w:t>
      </w:r>
      <w:r w:rsidR="00B07840" w:rsidRPr="00405CAA">
        <w:t xml:space="preserve">frontline </w:t>
      </w:r>
      <w:r w:rsidRPr="00405CAA">
        <w:t>worker rosters</w:t>
      </w:r>
      <w:r w:rsidR="002F7971" w:rsidRPr="00405CAA">
        <w:t>,</w:t>
      </w:r>
      <w:r w:rsidRPr="00405CAA">
        <w:t xml:space="preserve"> they are not the same thing</w:t>
      </w:r>
      <w:r w:rsidR="00F77F5A" w:rsidRPr="00405CAA">
        <w:t xml:space="preserve"> - </w:t>
      </w:r>
      <w:r w:rsidRPr="00405CAA">
        <w:t xml:space="preserve">time will be rostered for </w:t>
      </w:r>
      <w:r w:rsidR="00CC50B9" w:rsidRPr="00405CAA">
        <w:t xml:space="preserve">front-line </w:t>
      </w:r>
      <w:r w:rsidRPr="00405CAA">
        <w:t>workers that does not appear on any client schedule (such as travel to and from the client)</w:t>
      </w:r>
      <w:r w:rsidR="002F7971" w:rsidRPr="00405CAA">
        <w:t>.</w:t>
      </w:r>
    </w:p>
    <w:p w:rsidR="002F7FB3" w:rsidRPr="00405CAA" w:rsidRDefault="002F7FB3" w:rsidP="002F7FB3">
      <w:pPr>
        <w:pStyle w:val="ListParagraph"/>
        <w:numPr>
          <w:ilvl w:val="0"/>
          <w:numId w:val="23"/>
        </w:numPr>
      </w:pPr>
      <w:r w:rsidRPr="00405CAA">
        <w:t xml:space="preserve">Billable time and rostered time are not necessarily </w:t>
      </w:r>
      <w:r w:rsidR="00CD7FEB" w:rsidRPr="00405CAA">
        <w:t>equal</w:t>
      </w:r>
      <w:r w:rsidR="00F77F5A" w:rsidRPr="00405CAA">
        <w:t xml:space="preserve"> </w:t>
      </w:r>
      <w:r w:rsidR="002F7971" w:rsidRPr="00405CAA">
        <w:t>–</w:t>
      </w:r>
      <w:r w:rsidR="00F77F5A" w:rsidRPr="00405CAA">
        <w:t xml:space="preserve"> </w:t>
      </w:r>
      <w:r w:rsidRPr="00405CAA">
        <w:t xml:space="preserve">not all time spent in delivering the service is reflected in the unit of measure that is billed (for instance, any preparation, finalisation or travel time that is not explicitly included in the service description as per the </w:t>
      </w:r>
      <w:r w:rsidR="00CD7FEB" w:rsidRPr="00405CAA">
        <w:t xml:space="preserve">service delivery </w:t>
      </w:r>
      <w:r w:rsidRPr="00405CAA">
        <w:t>model)</w:t>
      </w:r>
      <w:r w:rsidR="00D673E1" w:rsidRPr="00405CAA">
        <w:t>.</w:t>
      </w:r>
    </w:p>
    <w:p w:rsidR="002F7FB3" w:rsidRPr="00405CAA" w:rsidRDefault="002F7FB3" w:rsidP="002F7FB3">
      <w:pPr>
        <w:pStyle w:val="ListParagraph"/>
        <w:numPr>
          <w:ilvl w:val="0"/>
          <w:numId w:val="23"/>
        </w:numPr>
      </w:pPr>
      <w:r w:rsidRPr="00405CAA">
        <w:t xml:space="preserve">Billable time and client schedules are not necessarily </w:t>
      </w:r>
      <w:r w:rsidR="00CD7FEB" w:rsidRPr="00405CAA">
        <w:t xml:space="preserve">equal – </w:t>
      </w:r>
      <w:r w:rsidRPr="00405CAA">
        <w:t>the billable unit of measure could allow for some associated service time whereas the client schedule will only show the time for delivery of client-facing services.</w:t>
      </w:r>
    </w:p>
    <w:p w:rsidR="004209BA" w:rsidRPr="00405CAA" w:rsidRDefault="004209BA" w:rsidP="00D96C76">
      <w:r w:rsidRPr="00405CAA">
        <w:t xml:space="preserve">Below we discuss </w:t>
      </w:r>
      <w:r w:rsidR="007D65F8" w:rsidRPr="00405CAA">
        <w:t xml:space="preserve">two </w:t>
      </w:r>
      <w:r w:rsidRPr="00405CAA">
        <w:t xml:space="preserve">key concepts that are helpful when thinking about the components of </w:t>
      </w:r>
      <w:r w:rsidR="007D65F8" w:rsidRPr="00405CAA">
        <w:t>working time and costs</w:t>
      </w:r>
      <w:r w:rsidR="00F77F5A" w:rsidRPr="00405CAA">
        <w:t>. These are:</w:t>
      </w:r>
    </w:p>
    <w:p w:rsidR="004209BA" w:rsidRPr="00405CAA" w:rsidRDefault="004209BA" w:rsidP="00D96C76">
      <w:pPr>
        <w:pStyle w:val="ListParagraph"/>
        <w:numPr>
          <w:ilvl w:val="0"/>
          <w:numId w:val="46"/>
        </w:numPr>
      </w:pPr>
      <w:r w:rsidRPr="00405CAA">
        <w:t>Productivity</w:t>
      </w:r>
      <w:r w:rsidR="00567A4B" w:rsidRPr="00405CAA">
        <w:t xml:space="preserve"> – determining </w:t>
      </w:r>
      <w:r w:rsidR="00567A4B" w:rsidRPr="00405CAA">
        <w:rPr>
          <w:b/>
        </w:rPr>
        <w:t>available</w:t>
      </w:r>
      <w:r w:rsidR="00567A4B" w:rsidRPr="00405CAA">
        <w:t xml:space="preserve"> and </w:t>
      </w:r>
      <w:r w:rsidR="00567A4B" w:rsidRPr="00405CAA">
        <w:rPr>
          <w:b/>
        </w:rPr>
        <w:t>productive</w:t>
      </w:r>
      <w:r w:rsidR="00567A4B" w:rsidRPr="00405CAA">
        <w:t xml:space="preserve"> time</w:t>
      </w:r>
      <w:r w:rsidRPr="00405CAA">
        <w:t xml:space="preserve"> </w:t>
      </w:r>
    </w:p>
    <w:p w:rsidR="004209BA" w:rsidRPr="00405CAA" w:rsidRDefault="004209BA" w:rsidP="00D96C76">
      <w:pPr>
        <w:pStyle w:val="ListParagraph"/>
        <w:numPr>
          <w:ilvl w:val="0"/>
          <w:numId w:val="46"/>
        </w:numPr>
      </w:pPr>
      <w:r w:rsidRPr="00405CAA">
        <w:t>Utilisation</w:t>
      </w:r>
      <w:r w:rsidR="00567A4B" w:rsidRPr="00405CAA">
        <w:t xml:space="preserve"> – determining </w:t>
      </w:r>
      <w:r w:rsidR="00567A4B" w:rsidRPr="00405CAA">
        <w:rPr>
          <w:b/>
        </w:rPr>
        <w:t>billable</w:t>
      </w:r>
      <w:r w:rsidR="00567A4B" w:rsidRPr="00405CAA">
        <w:t xml:space="preserve"> time</w:t>
      </w:r>
    </w:p>
    <w:p w:rsidR="003A2E34" w:rsidRPr="00405CAA" w:rsidRDefault="003A2E34" w:rsidP="003A72F6">
      <w:r w:rsidRPr="00405CAA">
        <w:t>The NDIA’s approach to these concepts is then described</w:t>
      </w:r>
      <w:r w:rsidR="00BF0C19" w:rsidRPr="00405CAA">
        <w:t xml:space="preserve">, followed by a discussion of levers that can be used to utilise the workforce optimally. Note that what optimal working time utilisation looks like will depend on the characteristics of each organisation – there is no </w:t>
      </w:r>
      <w:r w:rsidR="00AD1677" w:rsidRPr="00405CAA">
        <w:t>single</w:t>
      </w:r>
      <w:r w:rsidR="00BF0C19" w:rsidRPr="00405CAA">
        <w:t xml:space="preserve"> </w:t>
      </w:r>
      <w:r w:rsidR="00AD1677" w:rsidRPr="00405CAA">
        <w:t>correct</w:t>
      </w:r>
      <w:r w:rsidR="00BF0C19" w:rsidRPr="00405CAA">
        <w:t xml:space="preserve"> approach.</w:t>
      </w:r>
    </w:p>
    <w:p w:rsidR="006229D2" w:rsidRPr="00E73977" w:rsidRDefault="006229D2" w:rsidP="001D2EA0">
      <w:pPr>
        <w:pStyle w:val="Heading1"/>
        <w:rPr>
          <w:rFonts w:ascii="Arial" w:hAnsi="Arial" w:cs="Arial"/>
          <w:color w:val="auto"/>
          <w:sz w:val="24"/>
          <w:szCs w:val="24"/>
        </w:rPr>
      </w:pPr>
      <w:bookmarkStart w:id="4" w:name="_Toc488912238"/>
      <w:r w:rsidRPr="00E73977">
        <w:rPr>
          <w:rFonts w:ascii="Arial" w:hAnsi="Arial" w:cs="Arial"/>
          <w:color w:val="auto"/>
          <w:sz w:val="24"/>
          <w:szCs w:val="24"/>
        </w:rPr>
        <w:t>Productivity</w:t>
      </w:r>
      <w:bookmarkEnd w:id="4"/>
    </w:p>
    <w:p w:rsidR="00F87D9C" w:rsidRPr="00D97DAE" w:rsidRDefault="002F0126" w:rsidP="00D97DAE">
      <w:r w:rsidRPr="00405CAA">
        <w:t xml:space="preserve">Workforce productivity </w:t>
      </w:r>
      <w:r w:rsidR="006229D2" w:rsidRPr="00405CAA">
        <w:t xml:space="preserve">is the extent to which </w:t>
      </w:r>
      <w:r w:rsidR="00664B27" w:rsidRPr="00405CAA">
        <w:t xml:space="preserve">a </w:t>
      </w:r>
      <w:r w:rsidR="00C0508C" w:rsidRPr="00405CAA">
        <w:t>worker</w:t>
      </w:r>
      <w:r w:rsidR="00664B27" w:rsidRPr="00405CAA">
        <w:t>’s</w:t>
      </w:r>
      <w:r w:rsidR="006229D2" w:rsidRPr="00405CAA">
        <w:t xml:space="preserve"> </w:t>
      </w:r>
      <w:r w:rsidR="00955C2C" w:rsidRPr="00405CAA">
        <w:rPr>
          <w:b/>
        </w:rPr>
        <w:t>available time</w:t>
      </w:r>
      <w:r w:rsidR="00955C2C" w:rsidRPr="00405CAA">
        <w:t xml:space="preserve"> </w:t>
      </w:r>
      <w:r w:rsidR="00C0508C" w:rsidRPr="00405CAA">
        <w:t>(paid time minus leave and R</w:t>
      </w:r>
      <w:r w:rsidR="00F77F5A" w:rsidRPr="00405CAA">
        <w:t xml:space="preserve">ostered </w:t>
      </w:r>
      <w:r w:rsidR="00C0508C" w:rsidRPr="00405CAA">
        <w:t>D</w:t>
      </w:r>
      <w:r w:rsidR="00F77F5A" w:rsidRPr="00405CAA">
        <w:t>ays Off</w:t>
      </w:r>
      <w:r w:rsidR="00C0508C" w:rsidRPr="00405CAA">
        <w:t>, see Glossary)</w:t>
      </w:r>
      <w:r w:rsidR="006229D2" w:rsidRPr="00405CAA">
        <w:t xml:space="preserve"> is applied to delivering </w:t>
      </w:r>
      <w:r w:rsidR="00955C2C" w:rsidRPr="00405CAA">
        <w:rPr>
          <w:b/>
        </w:rPr>
        <w:t>services</w:t>
      </w:r>
      <w:r w:rsidR="006229D2" w:rsidRPr="00405CAA">
        <w:rPr>
          <w:b/>
        </w:rPr>
        <w:t xml:space="preserve"> </w:t>
      </w:r>
      <w:r w:rsidR="006229D2" w:rsidRPr="00405CAA">
        <w:t xml:space="preserve">(as opposed to undertaking </w:t>
      </w:r>
      <w:r w:rsidR="009235BA" w:rsidRPr="00405CAA">
        <w:t xml:space="preserve">other </w:t>
      </w:r>
      <w:r w:rsidR="00955C2C" w:rsidRPr="00405CAA">
        <w:t>‘</w:t>
      </w:r>
      <w:r w:rsidR="006229D2" w:rsidRPr="00405CAA">
        <w:t>non-productive</w:t>
      </w:r>
      <w:r w:rsidR="00955C2C" w:rsidRPr="00405CAA">
        <w:t>’</w:t>
      </w:r>
      <w:r w:rsidR="006229D2" w:rsidRPr="00405CAA">
        <w:t xml:space="preserve"> activities</w:t>
      </w:r>
      <w:r w:rsidR="00955C2C" w:rsidRPr="00405CAA">
        <w:t xml:space="preserve"> like professional development</w:t>
      </w:r>
      <w:r w:rsidR="006229D2" w:rsidRPr="00405CAA">
        <w:t xml:space="preserve">).  </w:t>
      </w:r>
      <w:r w:rsidR="00BF0C19" w:rsidRPr="00405CAA">
        <w:t xml:space="preserve">It equates to how much productive time is worked out of </w:t>
      </w:r>
      <w:r w:rsidR="009235BA" w:rsidRPr="00405CAA">
        <w:t xml:space="preserve">a worker’s </w:t>
      </w:r>
      <w:r w:rsidR="00BF0C19" w:rsidRPr="00405CAA">
        <w:t>available time, and can be shown in the form of a ratio</w:t>
      </w:r>
      <w:r w:rsidR="00C00B2B" w:rsidRPr="00405CAA">
        <w:t xml:space="preserve"> or in a diagram like Figure 1 where </w:t>
      </w:r>
      <w:r w:rsidR="009235BA" w:rsidRPr="00405CAA">
        <w:t>(with</w:t>
      </w:r>
      <w:r w:rsidR="001A7273" w:rsidRPr="00405CAA">
        <w:t>in limits</w:t>
      </w:r>
      <w:r w:rsidR="009235BA" w:rsidRPr="00405CAA">
        <w:t xml:space="preserve">) </w:t>
      </w:r>
      <w:r w:rsidR="00C00B2B" w:rsidRPr="00405CAA">
        <w:t>better productivity is achieved by reducing non-productive time.</w:t>
      </w:r>
    </w:p>
    <w:p w:rsidR="00DA465E" w:rsidRDefault="00DA465E">
      <w:pPr>
        <w:spacing w:after="0" w:line="240" w:lineRule="auto"/>
        <w:rPr>
          <w:b/>
        </w:rPr>
      </w:pPr>
      <w:r>
        <w:rPr>
          <w:b/>
        </w:rPr>
        <w:br w:type="page"/>
      </w:r>
    </w:p>
    <w:p w:rsidR="001C0A66" w:rsidRPr="00BF18C3" w:rsidRDefault="00B30DB9" w:rsidP="009C169F">
      <w:pPr>
        <w:rPr>
          <w:b/>
        </w:rPr>
      </w:pPr>
      <w:r w:rsidRPr="00405CAA">
        <w:rPr>
          <w:b/>
        </w:rPr>
        <w:lastRenderedPageBreak/>
        <w:t>Productivity concepts — productive time relative to available time</w:t>
      </w:r>
    </w:p>
    <w:p w:rsidR="009235BA" w:rsidRPr="00405CAA" w:rsidRDefault="00BF18C3" w:rsidP="009C169F">
      <w:r>
        <w:t>T</w:t>
      </w:r>
      <w:r w:rsidR="00C00B2B" w:rsidRPr="00405CAA">
        <w:t>here are two elements to consider: available time and productive time.</w:t>
      </w:r>
      <w:r w:rsidR="00D32308" w:rsidRPr="00405CAA">
        <w:t xml:space="preserve"> </w:t>
      </w:r>
    </w:p>
    <w:p w:rsidR="009235BA" w:rsidRPr="00BF18C3" w:rsidRDefault="009235BA" w:rsidP="00CA27C7">
      <w:pPr>
        <w:pStyle w:val="Heading3"/>
        <w:rPr>
          <w:color w:val="auto"/>
        </w:rPr>
      </w:pPr>
      <w:r w:rsidRPr="00BF18C3">
        <w:rPr>
          <w:color w:val="auto"/>
        </w:rPr>
        <w:t>Calculating available time</w:t>
      </w:r>
    </w:p>
    <w:p w:rsidR="00C00B2B" w:rsidRPr="00405CAA" w:rsidRDefault="00D32308" w:rsidP="009C169F">
      <w:r w:rsidRPr="00405CAA">
        <w:t xml:space="preserve">Table 1 shows an example of how to </w:t>
      </w:r>
      <w:r w:rsidR="00D8132B" w:rsidRPr="00405CAA">
        <w:t>calculate</w:t>
      </w:r>
      <w:r w:rsidRPr="00405CAA">
        <w:t xml:space="preserve"> available time, noting that the figures used in it are intended to be realistic but not </w:t>
      </w:r>
      <w:r w:rsidR="00D8132B" w:rsidRPr="00405CAA">
        <w:t xml:space="preserve">necessarily </w:t>
      </w:r>
      <w:r w:rsidRPr="00405CAA">
        <w:t>representative of an</w:t>
      </w:r>
      <w:r w:rsidR="00D8132B" w:rsidRPr="00405CAA">
        <w:t xml:space="preserve"> ideal</w:t>
      </w:r>
      <w:r w:rsidRPr="00405CAA">
        <w:t>.</w:t>
      </w:r>
    </w:p>
    <w:p w:rsidR="00D8132B" w:rsidRPr="00405CAA" w:rsidRDefault="00D8132B" w:rsidP="001D2EA0">
      <w:pPr>
        <w:rPr>
          <w:b/>
        </w:rPr>
      </w:pPr>
      <w:r w:rsidRPr="00405CAA">
        <w:rPr>
          <w:b/>
        </w:rPr>
        <w:t>Table 1: Example calculation of available time</w:t>
      </w:r>
    </w:p>
    <w:tbl>
      <w:tblPr>
        <w:tblStyle w:val="TableGrid"/>
        <w:tblW w:w="0" w:type="auto"/>
        <w:tblLook w:val="04A0" w:firstRow="1" w:lastRow="0" w:firstColumn="1" w:lastColumn="0" w:noHBand="0" w:noVBand="1"/>
        <w:tblCaption w:val="Example of calculation of available time"/>
        <w:tblDescription w:val="Time element: Part time. Explanation: A full-time worker on a 38-hour week will typically be paid for 1,976 hours/year under relevant industry award 100.0% of paid time. Time element: Unavailable time: Explanation: A permanent full-time worker will have roughly 20 days annual leave plus 8 days public holidays and sick leave, other leave and possibly RDOs which equals approx 35 days/year, 13.5% of paid time. Time element: Avaliable time. Explanation: Paid time minus unavailable time=1,710 hours, 86.5% of paid time. "/>
      </w:tblPr>
      <w:tblGrid>
        <w:gridCol w:w="2106"/>
        <w:gridCol w:w="6143"/>
        <w:gridCol w:w="1373"/>
      </w:tblGrid>
      <w:tr w:rsidR="00D8132B" w:rsidRPr="00405CAA" w:rsidTr="00D710C4">
        <w:trPr>
          <w:tblHeader/>
        </w:trPr>
        <w:tc>
          <w:tcPr>
            <w:tcW w:w="2134" w:type="dxa"/>
            <w:shd w:val="clear" w:color="auto" w:fill="auto"/>
            <w:vAlign w:val="bottom"/>
          </w:tcPr>
          <w:p w:rsidR="00D8132B" w:rsidRPr="00405CAA" w:rsidRDefault="00D8132B" w:rsidP="001D2EA0">
            <w:pPr>
              <w:spacing w:before="60" w:after="60" w:line="240" w:lineRule="auto"/>
              <w:jc w:val="center"/>
              <w:rPr>
                <w:b/>
              </w:rPr>
            </w:pPr>
            <w:r w:rsidRPr="00405CAA">
              <w:rPr>
                <w:b/>
              </w:rPr>
              <w:t>Time element</w:t>
            </w:r>
          </w:p>
        </w:tc>
        <w:tc>
          <w:tcPr>
            <w:tcW w:w="6343" w:type="dxa"/>
            <w:shd w:val="clear" w:color="auto" w:fill="auto"/>
            <w:vAlign w:val="bottom"/>
          </w:tcPr>
          <w:p w:rsidR="00D8132B" w:rsidRPr="00405CAA" w:rsidRDefault="00D8132B" w:rsidP="001D2EA0">
            <w:pPr>
              <w:spacing w:before="60" w:after="60" w:line="240" w:lineRule="auto"/>
              <w:jc w:val="center"/>
              <w:rPr>
                <w:b/>
              </w:rPr>
            </w:pPr>
            <w:r w:rsidRPr="00405CAA">
              <w:rPr>
                <w:b/>
              </w:rPr>
              <w:t>Explanation</w:t>
            </w:r>
          </w:p>
        </w:tc>
        <w:tc>
          <w:tcPr>
            <w:tcW w:w="1371" w:type="dxa"/>
            <w:shd w:val="clear" w:color="auto" w:fill="auto"/>
            <w:vAlign w:val="bottom"/>
          </w:tcPr>
          <w:p w:rsidR="00D8132B" w:rsidRPr="00405CAA" w:rsidRDefault="00D8132B" w:rsidP="001D2EA0">
            <w:pPr>
              <w:spacing w:before="60" w:after="60" w:line="240" w:lineRule="auto"/>
              <w:jc w:val="center"/>
              <w:rPr>
                <w:b/>
              </w:rPr>
            </w:pPr>
            <w:r w:rsidRPr="00405CAA">
              <w:rPr>
                <w:b/>
              </w:rPr>
              <w:t>% of</w:t>
            </w:r>
            <w:r w:rsidRPr="00405CAA">
              <w:rPr>
                <w:b/>
              </w:rPr>
              <w:br/>
              <w:t>paid time</w:t>
            </w:r>
          </w:p>
        </w:tc>
      </w:tr>
      <w:tr w:rsidR="00D8132B" w:rsidRPr="00405CAA" w:rsidTr="001D2EA0">
        <w:tc>
          <w:tcPr>
            <w:tcW w:w="2134" w:type="dxa"/>
          </w:tcPr>
          <w:p w:rsidR="00D8132B" w:rsidRPr="00405CAA" w:rsidRDefault="00D8132B" w:rsidP="006D56D5">
            <w:pPr>
              <w:spacing w:after="0" w:line="240" w:lineRule="auto"/>
            </w:pPr>
            <w:r w:rsidRPr="00405CAA">
              <w:t>Paid time</w:t>
            </w:r>
          </w:p>
        </w:tc>
        <w:tc>
          <w:tcPr>
            <w:tcW w:w="6343" w:type="dxa"/>
          </w:tcPr>
          <w:p w:rsidR="00D8132B" w:rsidRPr="00405CAA" w:rsidRDefault="00D8132B" w:rsidP="00D9539A">
            <w:pPr>
              <w:spacing w:after="0" w:line="240" w:lineRule="auto"/>
            </w:pPr>
            <w:r w:rsidRPr="00405CAA">
              <w:t>A full-time worker on a 38-hour week will typically be paid for 1,976 hours</w:t>
            </w:r>
            <w:r w:rsidR="00D9539A" w:rsidRPr="00405CAA">
              <w:t>/</w:t>
            </w:r>
            <w:r w:rsidRPr="00405CAA">
              <w:t>year under the relevant industry award.</w:t>
            </w:r>
          </w:p>
        </w:tc>
        <w:tc>
          <w:tcPr>
            <w:tcW w:w="1371" w:type="dxa"/>
          </w:tcPr>
          <w:p w:rsidR="00D8132B" w:rsidRPr="00405CAA" w:rsidRDefault="00D8132B" w:rsidP="001D2EA0">
            <w:pPr>
              <w:tabs>
                <w:tab w:val="decimal" w:pos="743"/>
              </w:tabs>
              <w:spacing w:after="0" w:line="240" w:lineRule="auto"/>
            </w:pPr>
            <w:r w:rsidRPr="00405CAA">
              <w:t>100</w:t>
            </w:r>
            <w:r w:rsidR="00D9539A" w:rsidRPr="00405CAA">
              <w:t>.0</w:t>
            </w:r>
            <w:r w:rsidRPr="00405CAA">
              <w:t>%</w:t>
            </w:r>
          </w:p>
        </w:tc>
      </w:tr>
      <w:tr w:rsidR="00D8132B" w:rsidRPr="00405CAA" w:rsidTr="001D2EA0">
        <w:tc>
          <w:tcPr>
            <w:tcW w:w="2134" w:type="dxa"/>
          </w:tcPr>
          <w:p w:rsidR="00D8132B" w:rsidRPr="00405CAA" w:rsidRDefault="00D8132B" w:rsidP="006D56D5">
            <w:pPr>
              <w:spacing w:after="0" w:line="240" w:lineRule="auto"/>
            </w:pPr>
            <w:r w:rsidRPr="00405CAA">
              <w:t>Unavailable time</w:t>
            </w:r>
          </w:p>
        </w:tc>
        <w:tc>
          <w:tcPr>
            <w:tcW w:w="6343" w:type="dxa"/>
          </w:tcPr>
          <w:p w:rsidR="00D8132B" w:rsidRPr="00405CAA" w:rsidRDefault="00D8132B" w:rsidP="004C5897">
            <w:pPr>
              <w:spacing w:after="0" w:line="240" w:lineRule="auto"/>
            </w:pPr>
            <w:r w:rsidRPr="00405CAA">
              <w:t xml:space="preserve">A permanent full-time worker will have roughly 20 days annual leave + </w:t>
            </w:r>
            <w:r w:rsidR="00664B08" w:rsidRPr="00405CAA">
              <w:t xml:space="preserve">8 </w:t>
            </w:r>
            <w:r w:rsidRPr="00405CAA">
              <w:t>days public holidays</w:t>
            </w:r>
            <w:r w:rsidR="004E7F2C" w:rsidRPr="00405CAA">
              <w:t>*</w:t>
            </w:r>
            <w:r w:rsidRPr="00405CAA">
              <w:t xml:space="preserve"> + sick leave, other leave and possibly RDOs = approx. </w:t>
            </w:r>
            <w:r w:rsidR="00664B08" w:rsidRPr="00405CAA">
              <w:t>3</w:t>
            </w:r>
            <w:r w:rsidR="00AB07C7">
              <w:t>8</w:t>
            </w:r>
            <w:r w:rsidR="00664B08" w:rsidRPr="00405CAA">
              <w:t xml:space="preserve"> </w:t>
            </w:r>
            <w:r w:rsidRPr="00405CAA">
              <w:t>days/year</w:t>
            </w:r>
          </w:p>
        </w:tc>
        <w:tc>
          <w:tcPr>
            <w:tcW w:w="1371" w:type="dxa"/>
          </w:tcPr>
          <w:p w:rsidR="00D8132B" w:rsidRPr="00405CAA" w:rsidRDefault="00AB07C7" w:rsidP="001D2EA0">
            <w:pPr>
              <w:tabs>
                <w:tab w:val="decimal" w:pos="743"/>
              </w:tabs>
              <w:spacing w:after="0" w:line="240" w:lineRule="auto"/>
            </w:pPr>
            <w:r>
              <w:t>14.6</w:t>
            </w:r>
            <w:r w:rsidR="00D8132B" w:rsidRPr="00405CAA">
              <w:t>%</w:t>
            </w:r>
          </w:p>
        </w:tc>
      </w:tr>
      <w:tr w:rsidR="00D8132B" w:rsidRPr="00405CAA" w:rsidTr="001D2EA0">
        <w:tc>
          <w:tcPr>
            <w:tcW w:w="2134" w:type="dxa"/>
          </w:tcPr>
          <w:p w:rsidR="00D8132B" w:rsidRPr="00405CAA" w:rsidRDefault="00D8132B" w:rsidP="006D56D5">
            <w:pPr>
              <w:spacing w:after="0" w:line="240" w:lineRule="auto"/>
            </w:pPr>
            <w:r w:rsidRPr="00405CAA">
              <w:t>Available time</w:t>
            </w:r>
          </w:p>
        </w:tc>
        <w:tc>
          <w:tcPr>
            <w:tcW w:w="6343" w:type="dxa"/>
          </w:tcPr>
          <w:p w:rsidR="00D8132B" w:rsidRPr="00405CAA" w:rsidRDefault="00D8132B" w:rsidP="004E7F2C">
            <w:pPr>
              <w:spacing w:after="0" w:line="240" w:lineRule="auto"/>
            </w:pPr>
            <w:r w:rsidRPr="00405CAA">
              <w:t>P</w:t>
            </w:r>
            <w:r w:rsidR="00CC1A5B" w:rsidRPr="00405CAA">
              <w:t>aid time minus unavailable time</w:t>
            </w:r>
            <w:r w:rsidRPr="00405CAA">
              <w:t xml:space="preserve"> = 1,</w:t>
            </w:r>
            <w:r w:rsidR="00AB07C7">
              <w:t xml:space="preserve">687 </w:t>
            </w:r>
            <w:r w:rsidRPr="00405CAA">
              <w:t>hours</w:t>
            </w:r>
          </w:p>
        </w:tc>
        <w:tc>
          <w:tcPr>
            <w:tcW w:w="1371" w:type="dxa"/>
          </w:tcPr>
          <w:p w:rsidR="00D8132B" w:rsidRPr="00405CAA" w:rsidRDefault="00AB07C7" w:rsidP="001D2EA0">
            <w:pPr>
              <w:tabs>
                <w:tab w:val="decimal" w:pos="743"/>
              </w:tabs>
              <w:spacing w:after="0" w:line="240" w:lineRule="auto"/>
            </w:pPr>
            <w:r>
              <w:t>85.4</w:t>
            </w:r>
            <w:r w:rsidR="00D8132B" w:rsidRPr="00405CAA">
              <w:t>%</w:t>
            </w:r>
          </w:p>
        </w:tc>
      </w:tr>
    </w:tbl>
    <w:p w:rsidR="00D8132B" w:rsidRPr="00405CAA" w:rsidRDefault="004E7F2C" w:rsidP="00D8132B">
      <w:pPr>
        <w:spacing w:after="0" w:line="240" w:lineRule="auto"/>
      </w:pPr>
      <w:r w:rsidRPr="00405CAA">
        <w:t>* an average figure of 8 days has been used since not all staff will be rostered to work on public holidays.</w:t>
      </w:r>
      <w:r w:rsidR="00AB07C7">
        <w:t xml:space="preserve"> Other leave allowances are estimates based on NDS Workforce Wizard data, but figures should be customised for each organisation.</w:t>
      </w:r>
      <w:r w:rsidR="009B1965">
        <w:t xml:space="preserve"> </w:t>
      </w:r>
      <w:r w:rsidR="009B1965" w:rsidRPr="009B1965">
        <w:t>For example, some providers in North Queensland add an extra week to unavailable time to accommodate the impact of cyclones and natural disasters.</w:t>
      </w:r>
    </w:p>
    <w:p w:rsidR="004E7F2C" w:rsidRPr="00405CAA" w:rsidRDefault="004E7F2C" w:rsidP="00D8132B">
      <w:pPr>
        <w:spacing w:after="0" w:line="240" w:lineRule="auto"/>
      </w:pPr>
    </w:p>
    <w:p w:rsidR="00D32308" w:rsidRPr="00405CAA" w:rsidRDefault="00D32308" w:rsidP="00D32308">
      <w:r w:rsidRPr="00405CAA">
        <w:t>The split between</w:t>
      </w:r>
      <w:r w:rsidRPr="00405CAA">
        <w:rPr>
          <w:b/>
        </w:rPr>
        <w:t xml:space="preserve"> available </w:t>
      </w:r>
      <w:r w:rsidRPr="00405CAA">
        <w:t xml:space="preserve">and </w:t>
      </w:r>
      <w:r w:rsidRPr="00405CAA">
        <w:rPr>
          <w:b/>
        </w:rPr>
        <w:t>unavailable time</w:t>
      </w:r>
      <w:r w:rsidRPr="00405CAA">
        <w:t xml:space="preserve"> is mainly determined by laws, employment contracts, regulations and workplace agreements regarding leave, time off in the case of long-term illness, time in lieu</w:t>
      </w:r>
      <w:r w:rsidR="00D466FF" w:rsidRPr="00405CAA">
        <w:t>,</w:t>
      </w:r>
      <w:r w:rsidRPr="00405CAA">
        <w:t xml:space="preserve"> and so on. However, in reality not all leave is always taken each year. Therefore, determining available time as a percentage of paid time requires an analysis of the actual use within your workforce of paid leave and arrangements like rostered days off. This will allow organisations to get a better understanding of their actual workforce capacity.</w:t>
      </w:r>
    </w:p>
    <w:p w:rsidR="009235BA" w:rsidRPr="00C4164F" w:rsidRDefault="009235BA" w:rsidP="00CA27C7">
      <w:pPr>
        <w:pStyle w:val="Heading3"/>
        <w:rPr>
          <w:color w:val="auto"/>
        </w:rPr>
      </w:pPr>
      <w:r w:rsidRPr="00C4164F">
        <w:rPr>
          <w:color w:val="auto"/>
        </w:rPr>
        <w:t>Calculating productive time</w:t>
      </w:r>
    </w:p>
    <w:p w:rsidR="00EF2FD3" w:rsidRPr="00405CAA" w:rsidRDefault="00EF2FD3" w:rsidP="00EF2FD3">
      <w:r w:rsidRPr="00405CAA">
        <w:t xml:space="preserve">Getting clarity on the productive </w:t>
      </w:r>
      <w:r w:rsidR="00F6598F" w:rsidRPr="00405CAA">
        <w:t xml:space="preserve">and non-productive </w:t>
      </w:r>
      <w:r w:rsidRPr="00405CAA">
        <w:t xml:space="preserve">time for the workforce is important for setting budgets and determining workforce capacity and availability. </w:t>
      </w:r>
      <w:r w:rsidR="00F6598F" w:rsidRPr="00405CAA">
        <w:t>Productive time is made up of client facing service delivery time and any associated service time (see Glossary).</w:t>
      </w:r>
      <w:r w:rsidR="00E85A9B" w:rsidRPr="00405CAA">
        <w:t xml:space="preserve"> The NDIA refers to productive time as client-facing time; even though not all client-facing t</w:t>
      </w:r>
      <w:r w:rsidR="008462E8" w:rsidRPr="00405CAA">
        <w:t>ime</w:t>
      </w:r>
      <w:r w:rsidR="00E85A9B" w:rsidRPr="00405CAA">
        <w:t xml:space="preserve"> is billable. See </w:t>
      </w:r>
      <w:r w:rsidR="00581CEA" w:rsidRPr="00405CAA">
        <w:t>Section</w:t>
      </w:r>
      <w:r w:rsidR="008462E8" w:rsidRPr="00405CAA">
        <w:t xml:space="preserve"> 6 </w:t>
      </w:r>
      <w:r w:rsidR="00E85A9B" w:rsidRPr="00405CAA">
        <w:t>for a discussion of the NDIA’</w:t>
      </w:r>
      <w:r w:rsidR="00A84119" w:rsidRPr="00405CAA">
        <w:t>s</w:t>
      </w:r>
      <w:r w:rsidR="00E85A9B" w:rsidRPr="00405CAA">
        <w:t xml:space="preserve"> approach.</w:t>
      </w:r>
    </w:p>
    <w:p w:rsidR="004224B4" w:rsidRPr="00405CAA" w:rsidRDefault="00D10F90" w:rsidP="009C169F">
      <w:r w:rsidRPr="00405CAA">
        <w:t xml:space="preserve">Unlike available time, </w:t>
      </w:r>
      <w:r w:rsidR="00E070D8" w:rsidRPr="00405CAA">
        <w:t>the split between</w:t>
      </w:r>
      <w:r w:rsidR="00E070D8" w:rsidRPr="00405CAA">
        <w:rPr>
          <w:b/>
        </w:rPr>
        <w:t xml:space="preserve"> </w:t>
      </w:r>
      <w:r w:rsidR="00E070D8" w:rsidRPr="00405CAA">
        <w:t>productive and non-productive</w:t>
      </w:r>
      <w:r w:rsidRPr="00405CAA">
        <w:t xml:space="preserve"> time results</w:t>
      </w:r>
      <w:r w:rsidR="00976139" w:rsidRPr="00405CAA">
        <w:t xml:space="preserve"> mainly</w:t>
      </w:r>
      <w:r w:rsidRPr="00405CAA">
        <w:t xml:space="preserve"> from organisational</w:t>
      </w:r>
      <w:r w:rsidR="009C169F" w:rsidRPr="00405CAA">
        <w:t xml:space="preserve"> policy setting</w:t>
      </w:r>
      <w:r w:rsidRPr="00405CAA">
        <w:t xml:space="preserve">s </w:t>
      </w:r>
      <w:r w:rsidR="00A14DCB" w:rsidRPr="00405CAA">
        <w:t>–</w:t>
      </w:r>
      <w:r w:rsidRPr="00405CAA">
        <w:t xml:space="preserve"> </w:t>
      </w:r>
      <w:r w:rsidR="009C169F" w:rsidRPr="00405CAA">
        <w:t xml:space="preserve">the </w:t>
      </w:r>
      <w:r w:rsidRPr="00405CAA">
        <w:t>o</w:t>
      </w:r>
      <w:r w:rsidR="009C169F" w:rsidRPr="00405CAA">
        <w:t xml:space="preserve">rganisation forms a view on what activities it wants employees to undertake in addition to providing </w:t>
      </w:r>
      <w:r w:rsidR="00463E64" w:rsidRPr="00405CAA">
        <w:t xml:space="preserve">direct </w:t>
      </w:r>
      <w:r w:rsidRPr="00405CAA">
        <w:t>services to clients</w:t>
      </w:r>
      <w:r w:rsidR="00A14DCB" w:rsidRPr="00405CAA">
        <w:t>,</w:t>
      </w:r>
      <w:r w:rsidRPr="00405CAA">
        <w:t xml:space="preserve"> and how much time it want</w:t>
      </w:r>
      <w:r w:rsidR="00976139" w:rsidRPr="00405CAA">
        <w:t xml:space="preserve">s devoted to those activities. </w:t>
      </w:r>
    </w:p>
    <w:p w:rsidR="009C169F" w:rsidRPr="00405CAA" w:rsidRDefault="002C7EC0" w:rsidP="009C169F">
      <w:r w:rsidRPr="00405CAA">
        <w:lastRenderedPageBreak/>
        <w:t>N</w:t>
      </w:r>
      <w:r w:rsidR="00E070D8" w:rsidRPr="00405CAA">
        <w:t>ote that</w:t>
      </w:r>
      <w:r w:rsidR="00E070D8" w:rsidRPr="00405CAA">
        <w:rPr>
          <w:b/>
        </w:rPr>
        <w:t xml:space="preserve"> n</w:t>
      </w:r>
      <w:r w:rsidRPr="00405CAA">
        <w:rPr>
          <w:b/>
        </w:rPr>
        <w:t>on-productive time</w:t>
      </w:r>
      <w:r w:rsidRPr="00405CAA">
        <w:t xml:space="preserve"> </w:t>
      </w:r>
      <w:r w:rsidR="009C169F" w:rsidRPr="00405CAA">
        <w:t>is important (that is, it has a specific purpose</w:t>
      </w:r>
      <w:r w:rsidR="00A14DCB" w:rsidRPr="00405CAA">
        <w:t xml:space="preserve"> – </w:t>
      </w:r>
      <w:r w:rsidR="009C169F" w:rsidRPr="00405CAA">
        <w:t xml:space="preserve">it is not ‘dead time’ or a buffer) and </w:t>
      </w:r>
      <w:r w:rsidR="00A14DCB" w:rsidRPr="00405CAA">
        <w:t xml:space="preserve">it </w:t>
      </w:r>
      <w:r w:rsidR="009C169F" w:rsidRPr="00405CAA">
        <w:t xml:space="preserve">has a cost, so employees should be encouraged to work in accordance with the </w:t>
      </w:r>
      <w:r w:rsidR="009A013D" w:rsidRPr="00405CAA">
        <w:t xml:space="preserve">agreed </w:t>
      </w:r>
      <w:r w:rsidR="009C169F" w:rsidRPr="00405CAA">
        <w:t xml:space="preserve">settings and neither exceed nor fall short of their </w:t>
      </w:r>
      <w:r w:rsidRPr="00405CAA">
        <w:t>o</w:t>
      </w:r>
      <w:r w:rsidR="009C169F" w:rsidRPr="00405CAA">
        <w:t>rganisation’s expectations.</w:t>
      </w:r>
      <w:r w:rsidR="009235BA" w:rsidRPr="00405CAA">
        <w:t xml:space="preserve"> </w:t>
      </w:r>
    </w:p>
    <w:p w:rsidR="009C169F" w:rsidRPr="00405CAA" w:rsidRDefault="009C169F" w:rsidP="009C169F">
      <w:pPr>
        <w:pStyle w:val="Normalprelist"/>
      </w:pPr>
      <w:r w:rsidRPr="00405CAA">
        <w:t xml:space="preserve">The following activities might fall under </w:t>
      </w:r>
      <w:r w:rsidR="002C7EC0" w:rsidRPr="00405CAA">
        <w:rPr>
          <w:b/>
        </w:rPr>
        <w:t>non-productive time</w:t>
      </w:r>
      <w:r w:rsidR="002C7EC0" w:rsidRPr="00405CAA">
        <w:t>:</w:t>
      </w:r>
    </w:p>
    <w:p w:rsidR="009C169F" w:rsidRPr="00405CAA" w:rsidRDefault="00F77F5A" w:rsidP="009C169F">
      <w:pPr>
        <w:pStyle w:val="ListParagraph"/>
        <w:numPr>
          <w:ilvl w:val="0"/>
          <w:numId w:val="20"/>
        </w:numPr>
      </w:pPr>
      <w:r w:rsidRPr="00405CAA">
        <w:t xml:space="preserve">administration </w:t>
      </w:r>
      <w:r w:rsidR="00A25437" w:rsidRPr="00405CAA">
        <w:t>(</w:t>
      </w:r>
      <w:r w:rsidR="00A14DCB" w:rsidRPr="00405CAA">
        <w:t>e.g.</w:t>
      </w:r>
      <w:r w:rsidR="009C169F" w:rsidRPr="00405CAA">
        <w:t xml:space="preserve"> travel claims, leave requests)</w:t>
      </w:r>
    </w:p>
    <w:p w:rsidR="00CB0CFF" w:rsidRPr="00405CAA" w:rsidRDefault="00CB0CFF" w:rsidP="009C169F">
      <w:pPr>
        <w:pStyle w:val="ListParagraph"/>
        <w:numPr>
          <w:ilvl w:val="0"/>
          <w:numId w:val="20"/>
        </w:numPr>
      </w:pPr>
      <w:r w:rsidRPr="00405CAA">
        <w:t>taking part in audits</w:t>
      </w:r>
    </w:p>
    <w:p w:rsidR="009C169F" w:rsidRPr="00405CAA" w:rsidRDefault="00F77F5A" w:rsidP="009C169F">
      <w:pPr>
        <w:pStyle w:val="ListParagraph"/>
        <w:numPr>
          <w:ilvl w:val="0"/>
          <w:numId w:val="20"/>
        </w:numPr>
      </w:pPr>
      <w:r w:rsidRPr="00405CAA">
        <w:t xml:space="preserve">attendance </w:t>
      </w:r>
      <w:r w:rsidR="009C169F" w:rsidRPr="00405CAA">
        <w:t xml:space="preserve">at training or professional development opportunities </w:t>
      </w:r>
    </w:p>
    <w:p w:rsidR="009C169F" w:rsidRPr="00405CAA" w:rsidRDefault="00F77F5A" w:rsidP="009C169F">
      <w:pPr>
        <w:pStyle w:val="ListParagraph"/>
        <w:numPr>
          <w:ilvl w:val="0"/>
          <w:numId w:val="20"/>
        </w:numPr>
      </w:pPr>
      <w:r w:rsidRPr="00405CAA">
        <w:t xml:space="preserve">business </w:t>
      </w:r>
      <w:r w:rsidR="00A25437" w:rsidRPr="00405CAA">
        <w:t>development (</w:t>
      </w:r>
      <w:r w:rsidR="00A14DCB" w:rsidRPr="00405CAA">
        <w:t>e.g.</w:t>
      </w:r>
      <w:r w:rsidR="009B60FF" w:rsidRPr="00405CAA" w:rsidDel="009B60FF">
        <w:t xml:space="preserve"> </w:t>
      </w:r>
      <w:r w:rsidR="009C169F" w:rsidRPr="00405CAA">
        <w:t xml:space="preserve">maintaining relationships with </w:t>
      </w:r>
      <w:r w:rsidRPr="00405CAA">
        <w:t xml:space="preserve">mainstream supports </w:t>
      </w:r>
      <w:r w:rsidR="009C169F" w:rsidRPr="00405CAA">
        <w:t>like schools)</w:t>
      </w:r>
    </w:p>
    <w:p w:rsidR="009C169F" w:rsidRPr="00405CAA" w:rsidRDefault="00F77F5A" w:rsidP="009C169F">
      <w:pPr>
        <w:pStyle w:val="ListParagraph"/>
        <w:numPr>
          <w:ilvl w:val="0"/>
          <w:numId w:val="20"/>
        </w:numPr>
      </w:pPr>
      <w:r w:rsidRPr="00405CAA">
        <w:t xml:space="preserve">clinical </w:t>
      </w:r>
      <w:r w:rsidR="00A25437" w:rsidRPr="00405CAA">
        <w:t>governance (</w:t>
      </w:r>
      <w:r w:rsidR="00A14DCB" w:rsidRPr="00405CAA">
        <w:t>e.g.</w:t>
      </w:r>
      <w:r w:rsidR="009B60FF" w:rsidRPr="00405CAA" w:rsidDel="009B60FF">
        <w:t xml:space="preserve"> </w:t>
      </w:r>
      <w:r w:rsidR="009C169F" w:rsidRPr="00405CAA">
        <w:t xml:space="preserve">research, </w:t>
      </w:r>
      <w:r w:rsidR="002A38B7" w:rsidRPr="00405CAA">
        <w:t xml:space="preserve">staff supervision, </w:t>
      </w:r>
      <w:r w:rsidR="009C169F" w:rsidRPr="00405CAA">
        <w:t>student supervision)</w:t>
      </w:r>
    </w:p>
    <w:p w:rsidR="009C169F" w:rsidRPr="00405CAA" w:rsidRDefault="00F77F5A" w:rsidP="009C169F">
      <w:pPr>
        <w:pStyle w:val="ListParagraph"/>
        <w:numPr>
          <w:ilvl w:val="0"/>
          <w:numId w:val="20"/>
        </w:numPr>
      </w:pPr>
      <w:r w:rsidRPr="00405CAA">
        <w:t xml:space="preserve">learning </w:t>
      </w:r>
      <w:r w:rsidR="002C7EC0" w:rsidRPr="00405CAA">
        <w:t>(</w:t>
      </w:r>
      <w:r w:rsidR="00A14DCB" w:rsidRPr="00405CAA">
        <w:t>e.g.</w:t>
      </w:r>
      <w:r w:rsidR="009B60FF" w:rsidRPr="00405CAA" w:rsidDel="009B60FF">
        <w:t xml:space="preserve"> </w:t>
      </w:r>
      <w:r w:rsidR="009C169F" w:rsidRPr="00405CAA">
        <w:t>reading changes to policies and procedures, reading staff updates)</w:t>
      </w:r>
    </w:p>
    <w:p w:rsidR="00F77F5A" w:rsidRPr="00405CAA" w:rsidRDefault="00F77F5A" w:rsidP="00F77F5A">
      <w:pPr>
        <w:pStyle w:val="ListParagraph"/>
        <w:numPr>
          <w:ilvl w:val="0"/>
          <w:numId w:val="20"/>
        </w:numPr>
      </w:pPr>
      <w:r w:rsidRPr="00405CAA">
        <w:t>NDIS liaison and negotiation on behalf of or related to clients</w:t>
      </w:r>
    </w:p>
    <w:p w:rsidR="009C169F" w:rsidRPr="00405CAA" w:rsidRDefault="00F77F5A" w:rsidP="009C169F">
      <w:pPr>
        <w:pStyle w:val="ListParagraph"/>
        <w:numPr>
          <w:ilvl w:val="0"/>
          <w:numId w:val="20"/>
        </w:numPr>
      </w:pPr>
      <w:r w:rsidRPr="00405CAA">
        <w:t xml:space="preserve">meetings </w:t>
      </w:r>
      <w:r w:rsidR="002C7EC0" w:rsidRPr="00405CAA">
        <w:t>(</w:t>
      </w:r>
      <w:r w:rsidR="00A14DCB" w:rsidRPr="00405CAA">
        <w:t>e.g.</w:t>
      </w:r>
      <w:r w:rsidR="009B60FF" w:rsidRPr="00405CAA" w:rsidDel="009B60FF">
        <w:t xml:space="preserve"> </w:t>
      </w:r>
      <w:r w:rsidR="009C169F" w:rsidRPr="00405CAA">
        <w:t>with team leader, with team, with other teams)</w:t>
      </w:r>
    </w:p>
    <w:p w:rsidR="009C169F" w:rsidRPr="00405CAA" w:rsidRDefault="00F77F5A" w:rsidP="009C169F">
      <w:pPr>
        <w:pStyle w:val="ListParagraph"/>
        <w:numPr>
          <w:ilvl w:val="0"/>
          <w:numId w:val="20"/>
        </w:numPr>
      </w:pPr>
      <w:r w:rsidRPr="00405CAA">
        <w:t xml:space="preserve">organisational involvement </w:t>
      </w:r>
      <w:r w:rsidR="002C7EC0" w:rsidRPr="00405CAA">
        <w:t>(</w:t>
      </w:r>
      <w:r w:rsidR="00A14DCB" w:rsidRPr="00405CAA">
        <w:t>e.g.</w:t>
      </w:r>
      <w:r w:rsidR="009B60FF" w:rsidRPr="00405CAA" w:rsidDel="009B60FF">
        <w:t xml:space="preserve"> </w:t>
      </w:r>
      <w:r w:rsidR="009C169F" w:rsidRPr="00405CAA">
        <w:t>contributing to planning processes)</w:t>
      </w:r>
    </w:p>
    <w:p w:rsidR="009C169F" w:rsidRPr="00405CAA" w:rsidRDefault="00F77F5A" w:rsidP="009C169F">
      <w:pPr>
        <w:pStyle w:val="ListParagraph"/>
        <w:numPr>
          <w:ilvl w:val="0"/>
          <w:numId w:val="20"/>
        </w:numPr>
      </w:pPr>
      <w:r w:rsidRPr="00405CAA">
        <w:t xml:space="preserve">peer </w:t>
      </w:r>
      <w:r w:rsidR="002C7EC0" w:rsidRPr="00405CAA">
        <w:t>interaction (</w:t>
      </w:r>
      <w:r w:rsidR="00A14DCB" w:rsidRPr="00405CAA">
        <w:t>e.g.</w:t>
      </w:r>
      <w:r w:rsidR="009B60FF" w:rsidRPr="00405CAA" w:rsidDel="009B60FF">
        <w:t xml:space="preserve"> </w:t>
      </w:r>
      <w:r w:rsidR="009C169F" w:rsidRPr="00405CAA">
        <w:t>handovers, shadowing)</w:t>
      </w:r>
    </w:p>
    <w:p w:rsidR="009C169F" w:rsidRPr="00405CAA" w:rsidRDefault="00F77F5A" w:rsidP="009C169F">
      <w:pPr>
        <w:pStyle w:val="ListParagraph"/>
        <w:numPr>
          <w:ilvl w:val="0"/>
          <w:numId w:val="20"/>
        </w:numPr>
      </w:pPr>
      <w:r w:rsidRPr="00405CAA">
        <w:t xml:space="preserve">personal </w:t>
      </w:r>
      <w:r w:rsidR="009C169F" w:rsidRPr="00405CAA">
        <w:t>breaks</w:t>
      </w:r>
    </w:p>
    <w:p w:rsidR="00CB0CFF" w:rsidRPr="00405CAA" w:rsidRDefault="00CB0CFF" w:rsidP="009C169F">
      <w:pPr>
        <w:pStyle w:val="ListParagraph"/>
        <w:numPr>
          <w:ilvl w:val="0"/>
          <w:numId w:val="20"/>
        </w:numPr>
      </w:pPr>
      <w:r w:rsidRPr="00405CAA">
        <w:t>quality reviews</w:t>
      </w:r>
    </w:p>
    <w:p w:rsidR="009C169F" w:rsidRPr="00405CAA" w:rsidRDefault="00F77F5A" w:rsidP="009C169F">
      <w:pPr>
        <w:pStyle w:val="ListParagraph"/>
        <w:numPr>
          <w:ilvl w:val="0"/>
          <w:numId w:val="20"/>
        </w:numPr>
      </w:pPr>
      <w:r w:rsidRPr="00405CAA">
        <w:t xml:space="preserve">travel </w:t>
      </w:r>
      <w:r w:rsidR="009C169F" w:rsidRPr="00405CAA">
        <w:t xml:space="preserve">that </w:t>
      </w:r>
      <w:r w:rsidR="002C7EC0" w:rsidRPr="00405CAA">
        <w:t>is not client-facing time or associated service time</w:t>
      </w:r>
    </w:p>
    <w:p w:rsidR="009C169F" w:rsidRPr="00405CAA" w:rsidRDefault="00F77F5A" w:rsidP="009C169F">
      <w:pPr>
        <w:pStyle w:val="ListParagraph"/>
        <w:numPr>
          <w:ilvl w:val="0"/>
          <w:numId w:val="20"/>
        </w:numPr>
      </w:pPr>
      <w:r w:rsidRPr="00405CAA">
        <w:t xml:space="preserve">life’s </w:t>
      </w:r>
      <w:r w:rsidR="009C169F" w:rsidRPr="00405CAA">
        <w:t>unknowns (whether heavy traffic or a lost Internet connection, life will inevitably throw up challenges to productivity)</w:t>
      </w:r>
    </w:p>
    <w:p w:rsidR="009235BA" w:rsidRPr="00405CAA" w:rsidRDefault="004224B4" w:rsidP="002323CB">
      <w:r w:rsidRPr="00405CAA">
        <w:t xml:space="preserve">On occasions </w:t>
      </w:r>
      <w:r w:rsidR="002C7EC0" w:rsidRPr="00405CAA">
        <w:t xml:space="preserve">employees </w:t>
      </w:r>
      <w:r w:rsidR="0057068E" w:rsidRPr="00405CAA">
        <w:t xml:space="preserve">may </w:t>
      </w:r>
      <w:r w:rsidRPr="00405CAA">
        <w:t xml:space="preserve">be </w:t>
      </w:r>
      <w:r w:rsidR="002C7EC0" w:rsidRPr="00405CAA">
        <w:t xml:space="preserve">given additional duties, and again the nature of the duties </w:t>
      </w:r>
      <w:r w:rsidRPr="00405CAA">
        <w:t>should</w:t>
      </w:r>
      <w:r w:rsidR="002C7EC0" w:rsidRPr="00405CAA">
        <w:t xml:space="preserve"> be specified as </w:t>
      </w:r>
      <w:r w:rsidRPr="00405CAA">
        <w:t>well as</w:t>
      </w:r>
      <w:r w:rsidR="002C7EC0" w:rsidRPr="00405CAA">
        <w:t xml:space="preserve"> the aggregate amount/proportion of available time that should be spent on them.</w:t>
      </w:r>
      <w:r w:rsidR="00F96F75" w:rsidRPr="00405CAA">
        <w:t xml:space="preserve"> </w:t>
      </w:r>
      <w:r w:rsidR="009235BA" w:rsidRPr="00405CAA">
        <w:t>It can immediately be seen that</w:t>
      </w:r>
      <w:r w:rsidR="002A38B7" w:rsidRPr="00405CAA">
        <w:t>,</w:t>
      </w:r>
      <w:r w:rsidR="0057068E" w:rsidRPr="00405CAA">
        <w:t xml:space="preserve"> </w:t>
      </w:r>
      <w:r w:rsidR="009235BA" w:rsidRPr="00405CAA">
        <w:t>although from a simplistic cost perspective reducing non-productive time is rational, there are many risks with such a strategy that could reduce productivity and service quality in the longer term.</w:t>
      </w:r>
    </w:p>
    <w:p w:rsidR="009426A9" w:rsidRPr="00405CAA" w:rsidRDefault="001261BF" w:rsidP="003A72F6">
      <w:r w:rsidRPr="00405CAA">
        <w:t>T</w:t>
      </w:r>
      <w:r w:rsidR="00B84597" w:rsidRPr="00405CAA">
        <w:t xml:space="preserve">o define the amount of time an organisation wishes </w:t>
      </w:r>
      <w:r w:rsidRPr="00405CAA">
        <w:t xml:space="preserve">front-line </w:t>
      </w:r>
      <w:r w:rsidR="00B84597" w:rsidRPr="00405CAA">
        <w:t>workers to spend on (or allow for) these various non-productive activities</w:t>
      </w:r>
      <w:r w:rsidRPr="00405CAA">
        <w:t xml:space="preserve">, it is important to </w:t>
      </w:r>
      <w:r w:rsidR="009426A9" w:rsidRPr="00405CAA">
        <w:t xml:space="preserve">also </w:t>
      </w:r>
      <w:r w:rsidRPr="00405CAA">
        <w:t xml:space="preserve">recognise factors </w:t>
      </w:r>
      <w:r w:rsidR="009B60FF" w:rsidRPr="00405CAA">
        <w:t>that might influence how much non-productive time individual workers may require</w:t>
      </w:r>
      <w:r w:rsidR="00B84597" w:rsidRPr="00405CAA">
        <w:t>.</w:t>
      </w:r>
      <w:r w:rsidRPr="00405CAA">
        <w:t xml:space="preserve"> </w:t>
      </w:r>
      <w:r w:rsidR="009B60FF" w:rsidRPr="00405CAA">
        <w:t>E</w:t>
      </w:r>
      <w:r w:rsidRPr="00405CAA">
        <w:t xml:space="preserve">xperience, type of service, role and personal circumstances </w:t>
      </w:r>
      <w:r w:rsidR="0057068E" w:rsidRPr="00405CAA">
        <w:t>(</w:t>
      </w:r>
      <w:r w:rsidR="009B60FF" w:rsidRPr="00405CAA">
        <w:t>e</w:t>
      </w:r>
      <w:r w:rsidR="0057068E" w:rsidRPr="00405CAA">
        <w:t>.</w:t>
      </w:r>
      <w:r w:rsidR="009B60FF" w:rsidRPr="00405CAA">
        <w:t>g</w:t>
      </w:r>
      <w:r w:rsidR="0057068E" w:rsidRPr="00405CAA">
        <w:t>.</w:t>
      </w:r>
      <w:r w:rsidRPr="00405CAA">
        <w:t xml:space="preserve"> returning from illness</w:t>
      </w:r>
      <w:r w:rsidR="0057068E" w:rsidRPr="00405CAA">
        <w:t>)</w:t>
      </w:r>
      <w:r w:rsidRPr="00405CAA">
        <w:t xml:space="preserve"> should be </w:t>
      </w:r>
      <w:r w:rsidR="0057068E" w:rsidRPr="00405CAA">
        <w:t>considered</w:t>
      </w:r>
      <w:r w:rsidRPr="00405CAA">
        <w:t xml:space="preserve"> in </w:t>
      </w:r>
      <w:r w:rsidR="0057068E" w:rsidRPr="00405CAA">
        <w:t xml:space="preserve">specifying </w:t>
      </w:r>
      <w:r w:rsidRPr="00405CAA">
        <w:t xml:space="preserve">the amount of non-productive time. </w:t>
      </w:r>
      <w:r w:rsidR="00B84597" w:rsidRPr="00405CAA">
        <w:t xml:space="preserve"> </w:t>
      </w:r>
    </w:p>
    <w:p w:rsidR="002A38B7" w:rsidRPr="00405CAA" w:rsidRDefault="009C169F" w:rsidP="00490863">
      <w:pPr>
        <w:rPr>
          <w:b/>
        </w:rPr>
      </w:pPr>
      <w:r w:rsidRPr="00405CAA">
        <w:t>A way to d</w:t>
      </w:r>
      <w:r w:rsidR="001261BF" w:rsidRPr="00405CAA">
        <w:t>efine</w:t>
      </w:r>
      <w:r w:rsidRPr="00405CAA">
        <w:t xml:space="preserve"> </w:t>
      </w:r>
      <w:r w:rsidR="0057068E" w:rsidRPr="00405CAA">
        <w:t xml:space="preserve">an appropriate quantum of non-productive time </w:t>
      </w:r>
      <w:r w:rsidRPr="00405CAA">
        <w:t>is to assign a</w:t>
      </w:r>
      <w:r w:rsidR="00440A91" w:rsidRPr="00405CAA">
        <w:t>n average</w:t>
      </w:r>
      <w:r w:rsidRPr="00405CAA">
        <w:t xml:space="preserve"> frequency and duration to each activity </w:t>
      </w:r>
      <w:r w:rsidR="009B60FF" w:rsidRPr="00405CAA">
        <w:t xml:space="preserve">across the organisation, </w:t>
      </w:r>
      <w:r w:rsidRPr="00405CAA">
        <w:t xml:space="preserve">and </w:t>
      </w:r>
      <w:r w:rsidR="009B60FF" w:rsidRPr="00405CAA">
        <w:t>identify where there are likely to be deviations from this average. In putting together a table such as</w:t>
      </w:r>
      <w:r w:rsidR="0057068E" w:rsidRPr="00405CAA">
        <w:t xml:space="preserve"> Table 2,</w:t>
      </w:r>
      <w:r w:rsidR="009B60FF" w:rsidRPr="00405CAA">
        <w:t xml:space="preserve"> an organisation needs to aim for</w:t>
      </w:r>
      <w:r w:rsidR="00AB1912" w:rsidRPr="00405CAA">
        <w:t xml:space="preserve"> specific</w:t>
      </w:r>
      <w:r w:rsidR="009B60FF" w:rsidRPr="00405CAA">
        <w:t xml:space="preserve">, </w:t>
      </w:r>
      <w:r w:rsidR="00AB1912" w:rsidRPr="00405CAA">
        <w:t xml:space="preserve">accurate </w:t>
      </w:r>
      <w:r w:rsidR="009B60FF" w:rsidRPr="00405CAA">
        <w:t xml:space="preserve">results </w:t>
      </w:r>
      <w:r w:rsidR="00AB1912" w:rsidRPr="00405CAA">
        <w:t xml:space="preserve">where possible, but otherwise </w:t>
      </w:r>
      <w:r w:rsidR="009B60FF" w:rsidRPr="00405CAA">
        <w:t xml:space="preserve">make </w:t>
      </w:r>
      <w:r w:rsidR="00AB1912" w:rsidRPr="00405CAA">
        <w:t>estimates based on assumptions</w:t>
      </w:r>
      <w:r w:rsidR="000B5FED" w:rsidRPr="00405CAA">
        <w:t xml:space="preserve">. </w:t>
      </w:r>
      <w:bookmarkStart w:id="5" w:name="_Ref484378563"/>
    </w:p>
    <w:p w:rsidR="00F87D9C" w:rsidRDefault="00F87D9C">
      <w:pPr>
        <w:spacing w:after="0" w:line="240" w:lineRule="auto"/>
        <w:rPr>
          <w:b/>
        </w:rPr>
      </w:pPr>
      <w:r>
        <w:rPr>
          <w:b/>
        </w:rPr>
        <w:br w:type="page"/>
      </w:r>
    </w:p>
    <w:p w:rsidR="009C169F" w:rsidRPr="00405CAA" w:rsidRDefault="009C169F" w:rsidP="00490863">
      <w:r w:rsidRPr="00405CAA">
        <w:rPr>
          <w:b/>
        </w:rPr>
        <w:lastRenderedPageBreak/>
        <w:t xml:space="preserve">Table </w:t>
      </w:r>
      <w:r w:rsidR="0057068E" w:rsidRPr="00405CAA">
        <w:rPr>
          <w:b/>
        </w:rPr>
        <w:t>2</w:t>
      </w:r>
      <w:bookmarkEnd w:id="5"/>
      <w:r w:rsidRPr="00405CAA">
        <w:rPr>
          <w:b/>
        </w:rPr>
        <w:t xml:space="preserve">: Example </w:t>
      </w:r>
      <w:r w:rsidR="004224B4" w:rsidRPr="00405CAA">
        <w:rPr>
          <w:b/>
        </w:rPr>
        <w:t xml:space="preserve">tool for </w:t>
      </w:r>
      <w:r w:rsidRPr="00405CAA">
        <w:rPr>
          <w:b/>
        </w:rPr>
        <w:t>calculati</w:t>
      </w:r>
      <w:r w:rsidR="004224B4" w:rsidRPr="00405CAA">
        <w:rPr>
          <w:b/>
        </w:rPr>
        <w:t>ng</w:t>
      </w:r>
      <w:r w:rsidRPr="00405CAA">
        <w:rPr>
          <w:b/>
        </w:rPr>
        <w:t xml:space="preserve"> </w:t>
      </w:r>
      <w:r w:rsidR="00B84597" w:rsidRPr="00405CAA">
        <w:rPr>
          <w:b/>
        </w:rPr>
        <w:t>productive time</w:t>
      </w:r>
      <w:r w:rsidR="00ED2DF7" w:rsidRPr="00405CAA">
        <w:t xml:space="preserve"> </w:t>
      </w:r>
    </w:p>
    <w:tbl>
      <w:tblPr>
        <w:tblStyle w:val="TableGrid"/>
        <w:tblW w:w="9848" w:type="dxa"/>
        <w:tblLayout w:type="fixed"/>
        <w:tblLook w:val="04A0" w:firstRow="1" w:lastRow="0" w:firstColumn="1" w:lastColumn="0" w:noHBand="0" w:noVBand="1"/>
        <w:tblCaption w:val="Example tool for calculating productive time"/>
        <w:tblDescription w:val="Activity: One-on-one meeting with team leader, Frequency: Monthly, Instances per issue 9, Duration per instance hours: 1.5,Duration per year hours:13.5 and 0.8% of available time. Activity: One-on-one meeting with clinical Supervisor, Frequency: Monthly, Instances per year: 9, Duration per instance hours:1.5,Duration per year hours:13.5% and 0.8% of available time. Activity: NDIA/LAC liaison, Frequency: Weekly, instances per year: 40, Duration per instance hours:0.5, Duration per year hours:20.0 and 1.2% of available time. Activity: Regional meeting, frequency: Quarterly, Instances per year: 4, Duration per instance hours:3.5, Duration per year hours: 14.0 and 0.8% of available time. Activity: Professional development-face to face, Frequency: Annual, instances per year: 2, Duration per instance hours: 8.0, Duration per year hours:16.0 and 0.9% of available time.Activity: E-learning, Frequency: Monthly, Instances per year:10, duration per instance hours:1.5,Duration per year hours:15.0 and 0.9% of available time. Activity: Team and general staff meetings, Frequency: Monthly, Instances per year: 4, Duration per instances:2.0, Duration per year hours: 8.0 and 0.5% of available time. Total non-productive time, Duration per year hours: 100.0 and 5.8% of avaliable time. Total Productive time: 1,610 hours or 81.5% of paid time. "/>
      </w:tblPr>
      <w:tblGrid>
        <w:gridCol w:w="3348"/>
        <w:gridCol w:w="1467"/>
        <w:gridCol w:w="1417"/>
        <w:gridCol w:w="1276"/>
        <w:gridCol w:w="970"/>
        <w:gridCol w:w="1370"/>
      </w:tblGrid>
      <w:tr w:rsidR="00CC1AF3" w:rsidRPr="00405CAA" w:rsidTr="00410AF4">
        <w:trPr>
          <w:cantSplit/>
          <w:tblHeader/>
        </w:trPr>
        <w:tc>
          <w:tcPr>
            <w:tcW w:w="3348" w:type="dxa"/>
            <w:shd w:val="clear" w:color="auto" w:fill="auto"/>
            <w:vAlign w:val="bottom"/>
          </w:tcPr>
          <w:p w:rsidR="00CC1AF3" w:rsidRPr="00405CAA" w:rsidRDefault="00CC1AF3" w:rsidP="00581CEA">
            <w:pPr>
              <w:spacing w:before="60" w:after="60"/>
              <w:jc w:val="center"/>
              <w:rPr>
                <w:b/>
              </w:rPr>
            </w:pPr>
            <w:r w:rsidRPr="00405CAA">
              <w:rPr>
                <w:b/>
              </w:rPr>
              <w:t>Activity</w:t>
            </w:r>
          </w:p>
        </w:tc>
        <w:tc>
          <w:tcPr>
            <w:tcW w:w="1467" w:type="dxa"/>
            <w:shd w:val="clear" w:color="auto" w:fill="auto"/>
            <w:vAlign w:val="bottom"/>
          </w:tcPr>
          <w:p w:rsidR="00CC1AF3" w:rsidRPr="00405CAA" w:rsidRDefault="00CC1AF3" w:rsidP="00581CEA">
            <w:pPr>
              <w:spacing w:before="60" w:after="60"/>
              <w:jc w:val="center"/>
              <w:rPr>
                <w:b/>
              </w:rPr>
            </w:pPr>
            <w:r w:rsidRPr="00405CAA">
              <w:rPr>
                <w:b/>
              </w:rPr>
              <w:t>Frequency</w:t>
            </w:r>
          </w:p>
        </w:tc>
        <w:tc>
          <w:tcPr>
            <w:tcW w:w="1417" w:type="dxa"/>
            <w:shd w:val="clear" w:color="auto" w:fill="auto"/>
            <w:vAlign w:val="bottom"/>
          </w:tcPr>
          <w:p w:rsidR="00CC1AF3" w:rsidRPr="00405CAA" w:rsidRDefault="00CC1AF3" w:rsidP="00581CEA">
            <w:pPr>
              <w:spacing w:before="60" w:after="60"/>
              <w:jc w:val="center"/>
              <w:rPr>
                <w:b/>
              </w:rPr>
            </w:pPr>
            <w:r w:rsidRPr="00405CAA">
              <w:rPr>
                <w:b/>
              </w:rPr>
              <w:t>Instances per year</w:t>
            </w:r>
            <w:r w:rsidRPr="00405CAA">
              <w:rPr>
                <w:b/>
              </w:rPr>
              <w:br/>
              <w:t>#</w:t>
            </w:r>
          </w:p>
        </w:tc>
        <w:tc>
          <w:tcPr>
            <w:tcW w:w="1276" w:type="dxa"/>
            <w:shd w:val="clear" w:color="auto" w:fill="auto"/>
            <w:vAlign w:val="bottom"/>
          </w:tcPr>
          <w:p w:rsidR="00CC1AF3" w:rsidRPr="00405CAA" w:rsidRDefault="00CC1AF3" w:rsidP="00581CEA">
            <w:pPr>
              <w:spacing w:before="60" w:after="60"/>
              <w:jc w:val="center"/>
              <w:rPr>
                <w:b/>
              </w:rPr>
            </w:pPr>
            <w:r w:rsidRPr="00405CAA">
              <w:rPr>
                <w:b/>
              </w:rPr>
              <w:t>Duration per instance</w:t>
            </w:r>
            <w:r w:rsidRPr="00405CAA">
              <w:rPr>
                <w:b/>
              </w:rPr>
              <w:br/>
              <w:t>hours</w:t>
            </w:r>
          </w:p>
        </w:tc>
        <w:tc>
          <w:tcPr>
            <w:tcW w:w="970" w:type="dxa"/>
            <w:shd w:val="clear" w:color="auto" w:fill="auto"/>
            <w:vAlign w:val="bottom"/>
          </w:tcPr>
          <w:p w:rsidR="00CC1AF3" w:rsidRPr="00405CAA" w:rsidRDefault="00CC1AF3" w:rsidP="00581CEA">
            <w:pPr>
              <w:spacing w:before="60" w:after="60"/>
              <w:jc w:val="center"/>
              <w:rPr>
                <w:b/>
              </w:rPr>
            </w:pPr>
            <w:r w:rsidRPr="00405CAA">
              <w:rPr>
                <w:b/>
              </w:rPr>
              <w:t>Duration per year</w:t>
            </w:r>
            <w:r w:rsidRPr="00405CAA">
              <w:rPr>
                <w:b/>
              </w:rPr>
              <w:br/>
              <w:t>hours</w:t>
            </w:r>
          </w:p>
        </w:tc>
        <w:tc>
          <w:tcPr>
            <w:tcW w:w="1370" w:type="dxa"/>
            <w:shd w:val="clear" w:color="auto" w:fill="auto"/>
            <w:vAlign w:val="bottom"/>
          </w:tcPr>
          <w:p w:rsidR="00CC1AF3" w:rsidRPr="00405CAA" w:rsidRDefault="00CC1AF3" w:rsidP="00581CEA">
            <w:pPr>
              <w:spacing w:before="60" w:after="60"/>
              <w:jc w:val="center"/>
              <w:rPr>
                <w:b/>
              </w:rPr>
            </w:pPr>
            <w:r w:rsidRPr="00405CAA">
              <w:rPr>
                <w:b/>
              </w:rPr>
              <w:t>% of Available time</w:t>
            </w:r>
            <w:r w:rsidR="002602C8" w:rsidRPr="00405CAA">
              <w:rPr>
                <w:b/>
              </w:rPr>
              <w:t>*</w:t>
            </w:r>
          </w:p>
        </w:tc>
      </w:tr>
      <w:tr w:rsidR="008E4EBB" w:rsidRPr="00405CAA" w:rsidTr="00410AF4">
        <w:trPr>
          <w:cantSplit/>
        </w:trPr>
        <w:tc>
          <w:tcPr>
            <w:tcW w:w="3348" w:type="dxa"/>
          </w:tcPr>
          <w:p w:rsidR="008E4EBB" w:rsidRPr="00405CAA" w:rsidRDefault="008E4EBB" w:rsidP="002323CB">
            <w:pPr>
              <w:spacing w:after="0"/>
            </w:pPr>
            <w:r w:rsidRPr="00405CAA">
              <w:t>One-on-one meeting with Team Leader</w:t>
            </w:r>
          </w:p>
        </w:tc>
        <w:tc>
          <w:tcPr>
            <w:tcW w:w="1467" w:type="dxa"/>
            <w:vAlign w:val="center"/>
          </w:tcPr>
          <w:p w:rsidR="008E4EBB" w:rsidRPr="00405CAA" w:rsidRDefault="008E4EBB">
            <w:pPr>
              <w:spacing w:after="0"/>
              <w:jc w:val="right"/>
            </w:pPr>
            <w:r w:rsidRPr="00405CAA">
              <w:t>Monthly</w:t>
            </w:r>
          </w:p>
        </w:tc>
        <w:tc>
          <w:tcPr>
            <w:tcW w:w="1417" w:type="dxa"/>
            <w:vAlign w:val="center"/>
          </w:tcPr>
          <w:p w:rsidR="008E4EBB" w:rsidRPr="00405CAA" w:rsidRDefault="000962B4" w:rsidP="00612E77">
            <w:pPr>
              <w:tabs>
                <w:tab w:val="decimal" w:pos="796"/>
              </w:tabs>
              <w:spacing w:after="0"/>
            </w:pPr>
            <w:r w:rsidRPr="00405CAA">
              <w:t>9</w:t>
            </w:r>
          </w:p>
        </w:tc>
        <w:tc>
          <w:tcPr>
            <w:tcW w:w="1276" w:type="dxa"/>
            <w:vAlign w:val="center"/>
          </w:tcPr>
          <w:p w:rsidR="008E4EBB" w:rsidRPr="00405CAA" w:rsidRDefault="008E4EBB" w:rsidP="00581CEA">
            <w:pPr>
              <w:tabs>
                <w:tab w:val="decimal" w:pos="796"/>
              </w:tabs>
              <w:spacing w:after="0"/>
            </w:pPr>
            <w:r w:rsidRPr="00405CAA">
              <w:t>1.5</w:t>
            </w:r>
          </w:p>
        </w:tc>
        <w:tc>
          <w:tcPr>
            <w:tcW w:w="970" w:type="dxa"/>
            <w:vAlign w:val="center"/>
          </w:tcPr>
          <w:p w:rsidR="008E4EBB" w:rsidRPr="00405CAA" w:rsidRDefault="00493D54" w:rsidP="00581CEA">
            <w:pPr>
              <w:tabs>
                <w:tab w:val="decimal" w:pos="796"/>
              </w:tabs>
              <w:spacing w:after="0"/>
            </w:pPr>
            <w:r w:rsidRPr="00405CAA">
              <w:t>13.5</w:t>
            </w:r>
          </w:p>
        </w:tc>
        <w:tc>
          <w:tcPr>
            <w:tcW w:w="1370" w:type="dxa"/>
            <w:vAlign w:val="center"/>
          </w:tcPr>
          <w:p w:rsidR="008E4EBB" w:rsidRPr="00405CAA" w:rsidRDefault="00493D54" w:rsidP="00581CEA">
            <w:pPr>
              <w:tabs>
                <w:tab w:val="decimal" w:pos="608"/>
              </w:tabs>
              <w:spacing w:after="0"/>
            </w:pPr>
            <w:r w:rsidRPr="00405CAA">
              <w:t>0.8%</w:t>
            </w:r>
          </w:p>
        </w:tc>
      </w:tr>
      <w:tr w:rsidR="008E4EBB" w:rsidRPr="00405CAA" w:rsidTr="00410AF4">
        <w:trPr>
          <w:cantSplit/>
        </w:trPr>
        <w:tc>
          <w:tcPr>
            <w:tcW w:w="3348" w:type="dxa"/>
          </w:tcPr>
          <w:p w:rsidR="008E4EBB" w:rsidRPr="00405CAA" w:rsidRDefault="008E4EBB" w:rsidP="002323CB">
            <w:pPr>
              <w:spacing w:after="0"/>
            </w:pPr>
            <w:r w:rsidRPr="00405CAA">
              <w:t>One-on-one meeting with Clinical Supervisor</w:t>
            </w:r>
          </w:p>
        </w:tc>
        <w:tc>
          <w:tcPr>
            <w:tcW w:w="1467" w:type="dxa"/>
            <w:vAlign w:val="center"/>
          </w:tcPr>
          <w:p w:rsidR="008E4EBB" w:rsidRPr="00405CAA" w:rsidRDefault="008E4EBB">
            <w:pPr>
              <w:spacing w:after="0"/>
              <w:jc w:val="right"/>
            </w:pPr>
            <w:r w:rsidRPr="00405CAA">
              <w:t>Monthly</w:t>
            </w:r>
          </w:p>
        </w:tc>
        <w:tc>
          <w:tcPr>
            <w:tcW w:w="1417" w:type="dxa"/>
            <w:vAlign w:val="center"/>
          </w:tcPr>
          <w:p w:rsidR="008E4EBB" w:rsidRPr="00405CAA" w:rsidRDefault="000962B4" w:rsidP="00581CEA">
            <w:pPr>
              <w:tabs>
                <w:tab w:val="decimal" w:pos="796"/>
              </w:tabs>
              <w:spacing w:after="0"/>
            </w:pPr>
            <w:r w:rsidRPr="00405CAA">
              <w:t>9</w:t>
            </w:r>
          </w:p>
        </w:tc>
        <w:tc>
          <w:tcPr>
            <w:tcW w:w="1276" w:type="dxa"/>
            <w:vAlign w:val="center"/>
          </w:tcPr>
          <w:p w:rsidR="008E4EBB" w:rsidRPr="00405CAA" w:rsidRDefault="008E4EBB" w:rsidP="00581CEA">
            <w:pPr>
              <w:tabs>
                <w:tab w:val="decimal" w:pos="796"/>
              </w:tabs>
              <w:spacing w:after="0"/>
            </w:pPr>
            <w:r w:rsidRPr="00405CAA">
              <w:t>1.5</w:t>
            </w:r>
          </w:p>
        </w:tc>
        <w:tc>
          <w:tcPr>
            <w:tcW w:w="970" w:type="dxa"/>
            <w:vAlign w:val="center"/>
          </w:tcPr>
          <w:p w:rsidR="008E4EBB" w:rsidRPr="00405CAA" w:rsidRDefault="00493D54" w:rsidP="00581CEA">
            <w:pPr>
              <w:tabs>
                <w:tab w:val="decimal" w:pos="796"/>
              </w:tabs>
              <w:spacing w:after="0"/>
            </w:pPr>
            <w:r w:rsidRPr="00405CAA">
              <w:t>13.5</w:t>
            </w:r>
          </w:p>
        </w:tc>
        <w:tc>
          <w:tcPr>
            <w:tcW w:w="1370" w:type="dxa"/>
            <w:vAlign w:val="center"/>
          </w:tcPr>
          <w:p w:rsidR="008E4EBB" w:rsidRPr="00405CAA" w:rsidRDefault="00493D54" w:rsidP="00581CEA">
            <w:pPr>
              <w:tabs>
                <w:tab w:val="decimal" w:pos="608"/>
              </w:tabs>
              <w:spacing w:after="0"/>
            </w:pPr>
            <w:r w:rsidRPr="00405CAA">
              <w:t>0.8%</w:t>
            </w:r>
          </w:p>
        </w:tc>
      </w:tr>
      <w:tr w:rsidR="008E4EBB" w:rsidRPr="00405CAA" w:rsidTr="00410AF4">
        <w:trPr>
          <w:cantSplit/>
        </w:trPr>
        <w:tc>
          <w:tcPr>
            <w:tcW w:w="3348" w:type="dxa"/>
          </w:tcPr>
          <w:p w:rsidR="008E4EBB" w:rsidRPr="00405CAA" w:rsidRDefault="008E4EBB">
            <w:pPr>
              <w:spacing w:after="0"/>
            </w:pPr>
            <w:r w:rsidRPr="00405CAA">
              <w:t xml:space="preserve">NDIA/LAC </w:t>
            </w:r>
            <w:r w:rsidR="002602C8" w:rsidRPr="00405CAA">
              <w:t>liaison</w:t>
            </w:r>
          </w:p>
        </w:tc>
        <w:tc>
          <w:tcPr>
            <w:tcW w:w="1467" w:type="dxa"/>
            <w:vAlign w:val="center"/>
          </w:tcPr>
          <w:p w:rsidR="008E4EBB" w:rsidRPr="00405CAA" w:rsidRDefault="008E4EBB">
            <w:pPr>
              <w:spacing w:after="0"/>
              <w:jc w:val="right"/>
            </w:pPr>
            <w:r w:rsidRPr="00405CAA">
              <w:t>Weekly</w:t>
            </w:r>
          </w:p>
        </w:tc>
        <w:tc>
          <w:tcPr>
            <w:tcW w:w="1417" w:type="dxa"/>
            <w:vAlign w:val="center"/>
          </w:tcPr>
          <w:p w:rsidR="008E4EBB" w:rsidRPr="00405CAA" w:rsidRDefault="008E4EBB" w:rsidP="00581CEA">
            <w:pPr>
              <w:tabs>
                <w:tab w:val="decimal" w:pos="796"/>
              </w:tabs>
              <w:spacing w:after="0"/>
            </w:pPr>
            <w:r w:rsidRPr="00405CAA">
              <w:t>40</w:t>
            </w:r>
          </w:p>
        </w:tc>
        <w:tc>
          <w:tcPr>
            <w:tcW w:w="1276" w:type="dxa"/>
            <w:vAlign w:val="center"/>
          </w:tcPr>
          <w:p w:rsidR="008E4EBB" w:rsidRPr="00405CAA" w:rsidRDefault="000962B4" w:rsidP="00581CEA">
            <w:pPr>
              <w:tabs>
                <w:tab w:val="decimal" w:pos="796"/>
              </w:tabs>
              <w:spacing w:after="0"/>
            </w:pPr>
            <w:r w:rsidRPr="00405CAA">
              <w:t>0.5</w:t>
            </w:r>
          </w:p>
        </w:tc>
        <w:tc>
          <w:tcPr>
            <w:tcW w:w="970" w:type="dxa"/>
            <w:vAlign w:val="center"/>
          </w:tcPr>
          <w:p w:rsidR="008E4EBB" w:rsidRPr="00405CAA" w:rsidRDefault="00493D54" w:rsidP="00581CEA">
            <w:pPr>
              <w:tabs>
                <w:tab w:val="decimal" w:pos="796"/>
              </w:tabs>
              <w:spacing w:after="0"/>
            </w:pPr>
            <w:r w:rsidRPr="00405CAA">
              <w:t>20.0</w:t>
            </w:r>
          </w:p>
        </w:tc>
        <w:tc>
          <w:tcPr>
            <w:tcW w:w="1370" w:type="dxa"/>
            <w:vAlign w:val="center"/>
          </w:tcPr>
          <w:p w:rsidR="008E4EBB" w:rsidRPr="00405CAA" w:rsidRDefault="00493D54" w:rsidP="00581CEA">
            <w:pPr>
              <w:tabs>
                <w:tab w:val="decimal" w:pos="608"/>
              </w:tabs>
              <w:spacing w:after="0"/>
            </w:pPr>
            <w:r w:rsidRPr="00405CAA">
              <w:t>1.2%</w:t>
            </w:r>
          </w:p>
        </w:tc>
      </w:tr>
      <w:tr w:rsidR="008E4EBB" w:rsidRPr="00405CAA" w:rsidTr="00410AF4">
        <w:trPr>
          <w:cantSplit/>
        </w:trPr>
        <w:tc>
          <w:tcPr>
            <w:tcW w:w="3348" w:type="dxa"/>
          </w:tcPr>
          <w:p w:rsidR="008E4EBB" w:rsidRPr="00405CAA" w:rsidRDefault="008E4EBB" w:rsidP="002323CB">
            <w:pPr>
              <w:spacing w:after="0"/>
            </w:pPr>
            <w:r w:rsidRPr="00405CAA">
              <w:t>Regional meeting</w:t>
            </w:r>
          </w:p>
        </w:tc>
        <w:tc>
          <w:tcPr>
            <w:tcW w:w="1467" w:type="dxa"/>
            <w:vAlign w:val="center"/>
          </w:tcPr>
          <w:p w:rsidR="008E4EBB" w:rsidRPr="00405CAA" w:rsidRDefault="008E4EBB">
            <w:pPr>
              <w:spacing w:after="0"/>
              <w:jc w:val="right"/>
            </w:pPr>
            <w:r w:rsidRPr="00405CAA">
              <w:t>Quarterly</w:t>
            </w:r>
          </w:p>
        </w:tc>
        <w:tc>
          <w:tcPr>
            <w:tcW w:w="1417" w:type="dxa"/>
            <w:vAlign w:val="center"/>
          </w:tcPr>
          <w:p w:rsidR="008E4EBB" w:rsidRPr="00405CAA" w:rsidRDefault="008E4EBB" w:rsidP="00581CEA">
            <w:pPr>
              <w:tabs>
                <w:tab w:val="decimal" w:pos="796"/>
              </w:tabs>
              <w:spacing w:after="0"/>
            </w:pPr>
            <w:r w:rsidRPr="00405CAA">
              <w:t>4</w:t>
            </w:r>
          </w:p>
        </w:tc>
        <w:tc>
          <w:tcPr>
            <w:tcW w:w="1276" w:type="dxa"/>
            <w:vAlign w:val="center"/>
          </w:tcPr>
          <w:p w:rsidR="008E4EBB" w:rsidRPr="00405CAA" w:rsidRDefault="008E4EBB" w:rsidP="00581CEA">
            <w:pPr>
              <w:tabs>
                <w:tab w:val="decimal" w:pos="796"/>
              </w:tabs>
              <w:spacing w:after="0"/>
            </w:pPr>
            <w:r w:rsidRPr="00405CAA">
              <w:t>3.5</w:t>
            </w:r>
          </w:p>
        </w:tc>
        <w:tc>
          <w:tcPr>
            <w:tcW w:w="970" w:type="dxa"/>
            <w:vAlign w:val="center"/>
          </w:tcPr>
          <w:p w:rsidR="008E4EBB" w:rsidRPr="00405CAA" w:rsidRDefault="008E4EBB" w:rsidP="00581CEA">
            <w:pPr>
              <w:tabs>
                <w:tab w:val="decimal" w:pos="796"/>
              </w:tabs>
              <w:spacing w:after="0"/>
            </w:pPr>
            <w:r w:rsidRPr="00405CAA">
              <w:t>14</w:t>
            </w:r>
            <w:r w:rsidR="00493D54" w:rsidRPr="00405CAA">
              <w:t>.0</w:t>
            </w:r>
          </w:p>
        </w:tc>
        <w:tc>
          <w:tcPr>
            <w:tcW w:w="1370" w:type="dxa"/>
            <w:vAlign w:val="center"/>
          </w:tcPr>
          <w:p w:rsidR="008E4EBB" w:rsidRPr="00405CAA" w:rsidRDefault="008E4EBB" w:rsidP="00581CEA">
            <w:pPr>
              <w:tabs>
                <w:tab w:val="decimal" w:pos="608"/>
              </w:tabs>
              <w:spacing w:after="0"/>
            </w:pPr>
            <w:r w:rsidRPr="00405CAA">
              <w:t>0.8</w:t>
            </w:r>
            <w:r w:rsidR="002A7B50" w:rsidRPr="00405CAA">
              <w:t>%</w:t>
            </w:r>
          </w:p>
        </w:tc>
      </w:tr>
      <w:tr w:rsidR="008E4EBB" w:rsidRPr="00405CAA" w:rsidTr="00410AF4">
        <w:trPr>
          <w:cantSplit/>
        </w:trPr>
        <w:tc>
          <w:tcPr>
            <w:tcW w:w="3348" w:type="dxa"/>
          </w:tcPr>
          <w:p w:rsidR="008E4EBB" w:rsidRPr="00405CAA" w:rsidRDefault="008E4EBB" w:rsidP="002323CB">
            <w:pPr>
              <w:spacing w:after="0"/>
            </w:pPr>
            <w:r w:rsidRPr="00405CAA">
              <w:t>Professional development</w:t>
            </w:r>
            <w:r w:rsidR="000962B4" w:rsidRPr="00405CAA">
              <w:t xml:space="preserve"> – face to face</w:t>
            </w:r>
          </w:p>
        </w:tc>
        <w:tc>
          <w:tcPr>
            <w:tcW w:w="1467" w:type="dxa"/>
            <w:vAlign w:val="center"/>
          </w:tcPr>
          <w:p w:rsidR="008E4EBB" w:rsidRPr="00405CAA" w:rsidRDefault="006C40C3">
            <w:pPr>
              <w:spacing w:after="0"/>
              <w:jc w:val="right"/>
            </w:pPr>
            <w:r>
              <w:t>Bi-annual</w:t>
            </w:r>
            <w:r w:rsidR="008E4EBB" w:rsidRPr="00405CAA">
              <w:t>l</w:t>
            </w:r>
            <w:r>
              <w:t>y</w:t>
            </w:r>
          </w:p>
        </w:tc>
        <w:tc>
          <w:tcPr>
            <w:tcW w:w="1417" w:type="dxa"/>
            <w:vAlign w:val="center"/>
          </w:tcPr>
          <w:p w:rsidR="008E4EBB" w:rsidRPr="00405CAA" w:rsidRDefault="008E4EBB" w:rsidP="00581CEA">
            <w:pPr>
              <w:tabs>
                <w:tab w:val="decimal" w:pos="796"/>
              </w:tabs>
              <w:spacing w:after="0"/>
            </w:pPr>
            <w:r w:rsidRPr="00405CAA">
              <w:t>2</w:t>
            </w:r>
          </w:p>
        </w:tc>
        <w:tc>
          <w:tcPr>
            <w:tcW w:w="1276" w:type="dxa"/>
            <w:vAlign w:val="center"/>
          </w:tcPr>
          <w:p w:rsidR="008E4EBB" w:rsidRPr="00405CAA" w:rsidRDefault="008E4EBB" w:rsidP="00581CEA">
            <w:pPr>
              <w:tabs>
                <w:tab w:val="decimal" w:pos="796"/>
              </w:tabs>
              <w:spacing w:after="0"/>
            </w:pPr>
            <w:r w:rsidRPr="00405CAA">
              <w:t>8</w:t>
            </w:r>
            <w:r w:rsidR="00493D54" w:rsidRPr="00405CAA">
              <w:t>.0</w:t>
            </w:r>
          </w:p>
        </w:tc>
        <w:tc>
          <w:tcPr>
            <w:tcW w:w="970" w:type="dxa"/>
            <w:vAlign w:val="center"/>
          </w:tcPr>
          <w:p w:rsidR="008E4EBB" w:rsidRPr="00405CAA" w:rsidRDefault="008E4EBB" w:rsidP="00581CEA">
            <w:pPr>
              <w:tabs>
                <w:tab w:val="decimal" w:pos="796"/>
              </w:tabs>
              <w:spacing w:after="0"/>
            </w:pPr>
            <w:r w:rsidRPr="00405CAA">
              <w:t>16</w:t>
            </w:r>
            <w:r w:rsidR="00493D54" w:rsidRPr="00405CAA">
              <w:t>.0</w:t>
            </w:r>
          </w:p>
        </w:tc>
        <w:tc>
          <w:tcPr>
            <w:tcW w:w="1370" w:type="dxa"/>
            <w:vAlign w:val="center"/>
          </w:tcPr>
          <w:p w:rsidR="008E4EBB" w:rsidRPr="00405CAA" w:rsidRDefault="008E4EBB" w:rsidP="00581CEA">
            <w:pPr>
              <w:tabs>
                <w:tab w:val="decimal" w:pos="608"/>
              </w:tabs>
              <w:spacing w:after="0"/>
            </w:pPr>
            <w:r w:rsidRPr="00405CAA">
              <w:t>0</w:t>
            </w:r>
            <w:r w:rsidR="00493D54" w:rsidRPr="00405CAA">
              <w:t>.9</w:t>
            </w:r>
            <w:r w:rsidR="002A7B50" w:rsidRPr="00405CAA">
              <w:t>%</w:t>
            </w:r>
          </w:p>
        </w:tc>
      </w:tr>
      <w:tr w:rsidR="000962B4" w:rsidRPr="00405CAA" w:rsidTr="00410AF4">
        <w:trPr>
          <w:cantSplit/>
        </w:trPr>
        <w:tc>
          <w:tcPr>
            <w:tcW w:w="3348" w:type="dxa"/>
          </w:tcPr>
          <w:p w:rsidR="000962B4" w:rsidRPr="00405CAA" w:rsidRDefault="000962B4" w:rsidP="002323CB">
            <w:pPr>
              <w:spacing w:after="0"/>
            </w:pPr>
            <w:r w:rsidRPr="00405CAA">
              <w:t>E-learning</w:t>
            </w:r>
          </w:p>
        </w:tc>
        <w:tc>
          <w:tcPr>
            <w:tcW w:w="1467" w:type="dxa"/>
            <w:vAlign w:val="center"/>
          </w:tcPr>
          <w:p w:rsidR="000962B4" w:rsidRPr="00405CAA" w:rsidRDefault="000962B4">
            <w:pPr>
              <w:spacing w:after="0"/>
              <w:jc w:val="right"/>
            </w:pPr>
            <w:r w:rsidRPr="00405CAA">
              <w:t>Monthly</w:t>
            </w:r>
          </w:p>
        </w:tc>
        <w:tc>
          <w:tcPr>
            <w:tcW w:w="1417" w:type="dxa"/>
            <w:vAlign w:val="center"/>
          </w:tcPr>
          <w:p w:rsidR="000962B4" w:rsidRPr="00405CAA" w:rsidRDefault="000962B4" w:rsidP="00581CEA">
            <w:pPr>
              <w:tabs>
                <w:tab w:val="decimal" w:pos="796"/>
              </w:tabs>
              <w:spacing w:after="0"/>
            </w:pPr>
            <w:r w:rsidRPr="00405CAA">
              <w:t>10</w:t>
            </w:r>
          </w:p>
        </w:tc>
        <w:tc>
          <w:tcPr>
            <w:tcW w:w="1276" w:type="dxa"/>
            <w:vAlign w:val="center"/>
          </w:tcPr>
          <w:p w:rsidR="000962B4" w:rsidRPr="00405CAA" w:rsidRDefault="000962B4" w:rsidP="00581CEA">
            <w:pPr>
              <w:tabs>
                <w:tab w:val="decimal" w:pos="796"/>
              </w:tabs>
              <w:spacing w:after="0"/>
            </w:pPr>
            <w:r w:rsidRPr="00405CAA">
              <w:t>1.5</w:t>
            </w:r>
          </w:p>
        </w:tc>
        <w:tc>
          <w:tcPr>
            <w:tcW w:w="970" w:type="dxa"/>
            <w:vAlign w:val="center"/>
          </w:tcPr>
          <w:p w:rsidR="000962B4" w:rsidRPr="00405CAA" w:rsidRDefault="00493D54" w:rsidP="00581CEA">
            <w:pPr>
              <w:tabs>
                <w:tab w:val="decimal" w:pos="796"/>
              </w:tabs>
              <w:spacing w:after="0"/>
            </w:pPr>
            <w:r w:rsidRPr="00405CAA">
              <w:t>15.0</w:t>
            </w:r>
          </w:p>
        </w:tc>
        <w:tc>
          <w:tcPr>
            <w:tcW w:w="1370" w:type="dxa"/>
            <w:vAlign w:val="center"/>
          </w:tcPr>
          <w:p w:rsidR="000962B4" w:rsidRPr="00405CAA" w:rsidRDefault="00493D54" w:rsidP="00581CEA">
            <w:pPr>
              <w:tabs>
                <w:tab w:val="decimal" w:pos="608"/>
              </w:tabs>
              <w:spacing w:after="0"/>
            </w:pPr>
            <w:r w:rsidRPr="00405CAA">
              <w:t>0.9%</w:t>
            </w:r>
          </w:p>
        </w:tc>
      </w:tr>
      <w:tr w:rsidR="008E4EBB" w:rsidRPr="00405CAA" w:rsidTr="00410AF4">
        <w:trPr>
          <w:cantSplit/>
        </w:trPr>
        <w:tc>
          <w:tcPr>
            <w:tcW w:w="3348" w:type="dxa"/>
          </w:tcPr>
          <w:p w:rsidR="008E4EBB" w:rsidRPr="00405CAA" w:rsidRDefault="008E4EBB" w:rsidP="002323CB">
            <w:pPr>
              <w:spacing w:after="0"/>
            </w:pPr>
            <w:r w:rsidRPr="00405CAA">
              <w:t>Team and general staff meetings</w:t>
            </w:r>
          </w:p>
        </w:tc>
        <w:tc>
          <w:tcPr>
            <w:tcW w:w="1467" w:type="dxa"/>
            <w:vAlign w:val="center"/>
          </w:tcPr>
          <w:p w:rsidR="008E4EBB" w:rsidRPr="00405CAA" w:rsidDel="006B4C7A" w:rsidRDefault="006C40C3">
            <w:pPr>
              <w:spacing w:after="0"/>
              <w:jc w:val="right"/>
            </w:pPr>
            <w:r>
              <w:t>Quarterly</w:t>
            </w:r>
          </w:p>
        </w:tc>
        <w:tc>
          <w:tcPr>
            <w:tcW w:w="1417" w:type="dxa"/>
            <w:vAlign w:val="center"/>
          </w:tcPr>
          <w:p w:rsidR="008E4EBB" w:rsidRPr="00405CAA" w:rsidDel="006B4C7A" w:rsidRDefault="00C607E6" w:rsidP="00581CEA">
            <w:pPr>
              <w:tabs>
                <w:tab w:val="decimal" w:pos="796"/>
              </w:tabs>
              <w:spacing w:after="0"/>
            </w:pPr>
            <w:r w:rsidRPr="00405CAA">
              <w:t>4</w:t>
            </w:r>
          </w:p>
        </w:tc>
        <w:tc>
          <w:tcPr>
            <w:tcW w:w="1276" w:type="dxa"/>
            <w:vAlign w:val="center"/>
          </w:tcPr>
          <w:p w:rsidR="008E4EBB" w:rsidRPr="00405CAA" w:rsidDel="006B4C7A" w:rsidRDefault="008E4EBB" w:rsidP="00581CEA">
            <w:pPr>
              <w:tabs>
                <w:tab w:val="decimal" w:pos="796"/>
              </w:tabs>
              <w:spacing w:after="0"/>
            </w:pPr>
            <w:r w:rsidRPr="00405CAA">
              <w:t>2</w:t>
            </w:r>
            <w:r w:rsidR="00493D54" w:rsidRPr="00405CAA">
              <w:t>.0</w:t>
            </w:r>
          </w:p>
        </w:tc>
        <w:tc>
          <w:tcPr>
            <w:tcW w:w="970" w:type="dxa"/>
            <w:vAlign w:val="center"/>
          </w:tcPr>
          <w:p w:rsidR="008E4EBB" w:rsidRPr="00405CAA" w:rsidDel="006B4C7A" w:rsidRDefault="00493D54" w:rsidP="00493D54">
            <w:pPr>
              <w:tabs>
                <w:tab w:val="decimal" w:pos="796"/>
              </w:tabs>
              <w:spacing w:after="0"/>
            </w:pPr>
            <w:r w:rsidRPr="00405CAA">
              <w:t>8.0</w:t>
            </w:r>
          </w:p>
        </w:tc>
        <w:tc>
          <w:tcPr>
            <w:tcW w:w="1370" w:type="dxa"/>
            <w:vAlign w:val="center"/>
          </w:tcPr>
          <w:p w:rsidR="008E4EBB" w:rsidRPr="00405CAA" w:rsidDel="006B4C7A" w:rsidRDefault="00493D54" w:rsidP="00493D54">
            <w:pPr>
              <w:tabs>
                <w:tab w:val="decimal" w:pos="608"/>
              </w:tabs>
              <w:spacing w:after="0"/>
            </w:pPr>
            <w:r w:rsidRPr="00405CAA">
              <w:t>0.5</w:t>
            </w:r>
            <w:r w:rsidR="002A7B50" w:rsidRPr="00405CAA">
              <w:t>%</w:t>
            </w:r>
          </w:p>
        </w:tc>
      </w:tr>
      <w:tr w:rsidR="00ED2DF7" w:rsidRPr="00405CAA" w:rsidTr="00410AF4">
        <w:trPr>
          <w:cantSplit/>
        </w:trPr>
        <w:tc>
          <w:tcPr>
            <w:tcW w:w="3348" w:type="dxa"/>
          </w:tcPr>
          <w:p w:rsidR="00ED2DF7" w:rsidRPr="00405CAA" w:rsidRDefault="00ED2DF7" w:rsidP="002323CB">
            <w:pPr>
              <w:spacing w:after="0"/>
              <w:rPr>
                <w:b/>
              </w:rPr>
            </w:pPr>
            <w:r w:rsidRPr="00405CAA">
              <w:rPr>
                <w:b/>
              </w:rPr>
              <w:t>Total</w:t>
            </w:r>
            <w:r w:rsidR="00233FB7" w:rsidRPr="00405CAA">
              <w:rPr>
                <w:b/>
              </w:rPr>
              <w:t xml:space="preserve"> non-productive time</w:t>
            </w:r>
          </w:p>
        </w:tc>
        <w:tc>
          <w:tcPr>
            <w:tcW w:w="1467" w:type="dxa"/>
          </w:tcPr>
          <w:p w:rsidR="00ED2DF7" w:rsidRPr="00405CAA" w:rsidRDefault="00ED2DF7" w:rsidP="003A72F6">
            <w:pPr>
              <w:spacing w:after="0"/>
              <w:jc w:val="right"/>
              <w:rPr>
                <w:b/>
              </w:rPr>
            </w:pPr>
          </w:p>
        </w:tc>
        <w:tc>
          <w:tcPr>
            <w:tcW w:w="1417" w:type="dxa"/>
          </w:tcPr>
          <w:p w:rsidR="00ED2DF7" w:rsidRPr="00405CAA" w:rsidRDefault="00ED2DF7" w:rsidP="00581CEA">
            <w:pPr>
              <w:tabs>
                <w:tab w:val="decimal" w:pos="796"/>
              </w:tabs>
              <w:spacing w:after="0"/>
            </w:pPr>
          </w:p>
        </w:tc>
        <w:tc>
          <w:tcPr>
            <w:tcW w:w="1276" w:type="dxa"/>
          </w:tcPr>
          <w:p w:rsidR="00ED2DF7" w:rsidRPr="00405CAA" w:rsidRDefault="00ED2DF7" w:rsidP="00581CEA">
            <w:pPr>
              <w:tabs>
                <w:tab w:val="decimal" w:pos="796"/>
              </w:tabs>
              <w:spacing w:after="0"/>
            </w:pPr>
          </w:p>
        </w:tc>
        <w:tc>
          <w:tcPr>
            <w:tcW w:w="970" w:type="dxa"/>
          </w:tcPr>
          <w:p w:rsidR="00ED2DF7" w:rsidRPr="00405CAA" w:rsidRDefault="007344F9" w:rsidP="00493D54">
            <w:pPr>
              <w:tabs>
                <w:tab w:val="decimal" w:pos="796"/>
              </w:tabs>
              <w:spacing w:after="0"/>
              <w:rPr>
                <w:b/>
              </w:rPr>
            </w:pPr>
            <w:r w:rsidRPr="00405CAA">
              <w:rPr>
                <w:b/>
              </w:rPr>
              <w:t>1</w:t>
            </w:r>
            <w:r w:rsidR="00493D54" w:rsidRPr="00405CAA">
              <w:rPr>
                <w:b/>
              </w:rPr>
              <w:t>00.0</w:t>
            </w:r>
          </w:p>
        </w:tc>
        <w:tc>
          <w:tcPr>
            <w:tcW w:w="1370" w:type="dxa"/>
          </w:tcPr>
          <w:p w:rsidR="00ED2DF7" w:rsidRPr="00405CAA" w:rsidDel="00ED2DF7" w:rsidRDefault="00493D54" w:rsidP="00493D54">
            <w:pPr>
              <w:tabs>
                <w:tab w:val="decimal" w:pos="608"/>
              </w:tabs>
              <w:spacing w:after="0"/>
              <w:rPr>
                <w:b/>
              </w:rPr>
            </w:pPr>
            <w:r w:rsidRPr="00405CAA">
              <w:rPr>
                <w:b/>
              </w:rPr>
              <w:t>5.8</w:t>
            </w:r>
            <w:r w:rsidR="002A7B50" w:rsidRPr="00405CAA">
              <w:rPr>
                <w:b/>
              </w:rPr>
              <w:t>%</w:t>
            </w:r>
          </w:p>
        </w:tc>
      </w:tr>
      <w:tr w:rsidR="00233FB7" w:rsidRPr="00405CAA" w:rsidTr="00C4164F">
        <w:trPr>
          <w:cantSplit/>
        </w:trPr>
        <w:tc>
          <w:tcPr>
            <w:tcW w:w="3348" w:type="dxa"/>
          </w:tcPr>
          <w:p w:rsidR="00233FB7" w:rsidRPr="00405CAA" w:rsidRDefault="00233FB7" w:rsidP="002323CB">
            <w:pPr>
              <w:spacing w:after="0"/>
              <w:rPr>
                <w:b/>
              </w:rPr>
            </w:pPr>
            <w:r w:rsidRPr="00405CAA">
              <w:rPr>
                <w:b/>
              </w:rPr>
              <w:t>Total productive time</w:t>
            </w:r>
          </w:p>
        </w:tc>
        <w:tc>
          <w:tcPr>
            <w:tcW w:w="6500" w:type="dxa"/>
            <w:gridSpan w:val="5"/>
          </w:tcPr>
          <w:p w:rsidR="00233FB7" w:rsidRPr="00405CAA" w:rsidRDefault="00233FB7" w:rsidP="00493D54">
            <w:pPr>
              <w:tabs>
                <w:tab w:val="decimal" w:pos="608"/>
              </w:tabs>
              <w:spacing w:after="0"/>
              <w:rPr>
                <w:b/>
              </w:rPr>
            </w:pPr>
            <w:r w:rsidRPr="00405CAA">
              <w:rPr>
                <w:b/>
              </w:rPr>
              <w:t>1,</w:t>
            </w:r>
            <w:r w:rsidR="00984525">
              <w:rPr>
                <w:b/>
              </w:rPr>
              <w:t>587</w:t>
            </w:r>
            <w:r w:rsidR="00B248A3" w:rsidRPr="00405CAA">
              <w:rPr>
                <w:b/>
              </w:rPr>
              <w:t xml:space="preserve"> </w:t>
            </w:r>
            <w:r w:rsidRPr="00405CAA">
              <w:rPr>
                <w:b/>
              </w:rPr>
              <w:t xml:space="preserve">hours or </w:t>
            </w:r>
            <w:r w:rsidR="00984525">
              <w:rPr>
                <w:b/>
              </w:rPr>
              <w:t>80.3</w:t>
            </w:r>
            <w:r w:rsidR="00085A5D" w:rsidRPr="00405CAA">
              <w:rPr>
                <w:b/>
              </w:rPr>
              <w:t>% of paid time</w:t>
            </w:r>
          </w:p>
        </w:tc>
      </w:tr>
    </w:tbl>
    <w:p w:rsidR="003A2FF1" w:rsidRPr="00405CAA" w:rsidRDefault="00C80639" w:rsidP="00CC1AF3">
      <w:r w:rsidRPr="00405CAA">
        <w:t xml:space="preserve">NB </w:t>
      </w:r>
      <w:r w:rsidR="002602C8" w:rsidRPr="00405CAA">
        <w:t>*</w:t>
      </w:r>
      <w:r w:rsidRPr="00405CAA">
        <w:t xml:space="preserve">Available time from Table 1 equals </w:t>
      </w:r>
      <w:r w:rsidR="00984525">
        <w:t>1,687</w:t>
      </w:r>
      <w:r w:rsidR="00100786" w:rsidRPr="00405CAA">
        <w:t xml:space="preserve"> </w:t>
      </w:r>
      <w:r w:rsidRPr="00405CAA">
        <w:t xml:space="preserve">hours. Numbers are rounded to nearest </w:t>
      </w:r>
      <w:r w:rsidR="008E4EBB" w:rsidRPr="00405CAA">
        <w:t>decimal point</w:t>
      </w:r>
      <w:r w:rsidRPr="00405CAA">
        <w:t>.</w:t>
      </w:r>
    </w:p>
    <w:p w:rsidR="005C5755" w:rsidRPr="00405CAA" w:rsidRDefault="005C5755" w:rsidP="005C5755">
      <w:r w:rsidRPr="00405CAA">
        <w:t>As before, the figures in Table 2 are not intended to be prescriptive but are examples only.</w:t>
      </w:r>
      <w:r w:rsidR="00D13581">
        <w:t xml:space="preserve"> Estimates for staff providing personal support will be different to those for staff working in the community</w:t>
      </w:r>
      <w:r w:rsidR="000F6810">
        <w:t>, and one-to-one supports will differ from group services.</w:t>
      </w:r>
    </w:p>
    <w:p w:rsidR="0088527B" w:rsidRPr="00405CAA" w:rsidRDefault="0088527B" w:rsidP="002323CB">
      <w:r w:rsidRPr="00405CAA">
        <w:t>Collecting the evidence for the table can be done in a number of ways:</w:t>
      </w:r>
    </w:p>
    <w:p w:rsidR="0088527B" w:rsidRPr="00405CAA" w:rsidRDefault="009C169F" w:rsidP="002323CB">
      <w:pPr>
        <w:pStyle w:val="ListParagraph"/>
        <w:numPr>
          <w:ilvl w:val="0"/>
          <w:numId w:val="44"/>
        </w:numPr>
      </w:pPr>
      <w:r w:rsidRPr="00405CAA">
        <w:t xml:space="preserve">The total </w:t>
      </w:r>
      <w:r w:rsidR="00A21073" w:rsidRPr="00405CAA">
        <w:t>quantity of non-productive time for worker</w:t>
      </w:r>
      <w:r w:rsidR="003A2FF1" w:rsidRPr="00405CAA">
        <w:t>s</w:t>
      </w:r>
      <w:r w:rsidR="00A21073" w:rsidRPr="00405CAA">
        <w:t xml:space="preserve"> might be known or knowable by calculating back from the billing and payroll </w:t>
      </w:r>
      <w:r w:rsidRPr="00405CAA">
        <w:t>systems and records</w:t>
      </w:r>
      <w:r w:rsidR="0088527B" w:rsidRPr="00405CAA">
        <w:t>, or checking with experienced people.</w:t>
      </w:r>
    </w:p>
    <w:p w:rsidR="00E01D6D" w:rsidRPr="00405CAA" w:rsidRDefault="00B5168C" w:rsidP="002323CB">
      <w:pPr>
        <w:pStyle w:val="ListParagraph"/>
        <w:numPr>
          <w:ilvl w:val="0"/>
          <w:numId w:val="44"/>
        </w:numPr>
      </w:pPr>
      <w:r w:rsidRPr="00405CAA">
        <w:t>The details of i</w:t>
      </w:r>
      <w:r w:rsidR="00E01D6D" w:rsidRPr="00405CAA">
        <w:t>ndividual, team and regional meetings can be determined from policy documents and verified against calendars.</w:t>
      </w:r>
    </w:p>
    <w:p w:rsidR="00E01D6D" w:rsidRPr="00405CAA" w:rsidRDefault="00E01D6D" w:rsidP="002323CB">
      <w:pPr>
        <w:pStyle w:val="ListParagraph"/>
        <w:numPr>
          <w:ilvl w:val="0"/>
          <w:numId w:val="44"/>
        </w:numPr>
      </w:pPr>
      <w:r w:rsidRPr="00405CAA">
        <w:t>Negotiation time can be ascertained from historical performance.</w:t>
      </w:r>
    </w:p>
    <w:p w:rsidR="00E01D6D" w:rsidRPr="00405CAA" w:rsidRDefault="00E01D6D" w:rsidP="002323CB">
      <w:pPr>
        <w:pStyle w:val="ListParagraph"/>
        <w:numPr>
          <w:ilvl w:val="0"/>
          <w:numId w:val="44"/>
        </w:numPr>
      </w:pPr>
      <w:r w:rsidRPr="00405CAA">
        <w:t>Professional development time can be ascertained from workers’ professional development plans.</w:t>
      </w:r>
    </w:p>
    <w:p w:rsidR="009C169F" w:rsidRPr="00405CAA" w:rsidRDefault="0088527B" w:rsidP="005F7027">
      <w:r w:rsidRPr="00405CAA">
        <w:t>If</w:t>
      </w:r>
      <w:r w:rsidR="009C169F" w:rsidRPr="00405CAA">
        <w:t xml:space="preserve"> an </w:t>
      </w:r>
      <w:r w:rsidR="003A2FF1" w:rsidRPr="00405CAA">
        <w:t>organisation wants a more accurate or detailed composition of non-productive time then it will need workers to maintain time records for that time</w:t>
      </w:r>
      <w:r w:rsidR="005F7027" w:rsidRPr="00405CAA">
        <w:t>,</w:t>
      </w:r>
      <w:r w:rsidR="003A2FF1" w:rsidRPr="00405CAA">
        <w:t xml:space="preserve"> just as they do for billable time. </w:t>
      </w:r>
      <w:r w:rsidR="004224B4" w:rsidRPr="00405CAA">
        <w:t>Note that t</w:t>
      </w:r>
      <w:r w:rsidR="003A2FF1" w:rsidRPr="00405CAA">
        <w:t xml:space="preserve">here are </w:t>
      </w:r>
      <w:r w:rsidR="009C169F" w:rsidRPr="00405CAA">
        <w:t xml:space="preserve">system, process and people implications of expanding the extent of timekeeping </w:t>
      </w:r>
      <w:r w:rsidR="005F7027" w:rsidRPr="00405CAA">
        <w:t>that</w:t>
      </w:r>
      <w:r w:rsidR="00DD4EBD" w:rsidRPr="00405CAA">
        <w:t xml:space="preserve"> need to be considered.</w:t>
      </w:r>
      <w:r w:rsidR="000B5FED" w:rsidRPr="00405CAA">
        <w:t xml:space="preserve"> </w:t>
      </w:r>
      <w:r w:rsidRPr="00405CAA">
        <w:t>A</w:t>
      </w:r>
      <w:r w:rsidR="003A2FF1" w:rsidRPr="00405CAA">
        <w:t xml:space="preserve">n organisation contemplating extending timekeeping should undertake a cost-benefit analysis, discuss the frontline impacts to scan </w:t>
      </w:r>
      <w:r w:rsidR="003A2FF1" w:rsidRPr="00405CAA">
        <w:lastRenderedPageBreak/>
        <w:t>for unintended consequences, and develop a change management plan to ensure the change will be properly embedded and hence deliver fully to expectations.</w:t>
      </w:r>
    </w:p>
    <w:p w:rsidR="00972B85" w:rsidRPr="00405CAA" w:rsidRDefault="003A2FF1" w:rsidP="001D2EA0">
      <w:pPr>
        <w:pStyle w:val="Heading1"/>
        <w:rPr>
          <w:rFonts w:ascii="Arial" w:hAnsi="Arial" w:cs="Arial"/>
          <w:sz w:val="24"/>
          <w:szCs w:val="24"/>
        </w:rPr>
      </w:pPr>
      <w:bookmarkStart w:id="6" w:name="_Toc488912239"/>
      <w:r w:rsidRPr="00410AF4">
        <w:rPr>
          <w:rFonts w:ascii="Arial" w:hAnsi="Arial" w:cs="Arial"/>
          <w:color w:val="auto"/>
          <w:sz w:val="24"/>
          <w:szCs w:val="24"/>
        </w:rPr>
        <w:t>Utilisation</w:t>
      </w:r>
      <w:bookmarkEnd w:id="6"/>
    </w:p>
    <w:p w:rsidR="00C15D0B" w:rsidRPr="00405CAA" w:rsidRDefault="00972B85" w:rsidP="006355F9">
      <w:r w:rsidRPr="00405CAA">
        <w:t xml:space="preserve">Utilisation is the extent to which the </w:t>
      </w:r>
      <w:r w:rsidRPr="00405CAA">
        <w:rPr>
          <w:b/>
        </w:rPr>
        <w:t>productive time</w:t>
      </w:r>
      <w:r w:rsidRPr="00405CAA">
        <w:t xml:space="preserve"> of </w:t>
      </w:r>
      <w:r w:rsidRPr="00405CAA">
        <w:rPr>
          <w:b/>
        </w:rPr>
        <w:t>workers</w:t>
      </w:r>
      <w:r w:rsidRPr="00405CAA">
        <w:t xml:space="preserve"> is applied to delivering </w:t>
      </w:r>
      <w:r w:rsidRPr="00405CAA">
        <w:rPr>
          <w:b/>
        </w:rPr>
        <w:t>billable services</w:t>
      </w:r>
      <w:r w:rsidRPr="00405CAA">
        <w:t xml:space="preserve"> (as opposed to delivering </w:t>
      </w:r>
      <w:r w:rsidRPr="00405CAA">
        <w:rPr>
          <w:b/>
        </w:rPr>
        <w:t>non-billable services</w:t>
      </w:r>
      <w:r w:rsidRPr="00405CAA">
        <w:t xml:space="preserve">, exceeding the policy settings for </w:t>
      </w:r>
      <w:r w:rsidRPr="00405CAA">
        <w:rPr>
          <w:b/>
        </w:rPr>
        <w:t>non-productive time</w:t>
      </w:r>
      <w:r w:rsidRPr="00405CAA">
        <w:t>, attending to personal affairs</w:t>
      </w:r>
      <w:r w:rsidR="00B5168C" w:rsidRPr="00405CAA">
        <w:t>,</w:t>
      </w:r>
      <w:r w:rsidRPr="00405CAA">
        <w:t xml:space="preserve"> or doing nothing). </w:t>
      </w:r>
      <w:r w:rsidR="000F65F5" w:rsidRPr="00405CAA">
        <w:t>It can be shown in the form of a ratio or in a diagram where (with caveats) better utilisation is achieved by reducing non-billable time.</w:t>
      </w:r>
    </w:p>
    <w:p w:rsidR="00064884" w:rsidRPr="00405CAA" w:rsidRDefault="000F65F5" w:rsidP="00181301">
      <w:r w:rsidRPr="00405CAA">
        <w:t xml:space="preserve">Although </w:t>
      </w:r>
      <w:r w:rsidR="00640938" w:rsidRPr="00405CAA">
        <w:t xml:space="preserve">maximising </w:t>
      </w:r>
      <w:r w:rsidRPr="00405CAA">
        <w:t xml:space="preserve">billable time helps an organisation meet financial targets, in </w:t>
      </w:r>
      <w:r w:rsidR="006229D2" w:rsidRPr="00405CAA">
        <w:t xml:space="preserve">human services (and perhaps particularly in disability services) there are structural and behavioural constraints that prevent workers from making </w:t>
      </w:r>
      <w:r w:rsidR="0043378F" w:rsidRPr="00405CAA">
        <w:t>p</w:t>
      </w:r>
      <w:r w:rsidR="006229D2" w:rsidRPr="00405CAA">
        <w:t xml:space="preserve">roductive </w:t>
      </w:r>
      <w:r w:rsidR="0043378F" w:rsidRPr="00405CAA">
        <w:t>t</w:t>
      </w:r>
      <w:r w:rsidR="006229D2" w:rsidRPr="00405CAA">
        <w:t>ime fully billable</w:t>
      </w:r>
      <w:r w:rsidR="00DD4EBD" w:rsidRPr="00405CAA">
        <w:t xml:space="preserve">. </w:t>
      </w:r>
    </w:p>
    <w:p w:rsidR="0043378F" w:rsidRPr="00405CAA" w:rsidRDefault="0043378F" w:rsidP="00064884">
      <w:pPr>
        <w:pStyle w:val="Normalprelist"/>
      </w:pPr>
      <w:r w:rsidRPr="00405CAA">
        <w:t>Structural utilisation constraints may include:</w:t>
      </w:r>
    </w:p>
    <w:p w:rsidR="0043378F" w:rsidRPr="00405CAA" w:rsidRDefault="00B5168C" w:rsidP="0043378F">
      <w:pPr>
        <w:pStyle w:val="ListParagraph"/>
        <w:numPr>
          <w:ilvl w:val="0"/>
          <w:numId w:val="21"/>
        </w:numPr>
      </w:pPr>
      <w:r w:rsidRPr="00405CAA">
        <w:t>N</w:t>
      </w:r>
      <w:r w:rsidR="00F77F5A" w:rsidRPr="00405CAA">
        <w:t>on</w:t>
      </w:r>
      <w:r w:rsidR="0043378F" w:rsidRPr="00405CAA">
        <w:t xml:space="preserve">-billable services—some associated services may simply be not billable (for example, travel time in excess of a contracted cap, </w:t>
      </w:r>
      <w:r w:rsidR="00DD4EBD" w:rsidRPr="00405CAA">
        <w:t xml:space="preserve">providing services that fall outside </w:t>
      </w:r>
      <w:r w:rsidRPr="00405CAA">
        <w:t xml:space="preserve">a client’s </w:t>
      </w:r>
      <w:r w:rsidR="00CA71E8" w:rsidRPr="00405CAA">
        <w:t>S</w:t>
      </w:r>
      <w:r w:rsidR="00914E40" w:rsidRPr="00405CAA">
        <w:t xml:space="preserve">ervice </w:t>
      </w:r>
      <w:r w:rsidR="00CA71E8" w:rsidRPr="00405CAA">
        <w:t>Agreement</w:t>
      </w:r>
      <w:r w:rsidR="00DD4EBD" w:rsidRPr="00405CAA">
        <w:t xml:space="preserve">, </w:t>
      </w:r>
      <w:r w:rsidR="0043378F" w:rsidRPr="00405CAA">
        <w:t xml:space="preserve">incident reporting to funders, </w:t>
      </w:r>
      <w:r w:rsidR="006B09A9" w:rsidRPr="00405CAA">
        <w:t xml:space="preserve">non-funded case management, </w:t>
      </w:r>
      <w:r w:rsidR="00CB0CFF" w:rsidRPr="00405CAA">
        <w:t xml:space="preserve">crisis care, </w:t>
      </w:r>
      <w:r w:rsidR="0043378F" w:rsidRPr="00405CAA">
        <w:t>or child protection referrals)</w:t>
      </w:r>
      <w:r w:rsidRPr="00405CAA">
        <w:t>.</w:t>
      </w:r>
    </w:p>
    <w:p w:rsidR="0043378F" w:rsidRPr="00405CAA" w:rsidRDefault="00B5168C" w:rsidP="0043378F">
      <w:pPr>
        <w:pStyle w:val="ListParagraph"/>
        <w:numPr>
          <w:ilvl w:val="0"/>
          <w:numId w:val="21"/>
        </w:numPr>
      </w:pPr>
      <w:r w:rsidRPr="00405CAA">
        <w:t>S</w:t>
      </w:r>
      <w:r w:rsidR="00F77F5A" w:rsidRPr="00405CAA">
        <w:t xml:space="preserve">cheduling </w:t>
      </w:r>
      <w:r w:rsidR="0043378F" w:rsidRPr="00405CAA">
        <w:t xml:space="preserve">efficiency—gaps between appointments </w:t>
      </w:r>
      <w:r w:rsidRPr="00405CAA">
        <w:t xml:space="preserve">(or even within appointments, e.g. waiting for clients while they are seeing a specialist or GP) </w:t>
      </w:r>
      <w:r w:rsidR="0043378F" w:rsidRPr="00405CAA">
        <w:t>that cannot be filled with approved non-productive activities become non-billable</w:t>
      </w:r>
      <w:r w:rsidRPr="00405CAA">
        <w:t>.</w:t>
      </w:r>
    </w:p>
    <w:p w:rsidR="0043378F" w:rsidRPr="00405CAA" w:rsidRDefault="00B5168C" w:rsidP="0043378F">
      <w:pPr>
        <w:pStyle w:val="ListParagraph"/>
        <w:numPr>
          <w:ilvl w:val="0"/>
          <w:numId w:val="21"/>
        </w:numPr>
      </w:pPr>
      <w:r w:rsidRPr="00405CAA">
        <w:t>T</w:t>
      </w:r>
      <w:r w:rsidR="00F77F5A" w:rsidRPr="00405CAA">
        <w:t xml:space="preserve">ravel </w:t>
      </w:r>
      <w:r w:rsidR="0043378F" w:rsidRPr="00405CAA">
        <w:t>efficiency—the amount of time spent undertaking non-billable travel is partly a function of how efficiently appointments are geographically clustered and sequenced</w:t>
      </w:r>
      <w:r w:rsidR="001E573E" w:rsidRPr="00405CAA">
        <w:t>.</w:t>
      </w:r>
    </w:p>
    <w:p w:rsidR="00CB0CFF" w:rsidRPr="00405CAA" w:rsidRDefault="00CB0CFF" w:rsidP="00493D54">
      <w:r w:rsidRPr="00405CAA">
        <w:t xml:space="preserve">The </w:t>
      </w:r>
      <w:r w:rsidR="00CB7859" w:rsidRPr="00405CAA">
        <w:t>extent of structural utilisation constraints</w:t>
      </w:r>
      <w:r w:rsidRPr="00405CAA">
        <w:t xml:space="preserve"> depends on the type of service </w:t>
      </w:r>
      <w:r w:rsidR="00CB7859" w:rsidRPr="00405CAA">
        <w:t xml:space="preserve">being provided (for example, supported accommodation might </w:t>
      </w:r>
      <w:r w:rsidR="003D0DC6" w:rsidRPr="00405CAA">
        <w:t xml:space="preserve">achieve a very low </w:t>
      </w:r>
      <w:r w:rsidR="00CB7859" w:rsidRPr="00405CAA">
        <w:t xml:space="preserve">non-billable </w:t>
      </w:r>
      <w:r w:rsidR="003D0DC6" w:rsidRPr="00405CAA">
        <w:t>result, while in-home services it might be higher)</w:t>
      </w:r>
      <w:r w:rsidR="00CB7859" w:rsidRPr="00405CAA">
        <w:t xml:space="preserve"> and each organisation’s service </w:t>
      </w:r>
      <w:r w:rsidR="003D0DC6" w:rsidRPr="00405CAA">
        <w:t>delivery model.</w:t>
      </w:r>
    </w:p>
    <w:p w:rsidR="0043378F" w:rsidRPr="00405CAA" w:rsidRDefault="0043378F" w:rsidP="00493D54">
      <w:r w:rsidRPr="00405CAA">
        <w:t>Behavioural utilisation constraints may include:</w:t>
      </w:r>
    </w:p>
    <w:p w:rsidR="0043378F" w:rsidRPr="00405CAA" w:rsidRDefault="009A7363" w:rsidP="0043378F">
      <w:pPr>
        <w:pStyle w:val="ListParagraph"/>
        <w:numPr>
          <w:ilvl w:val="0"/>
          <w:numId w:val="22"/>
        </w:numPr>
      </w:pPr>
      <w:r w:rsidRPr="00405CAA">
        <w:t>C</w:t>
      </w:r>
      <w:r w:rsidR="003229A2" w:rsidRPr="00405CAA">
        <w:t>lients</w:t>
      </w:r>
      <w:r w:rsidR="00D52EBC" w:rsidRPr="00405CAA">
        <w:t xml:space="preserve"> </w:t>
      </w:r>
      <w:r w:rsidR="0043378F" w:rsidRPr="00405CAA">
        <w:t xml:space="preserve">being late for their appointments—unless borne by the client, this </w:t>
      </w:r>
      <w:r w:rsidR="00767154" w:rsidRPr="00405CAA">
        <w:t xml:space="preserve">may </w:t>
      </w:r>
      <w:r w:rsidR="0043378F" w:rsidRPr="00405CAA">
        <w:t>extend the time taken to service the client without increasing billable time</w:t>
      </w:r>
      <w:r w:rsidRPr="00405CAA">
        <w:t>.</w:t>
      </w:r>
    </w:p>
    <w:p w:rsidR="0043378F" w:rsidRPr="00405CAA" w:rsidRDefault="009A7363" w:rsidP="0043378F">
      <w:pPr>
        <w:pStyle w:val="ListParagraph"/>
        <w:numPr>
          <w:ilvl w:val="0"/>
          <w:numId w:val="22"/>
        </w:numPr>
      </w:pPr>
      <w:r w:rsidRPr="00405CAA">
        <w:t>C</w:t>
      </w:r>
      <w:r w:rsidR="00D52EBC" w:rsidRPr="00405CAA">
        <w:t xml:space="preserve">lients </w:t>
      </w:r>
      <w:r w:rsidR="0043378F" w:rsidRPr="00405CAA">
        <w:t xml:space="preserve">cancelling or rescheduling their appointments—unless mitigated via other billable work (for instance, another client on standby to receive a service at short notice) or approved non-productive activities, this </w:t>
      </w:r>
      <w:r w:rsidR="00767154" w:rsidRPr="00405CAA">
        <w:t>may</w:t>
      </w:r>
      <w:r w:rsidR="0043378F" w:rsidRPr="00405CAA">
        <w:t xml:space="preserve"> create dead time</w:t>
      </w:r>
      <w:r w:rsidR="00767154" w:rsidRPr="00405CAA">
        <w:t xml:space="preserve"> (depending on whether the NDIA’s maximum chargeable cancellations/year/client has been reached)</w:t>
      </w:r>
      <w:r w:rsidRPr="00405CAA">
        <w:t>.</w:t>
      </w:r>
    </w:p>
    <w:p w:rsidR="0043378F" w:rsidRPr="00405CAA" w:rsidRDefault="009A7363" w:rsidP="0043378F">
      <w:pPr>
        <w:pStyle w:val="ListParagraph"/>
        <w:numPr>
          <w:ilvl w:val="0"/>
          <w:numId w:val="22"/>
        </w:numPr>
      </w:pPr>
      <w:r w:rsidRPr="00405CAA">
        <w:t>E</w:t>
      </w:r>
      <w:r w:rsidR="00D52EBC" w:rsidRPr="00405CAA">
        <w:t xml:space="preserve">mployee </w:t>
      </w:r>
      <w:r w:rsidR="0043378F" w:rsidRPr="00405CAA">
        <w:t>engagement</w:t>
      </w:r>
      <w:r w:rsidRPr="00405CAA">
        <w:t>—</w:t>
      </w:r>
      <w:r w:rsidR="0043378F" w:rsidRPr="00405CAA">
        <w:t xml:space="preserve">this will </w:t>
      </w:r>
      <w:r w:rsidR="008878C4" w:rsidRPr="00405CAA">
        <w:t>affect</w:t>
      </w:r>
      <w:r w:rsidR="0043378F" w:rsidRPr="00405CAA">
        <w:t xml:space="preserve"> </w:t>
      </w:r>
      <w:r w:rsidR="008878C4" w:rsidRPr="00405CAA">
        <w:t xml:space="preserve">the commitment and focus workers have </w:t>
      </w:r>
      <w:r w:rsidR="0043378F" w:rsidRPr="00405CAA">
        <w:t>on delivering services or undertaking approved non-productive activities as opposed to attending to personal affairs or doing nothing</w:t>
      </w:r>
      <w:r w:rsidRPr="00405CAA">
        <w:t>.</w:t>
      </w:r>
    </w:p>
    <w:p w:rsidR="0043378F" w:rsidRPr="00405CAA" w:rsidRDefault="009A7363" w:rsidP="0043378F">
      <w:pPr>
        <w:pStyle w:val="ListParagraph"/>
        <w:numPr>
          <w:ilvl w:val="0"/>
          <w:numId w:val="22"/>
        </w:numPr>
      </w:pPr>
      <w:r w:rsidRPr="00405CAA">
        <w:lastRenderedPageBreak/>
        <w:t>E</w:t>
      </w:r>
      <w:r w:rsidR="00D52EBC" w:rsidRPr="00405CAA">
        <w:t xml:space="preserve">mployee </w:t>
      </w:r>
      <w:r w:rsidR="0043378F" w:rsidRPr="00405CAA">
        <w:t>compliance</w:t>
      </w:r>
      <w:r w:rsidRPr="00405CAA">
        <w:t>—</w:t>
      </w:r>
      <w:r w:rsidR="00062565" w:rsidRPr="00405CAA">
        <w:t>the extent to which people</w:t>
      </w:r>
      <w:r w:rsidR="0043378F" w:rsidRPr="00405CAA">
        <w:t xml:space="preserve"> work in accordance with </w:t>
      </w:r>
      <w:r w:rsidR="00062565" w:rsidRPr="00405CAA">
        <w:t xml:space="preserve">the </w:t>
      </w:r>
      <w:r w:rsidR="006355F9" w:rsidRPr="00405CAA">
        <w:t>service delivery model</w:t>
      </w:r>
      <w:r w:rsidR="0043378F" w:rsidRPr="00405CAA">
        <w:t xml:space="preserve"> and approved non-productive activities (for instance, spending time on a service in excess of that specified in the </w:t>
      </w:r>
      <w:r w:rsidR="006355F9" w:rsidRPr="00405CAA">
        <w:t>service delivery model</w:t>
      </w:r>
      <w:r w:rsidR="0043378F" w:rsidRPr="00405CAA">
        <w:t>)</w:t>
      </w:r>
      <w:r w:rsidRPr="00405CAA">
        <w:t>.</w:t>
      </w:r>
    </w:p>
    <w:p w:rsidR="00972B85" w:rsidRPr="00405CAA" w:rsidRDefault="009A7363" w:rsidP="002323CB">
      <w:pPr>
        <w:pStyle w:val="ListParagraph"/>
        <w:numPr>
          <w:ilvl w:val="0"/>
          <w:numId w:val="22"/>
        </w:numPr>
      </w:pPr>
      <w:r w:rsidRPr="00405CAA">
        <w:t>S</w:t>
      </w:r>
      <w:r w:rsidR="00D52EBC" w:rsidRPr="00405CAA">
        <w:t xml:space="preserve">upervision </w:t>
      </w:r>
      <w:r w:rsidR="0043378F" w:rsidRPr="00405CAA">
        <w:t>effectiveness</w:t>
      </w:r>
      <w:r w:rsidRPr="00405CAA">
        <w:t>—</w:t>
      </w:r>
      <w:r w:rsidR="0043378F" w:rsidRPr="00405CAA">
        <w:t>this will impact on employee engagement and compliance</w:t>
      </w:r>
      <w:r w:rsidRPr="00405CAA">
        <w:t>.</w:t>
      </w:r>
    </w:p>
    <w:p w:rsidR="007C3780" w:rsidRPr="00405CAA" w:rsidRDefault="0021390D" w:rsidP="00581CEA">
      <w:r w:rsidRPr="00405CAA">
        <w:t>From a business perspective</w:t>
      </w:r>
      <w:r w:rsidR="00CA71E8" w:rsidRPr="00405CAA">
        <w:t>,</w:t>
      </w:r>
      <w:r w:rsidRPr="00405CAA">
        <w:t xml:space="preserve"> organisations would </w:t>
      </w:r>
      <w:r w:rsidR="00CA71E8" w:rsidRPr="00405CAA">
        <w:t xml:space="preserve">seek </w:t>
      </w:r>
      <w:r w:rsidRPr="00405CAA">
        <w:t>to minimise these constrain</w:t>
      </w:r>
      <w:r w:rsidR="009A7363" w:rsidRPr="00405CAA">
        <w:t>t</w:t>
      </w:r>
      <w:r w:rsidRPr="00405CAA">
        <w:t xml:space="preserve">s. However, from the client </w:t>
      </w:r>
      <w:r w:rsidR="007C2CC7" w:rsidRPr="00405CAA">
        <w:t xml:space="preserve">and worker </w:t>
      </w:r>
      <w:r w:rsidRPr="00405CAA">
        <w:t xml:space="preserve">perspective </w:t>
      </w:r>
      <w:r w:rsidR="007C3780" w:rsidRPr="00405CAA">
        <w:t xml:space="preserve">things may look different. </w:t>
      </w:r>
      <w:r w:rsidR="00786AC3" w:rsidRPr="00405CAA">
        <w:t xml:space="preserve">Clients </w:t>
      </w:r>
      <w:r w:rsidR="000F65F5" w:rsidRPr="00405CAA">
        <w:t>often</w:t>
      </w:r>
      <w:r w:rsidR="00786AC3" w:rsidRPr="00405CAA">
        <w:t xml:space="preserve"> </w:t>
      </w:r>
      <w:r w:rsidR="000F65F5" w:rsidRPr="00405CAA">
        <w:t>prefer to be</w:t>
      </w:r>
      <w:r w:rsidR="00786AC3" w:rsidRPr="00405CAA">
        <w:t xml:space="preserve"> supported by the same workers</w:t>
      </w:r>
      <w:r w:rsidR="009A7363" w:rsidRPr="00405CAA">
        <w:t xml:space="preserve"> (those they are familiar with or have developed a relationship of trust with)</w:t>
      </w:r>
      <w:r w:rsidR="00786AC3" w:rsidRPr="00405CAA">
        <w:t xml:space="preserve">, but optimising travel efficiency </w:t>
      </w:r>
      <w:r w:rsidR="000F65F5" w:rsidRPr="00405CAA">
        <w:t xml:space="preserve">may mean </w:t>
      </w:r>
      <w:r w:rsidR="00786AC3" w:rsidRPr="00405CAA">
        <w:t xml:space="preserve">the same worker that supported them in the morning might not be closest to them when they need supports in the afternoon. The organisation in this case will have to decide to either send the closest worker for business reasons or </w:t>
      </w:r>
      <w:r w:rsidR="008679FE" w:rsidRPr="00405CAA">
        <w:t>meet client preference and ‘sacrifice’ travel efficiency</w:t>
      </w:r>
      <w:r w:rsidR="000F65F5" w:rsidRPr="00405CAA">
        <w:t xml:space="preserve"> in order to provide consistency for the client.</w:t>
      </w:r>
    </w:p>
    <w:p w:rsidR="000F65F5" w:rsidRDefault="007C3780" w:rsidP="00972B85">
      <w:r w:rsidRPr="00405CAA">
        <w:t xml:space="preserve">Similarly, one of the features that clients regard positively in assessing the quality of the service they receive is the amount of ‘discretionary time’ workers can apply. This is time when a worker goes ‘above and beyond’ minimum service </w:t>
      </w:r>
      <w:r w:rsidR="00AB600E" w:rsidRPr="00405CAA">
        <w:t>levels</w:t>
      </w:r>
      <w:r w:rsidR="000F65F5" w:rsidRPr="00405CAA">
        <w:t xml:space="preserve">, and will not be available if </w:t>
      </w:r>
      <w:r w:rsidR="007C2CC7" w:rsidRPr="00405CAA">
        <w:t xml:space="preserve">workers feel in too much </w:t>
      </w:r>
      <w:r w:rsidR="00AB600E" w:rsidRPr="00405CAA">
        <w:t xml:space="preserve">of a </w:t>
      </w:r>
      <w:r w:rsidR="007C2CC7" w:rsidRPr="00405CAA">
        <w:t>hurry to move to another client.</w:t>
      </w:r>
    </w:p>
    <w:p w:rsidR="006919B2" w:rsidRPr="00405CAA" w:rsidRDefault="006919B2" w:rsidP="00972B85">
      <w:r>
        <w:rPr>
          <w:color w:val="000000"/>
        </w:rPr>
        <w:t>Providers working in Aboriginal communities emphasise the need to develop the trust and confidence of clients through casual encounters and informal connections, as well as formal support work.</w:t>
      </w:r>
    </w:p>
    <w:p w:rsidR="00CC1AF3" w:rsidRPr="00405CAA" w:rsidRDefault="000F65F5" w:rsidP="00972B85">
      <w:r w:rsidRPr="00405CAA">
        <w:t>As noted,</w:t>
      </w:r>
      <w:r w:rsidR="00972B85" w:rsidRPr="00405CAA">
        <w:t xml:space="preserve"> </w:t>
      </w:r>
      <w:r w:rsidR="00594ACF" w:rsidRPr="00405CAA">
        <w:rPr>
          <w:b/>
        </w:rPr>
        <w:t>billable time</w:t>
      </w:r>
      <w:r w:rsidR="00594ACF" w:rsidRPr="00405CAA">
        <w:t xml:space="preserve"> </w:t>
      </w:r>
      <w:r w:rsidRPr="00405CAA">
        <w:t xml:space="preserve">could be conceived </w:t>
      </w:r>
      <w:r w:rsidR="00594ACF" w:rsidRPr="00405CAA">
        <w:t xml:space="preserve">as being </w:t>
      </w:r>
      <w:r w:rsidR="00594ACF" w:rsidRPr="00405CAA">
        <w:rPr>
          <w:u w:val="single"/>
        </w:rPr>
        <w:t>equal to</w:t>
      </w:r>
      <w:r w:rsidR="00594ACF" w:rsidRPr="00405CAA">
        <w:t xml:space="preserve"> </w:t>
      </w:r>
      <w:r w:rsidR="00594ACF" w:rsidRPr="00405CAA">
        <w:rPr>
          <w:b/>
        </w:rPr>
        <w:t>productive time</w:t>
      </w:r>
      <w:r w:rsidR="00E5791B" w:rsidRPr="00405CAA">
        <w:t>:</w:t>
      </w:r>
      <w:r w:rsidR="00594ACF" w:rsidRPr="00405CAA">
        <w:t xml:space="preserve"> </w:t>
      </w:r>
      <w:r w:rsidR="00E5791B" w:rsidRPr="00405CAA">
        <w:t>t</w:t>
      </w:r>
      <w:r w:rsidR="00594ACF" w:rsidRPr="00405CAA">
        <w:t xml:space="preserve">his is </w:t>
      </w:r>
      <w:r w:rsidR="001A7273" w:rsidRPr="00405CAA">
        <w:t xml:space="preserve">a </w:t>
      </w:r>
      <w:r w:rsidR="00E26200" w:rsidRPr="00405CAA">
        <w:t>theoretically ideal</w:t>
      </w:r>
      <w:r w:rsidR="00594ACF" w:rsidRPr="00405CAA">
        <w:t xml:space="preserve"> position for the organisation</w:t>
      </w:r>
      <w:r w:rsidR="00AB600E" w:rsidRPr="00405CAA">
        <w:t>—</w:t>
      </w:r>
      <w:r w:rsidR="00594ACF" w:rsidRPr="00405CAA">
        <w:t>achieving billable outputs equal to productive inputs</w:t>
      </w:r>
      <w:r w:rsidR="00AB600E" w:rsidRPr="00405CAA">
        <w:t>—</w:t>
      </w:r>
      <w:r w:rsidR="00594ACF" w:rsidRPr="00405CAA">
        <w:t>and c</w:t>
      </w:r>
      <w:r w:rsidR="001A7273" w:rsidRPr="00405CAA">
        <w:t>ould</w:t>
      </w:r>
      <w:r w:rsidR="00594ACF" w:rsidRPr="00405CAA">
        <w:t xml:space="preserve"> be</w:t>
      </w:r>
      <w:r w:rsidR="00F936A5" w:rsidRPr="00405CAA">
        <w:t xml:space="preserve"> described a</w:t>
      </w:r>
      <w:r w:rsidR="00767154" w:rsidRPr="00405CAA">
        <w:t>s</w:t>
      </w:r>
      <w:r w:rsidR="00F936A5" w:rsidRPr="00405CAA">
        <w:t xml:space="preserve"> </w:t>
      </w:r>
      <w:r w:rsidR="002C7B99" w:rsidRPr="00405CAA">
        <w:t>‘</w:t>
      </w:r>
      <w:r w:rsidR="00F936A5" w:rsidRPr="00405CAA">
        <w:t>100</w:t>
      </w:r>
      <w:r w:rsidRPr="00405CAA">
        <w:t xml:space="preserve"> per cent </w:t>
      </w:r>
      <w:r w:rsidR="00F936A5" w:rsidRPr="00405CAA">
        <w:t>utilisation</w:t>
      </w:r>
      <w:r w:rsidR="002C7B99" w:rsidRPr="00405CAA">
        <w:t xml:space="preserve">’. </w:t>
      </w:r>
      <w:r w:rsidR="00F936A5" w:rsidRPr="00405CAA">
        <w:t>F</w:t>
      </w:r>
      <w:r w:rsidR="00594ACF" w:rsidRPr="00405CAA">
        <w:t xml:space="preserve">or all the reasons just mentioned, it is likely that most </w:t>
      </w:r>
      <w:r w:rsidR="00F936A5" w:rsidRPr="00405CAA">
        <w:t xml:space="preserve">providers </w:t>
      </w:r>
      <w:r w:rsidR="00594ACF" w:rsidRPr="00405CAA">
        <w:t xml:space="preserve">will experience </w:t>
      </w:r>
      <w:r w:rsidR="001351C1" w:rsidRPr="00405CAA">
        <w:t xml:space="preserve">and should plan for </w:t>
      </w:r>
      <w:r w:rsidR="00594ACF" w:rsidRPr="00405CAA">
        <w:t xml:space="preserve">billable time being less than productive time, as shown.  </w:t>
      </w:r>
    </w:p>
    <w:p w:rsidR="005E760E" w:rsidRPr="00405CAA" w:rsidRDefault="005E760E" w:rsidP="00972B85">
      <w:r w:rsidRPr="00405CAA">
        <w:t>For setting budgets</w:t>
      </w:r>
      <w:r w:rsidR="0021390D" w:rsidRPr="00405CAA">
        <w:t xml:space="preserve"> and determining workforce utilisation</w:t>
      </w:r>
      <w:r w:rsidRPr="00405CAA">
        <w:t xml:space="preserve">, it is necessary to define the amount of </w:t>
      </w:r>
      <w:r w:rsidR="00E618EE" w:rsidRPr="00405CAA">
        <w:t xml:space="preserve">productive time </w:t>
      </w:r>
      <w:r w:rsidRPr="00405CAA">
        <w:t xml:space="preserve">an organisation </w:t>
      </w:r>
      <w:r w:rsidR="00E618EE" w:rsidRPr="00405CAA">
        <w:t xml:space="preserve">expects to be non-billable. </w:t>
      </w:r>
      <w:r w:rsidRPr="00405CAA">
        <w:t xml:space="preserve">A way to do this is to </w:t>
      </w:r>
      <w:r w:rsidR="00064884" w:rsidRPr="00405CAA">
        <w:t xml:space="preserve">consider all the structural and behavioural utilisation constraints described above and </w:t>
      </w:r>
      <w:r w:rsidRPr="00405CAA">
        <w:t>assign a</w:t>
      </w:r>
      <w:r w:rsidR="00064884" w:rsidRPr="00405CAA">
        <w:t>n assessment of expected impact</w:t>
      </w:r>
      <w:r w:rsidRPr="00405CAA">
        <w:t xml:space="preserve"> over a year, such as in</w:t>
      </w:r>
      <w:r w:rsidR="00AB600E" w:rsidRPr="00405CAA">
        <w:t xml:space="preserve"> Table 3</w:t>
      </w:r>
      <w:r w:rsidRPr="00405CAA">
        <w:t>; aiming to be specific and accurate where possible, but otherwise making estimates based on assumptions.</w:t>
      </w:r>
      <w:r w:rsidR="001A7273" w:rsidRPr="00405CAA">
        <w:t xml:space="preserve"> Doing this may also encourage the provider to identify ways non-billable time can be reduced</w:t>
      </w:r>
      <w:r w:rsidR="00D13581">
        <w:t>. F</w:t>
      </w:r>
      <w:r w:rsidR="001A7273" w:rsidRPr="00405CAA">
        <w:t>or example</w:t>
      </w:r>
      <w:r w:rsidR="00D13581">
        <w:t xml:space="preserve">, non-billable time can in some circumstances be reduced by </w:t>
      </w:r>
      <w:r w:rsidR="001A7273" w:rsidRPr="00405CAA">
        <w:t>reading</w:t>
      </w:r>
      <w:r w:rsidR="00D13581">
        <w:t xml:space="preserve"> </w:t>
      </w:r>
      <w:r w:rsidR="001A7273" w:rsidRPr="00405CAA">
        <w:t xml:space="preserve">previous shift </w:t>
      </w:r>
      <w:r w:rsidR="00D13581">
        <w:t xml:space="preserve">notes </w:t>
      </w:r>
      <w:r w:rsidR="001A7273" w:rsidRPr="00405CAA">
        <w:t xml:space="preserve">with a </w:t>
      </w:r>
      <w:r w:rsidR="00AB600E" w:rsidRPr="00405CAA">
        <w:t xml:space="preserve">client </w:t>
      </w:r>
      <w:r w:rsidR="001A7273" w:rsidRPr="00405CAA">
        <w:t xml:space="preserve">present and inviting them to comment and contribute their </w:t>
      </w:r>
      <w:r w:rsidR="00AB600E" w:rsidRPr="00405CAA">
        <w:t xml:space="preserve">own </w:t>
      </w:r>
      <w:r w:rsidR="001A7273" w:rsidRPr="00405CAA">
        <w:t>observations.</w:t>
      </w:r>
    </w:p>
    <w:p w:rsidR="00C156EB" w:rsidRDefault="00C156EB">
      <w:pPr>
        <w:spacing w:after="0" w:line="240" w:lineRule="auto"/>
        <w:rPr>
          <w:b/>
        </w:rPr>
      </w:pPr>
      <w:bookmarkStart w:id="7" w:name="_Ref484420854"/>
      <w:r>
        <w:rPr>
          <w:b/>
        </w:rPr>
        <w:br w:type="page"/>
      </w:r>
    </w:p>
    <w:p w:rsidR="005E760E" w:rsidRPr="00405CAA" w:rsidRDefault="005E760E" w:rsidP="00CA27C7">
      <w:pPr>
        <w:spacing w:after="0" w:line="240" w:lineRule="auto"/>
        <w:rPr>
          <w:b/>
        </w:rPr>
      </w:pPr>
      <w:r w:rsidRPr="00405CAA">
        <w:rPr>
          <w:b/>
        </w:rPr>
        <w:lastRenderedPageBreak/>
        <w:t>Table</w:t>
      </w:r>
      <w:bookmarkEnd w:id="7"/>
      <w:r w:rsidR="00AB600E" w:rsidRPr="00405CAA">
        <w:rPr>
          <w:b/>
        </w:rPr>
        <w:t xml:space="preserve"> 3</w:t>
      </w:r>
      <w:r w:rsidRPr="00405CAA">
        <w:rPr>
          <w:b/>
        </w:rPr>
        <w:t xml:space="preserve">: Example tool for calculating billable time </w:t>
      </w:r>
    </w:p>
    <w:p w:rsidR="00804A0B" w:rsidRPr="00405CAA" w:rsidRDefault="00804A0B" w:rsidP="00CA27C7">
      <w:pPr>
        <w:spacing w:after="0" w:line="240" w:lineRule="auto"/>
        <w:rPr>
          <w:b/>
        </w:rPr>
      </w:pPr>
    </w:p>
    <w:tbl>
      <w:tblPr>
        <w:tblStyle w:val="TableGrid"/>
        <w:tblW w:w="8658" w:type="dxa"/>
        <w:tblLayout w:type="fixed"/>
        <w:tblLook w:val="04A0" w:firstRow="1" w:lastRow="0" w:firstColumn="1" w:lastColumn="0" w:noHBand="0" w:noVBand="1"/>
        <w:tblCaption w:val="Example tool for claculating a billable time"/>
        <w:tblDescription w:val="Utilisation contraint: Non-billable services (from Service delivery model), Non-billable time hours: 200, and 12.4% of productive time:. Utilisation constraint: Scheduling issues, Non-billable time hours: 40 and 2.5% of productive time. Utilisation Constraint: Travel that can't be billed. Non0billable time hours: 40 and 2.5% of productive time. Utilisation Constraint: All behavoural constraints, Non-billiable time hours: 66 and 4.1% if productive time. Total non-billable time - Non-billable time hours: 346 and 22.6% of productive time. "/>
      </w:tblPr>
      <w:tblGrid>
        <w:gridCol w:w="5666"/>
        <w:gridCol w:w="1496"/>
        <w:gridCol w:w="1496"/>
      </w:tblGrid>
      <w:tr w:rsidR="00A16DC7" w:rsidRPr="00405CAA" w:rsidTr="00C471E4">
        <w:trPr>
          <w:cantSplit/>
          <w:tblHeader/>
        </w:trPr>
        <w:tc>
          <w:tcPr>
            <w:tcW w:w="5666" w:type="dxa"/>
            <w:shd w:val="clear" w:color="auto" w:fill="auto"/>
            <w:vAlign w:val="center"/>
          </w:tcPr>
          <w:p w:rsidR="00A16DC7" w:rsidRPr="00405CAA" w:rsidRDefault="00A16DC7" w:rsidP="001D2EA0">
            <w:pPr>
              <w:spacing w:before="60" w:after="60"/>
              <w:jc w:val="center"/>
              <w:rPr>
                <w:b/>
              </w:rPr>
            </w:pPr>
            <w:r w:rsidRPr="00405CAA">
              <w:rPr>
                <w:b/>
              </w:rPr>
              <w:t>Utilisation constraint</w:t>
            </w:r>
          </w:p>
        </w:tc>
        <w:tc>
          <w:tcPr>
            <w:tcW w:w="1496" w:type="dxa"/>
            <w:shd w:val="clear" w:color="auto" w:fill="auto"/>
            <w:vAlign w:val="center"/>
          </w:tcPr>
          <w:p w:rsidR="00A16DC7" w:rsidRPr="00405CAA" w:rsidRDefault="00CA71E8" w:rsidP="001D2EA0">
            <w:pPr>
              <w:spacing w:before="60" w:after="60"/>
              <w:jc w:val="center"/>
              <w:rPr>
                <w:b/>
              </w:rPr>
            </w:pPr>
            <w:r w:rsidRPr="00405CAA">
              <w:rPr>
                <w:b/>
              </w:rPr>
              <w:t>Non-billable time</w:t>
            </w:r>
            <w:r w:rsidR="00A16DC7" w:rsidRPr="00405CAA">
              <w:rPr>
                <w:b/>
              </w:rPr>
              <w:br/>
            </w:r>
            <w:r w:rsidRPr="00405CAA">
              <w:rPr>
                <w:b/>
              </w:rPr>
              <w:t>hours</w:t>
            </w:r>
          </w:p>
        </w:tc>
        <w:tc>
          <w:tcPr>
            <w:tcW w:w="1496" w:type="dxa"/>
            <w:shd w:val="clear" w:color="auto" w:fill="auto"/>
            <w:vAlign w:val="center"/>
          </w:tcPr>
          <w:p w:rsidR="00A16DC7" w:rsidRPr="00405CAA" w:rsidRDefault="00311535" w:rsidP="001D2EA0">
            <w:pPr>
              <w:spacing w:before="60" w:after="60"/>
              <w:jc w:val="center"/>
              <w:rPr>
                <w:b/>
              </w:rPr>
            </w:pPr>
            <w:r w:rsidRPr="00405CAA">
              <w:rPr>
                <w:b/>
              </w:rPr>
              <w:t>% of productive time*</w:t>
            </w:r>
          </w:p>
        </w:tc>
      </w:tr>
      <w:tr w:rsidR="00A16DC7" w:rsidRPr="00405CAA" w:rsidTr="00C471E4">
        <w:trPr>
          <w:cantSplit/>
        </w:trPr>
        <w:tc>
          <w:tcPr>
            <w:tcW w:w="5666" w:type="dxa"/>
            <w:shd w:val="clear" w:color="auto" w:fill="auto"/>
          </w:tcPr>
          <w:p w:rsidR="00A16DC7" w:rsidRPr="00405CAA" w:rsidRDefault="00A16DC7">
            <w:pPr>
              <w:spacing w:after="0"/>
            </w:pPr>
            <w:r w:rsidRPr="00405CAA">
              <w:t>Non-billable s</w:t>
            </w:r>
            <w:r w:rsidR="00D204F1">
              <w:t>ervices (from Service Delivery M</w:t>
            </w:r>
            <w:r w:rsidRPr="00405CAA">
              <w:t>odel)</w:t>
            </w:r>
          </w:p>
        </w:tc>
        <w:tc>
          <w:tcPr>
            <w:tcW w:w="1496" w:type="dxa"/>
            <w:shd w:val="clear" w:color="auto" w:fill="auto"/>
          </w:tcPr>
          <w:p w:rsidR="00A16DC7" w:rsidRPr="00405CAA" w:rsidRDefault="000F6810" w:rsidP="000F6810">
            <w:pPr>
              <w:tabs>
                <w:tab w:val="decimal" w:pos="939"/>
              </w:tabs>
              <w:spacing w:after="0"/>
            </w:pPr>
            <w:r>
              <w:t>80</w:t>
            </w:r>
          </w:p>
        </w:tc>
        <w:tc>
          <w:tcPr>
            <w:tcW w:w="1496" w:type="dxa"/>
            <w:shd w:val="clear" w:color="auto" w:fill="auto"/>
            <w:vAlign w:val="bottom"/>
          </w:tcPr>
          <w:p w:rsidR="00A16DC7" w:rsidRPr="00405CAA" w:rsidRDefault="000F6810">
            <w:pPr>
              <w:tabs>
                <w:tab w:val="decimal" w:pos="939"/>
              </w:tabs>
              <w:spacing w:after="0"/>
            </w:pPr>
            <w:r>
              <w:rPr>
                <w:color w:val="000000"/>
              </w:rPr>
              <w:t>5.0</w:t>
            </w:r>
            <w:r w:rsidR="00AB600E" w:rsidRPr="00405CAA">
              <w:rPr>
                <w:color w:val="000000"/>
              </w:rPr>
              <w:t>%</w:t>
            </w:r>
          </w:p>
        </w:tc>
      </w:tr>
      <w:tr w:rsidR="00A16DC7" w:rsidRPr="00405CAA" w:rsidTr="00C471E4">
        <w:trPr>
          <w:cantSplit/>
        </w:trPr>
        <w:tc>
          <w:tcPr>
            <w:tcW w:w="5666" w:type="dxa"/>
            <w:shd w:val="clear" w:color="auto" w:fill="auto"/>
          </w:tcPr>
          <w:p w:rsidR="00A16DC7" w:rsidRPr="00405CAA" w:rsidRDefault="00A16DC7" w:rsidP="007D29DA">
            <w:pPr>
              <w:spacing w:after="0"/>
            </w:pPr>
            <w:r w:rsidRPr="00405CAA">
              <w:t xml:space="preserve">Scheduling </w:t>
            </w:r>
            <w:r w:rsidR="00311535" w:rsidRPr="00405CAA">
              <w:t>issues</w:t>
            </w:r>
          </w:p>
        </w:tc>
        <w:tc>
          <w:tcPr>
            <w:tcW w:w="1496" w:type="dxa"/>
            <w:shd w:val="clear" w:color="auto" w:fill="auto"/>
          </w:tcPr>
          <w:p w:rsidR="00A16DC7" w:rsidRPr="00405CAA" w:rsidRDefault="007C2CC7" w:rsidP="00CA27C7">
            <w:pPr>
              <w:tabs>
                <w:tab w:val="decimal" w:pos="939"/>
              </w:tabs>
              <w:spacing w:after="0"/>
            </w:pPr>
            <w:r w:rsidRPr="00405CAA">
              <w:t>40</w:t>
            </w:r>
          </w:p>
        </w:tc>
        <w:tc>
          <w:tcPr>
            <w:tcW w:w="1496" w:type="dxa"/>
            <w:shd w:val="clear" w:color="auto" w:fill="auto"/>
            <w:vAlign w:val="bottom"/>
          </w:tcPr>
          <w:p w:rsidR="00A16DC7" w:rsidRPr="00405CAA" w:rsidRDefault="00F22866" w:rsidP="00493D54">
            <w:pPr>
              <w:tabs>
                <w:tab w:val="decimal" w:pos="939"/>
              </w:tabs>
              <w:spacing w:after="0"/>
            </w:pPr>
            <w:r w:rsidRPr="00405CAA">
              <w:rPr>
                <w:color w:val="000000"/>
              </w:rPr>
              <w:t>2.</w:t>
            </w:r>
            <w:r w:rsidR="00493D54" w:rsidRPr="00405CAA">
              <w:rPr>
                <w:color w:val="000000"/>
              </w:rPr>
              <w:t>5</w:t>
            </w:r>
            <w:r w:rsidR="00AB600E" w:rsidRPr="00405CAA">
              <w:rPr>
                <w:color w:val="000000"/>
              </w:rPr>
              <w:t>%</w:t>
            </w:r>
          </w:p>
        </w:tc>
      </w:tr>
      <w:tr w:rsidR="00A16DC7" w:rsidRPr="00405CAA" w:rsidTr="00C471E4">
        <w:trPr>
          <w:cantSplit/>
        </w:trPr>
        <w:tc>
          <w:tcPr>
            <w:tcW w:w="5666" w:type="dxa"/>
            <w:shd w:val="clear" w:color="auto" w:fill="auto"/>
          </w:tcPr>
          <w:p w:rsidR="00A16DC7" w:rsidRPr="00405CAA" w:rsidRDefault="00A16DC7" w:rsidP="007D29DA">
            <w:pPr>
              <w:spacing w:after="0"/>
            </w:pPr>
            <w:r w:rsidRPr="00405CAA">
              <w:t xml:space="preserve">Travel </w:t>
            </w:r>
            <w:r w:rsidR="00311535" w:rsidRPr="00405CAA">
              <w:t>that can’t be billed</w:t>
            </w:r>
          </w:p>
        </w:tc>
        <w:tc>
          <w:tcPr>
            <w:tcW w:w="1496" w:type="dxa"/>
            <w:shd w:val="clear" w:color="auto" w:fill="auto"/>
          </w:tcPr>
          <w:p w:rsidR="00A16DC7" w:rsidRPr="00405CAA" w:rsidRDefault="00311535" w:rsidP="00CA71E8">
            <w:pPr>
              <w:tabs>
                <w:tab w:val="decimal" w:pos="939"/>
              </w:tabs>
              <w:spacing w:after="0"/>
            </w:pPr>
            <w:r w:rsidRPr="00405CAA">
              <w:t>40</w:t>
            </w:r>
          </w:p>
        </w:tc>
        <w:tc>
          <w:tcPr>
            <w:tcW w:w="1496" w:type="dxa"/>
            <w:shd w:val="clear" w:color="auto" w:fill="auto"/>
            <w:vAlign w:val="bottom"/>
          </w:tcPr>
          <w:p w:rsidR="00A16DC7" w:rsidRPr="00405CAA" w:rsidRDefault="00F22866" w:rsidP="00493D54">
            <w:pPr>
              <w:tabs>
                <w:tab w:val="decimal" w:pos="939"/>
              </w:tabs>
              <w:spacing w:after="0"/>
            </w:pPr>
            <w:r w:rsidRPr="00405CAA">
              <w:rPr>
                <w:color w:val="000000"/>
              </w:rPr>
              <w:t>2.</w:t>
            </w:r>
            <w:r w:rsidR="00493D54" w:rsidRPr="00405CAA">
              <w:rPr>
                <w:color w:val="000000"/>
              </w:rPr>
              <w:t>5</w:t>
            </w:r>
            <w:r w:rsidR="00AB600E" w:rsidRPr="00405CAA">
              <w:rPr>
                <w:color w:val="000000"/>
              </w:rPr>
              <w:t>%</w:t>
            </w:r>
          </w:p>
        </w:tc>
      </w:tr>
      <w:tr w:rsidR="00A16DC7" w:rsidRPr="00405CAA" w:rsidTr="00C471E4">
        <w:trPr>
          <w:cantSplit/>
        </w:trPr>
        <w:tc>
          <w:tcPr>
            <w:tcW w:w="5666" w:type="dxa"/>
            <w:shd w:val="clear" w:color="auto" w:fill="auto"/>
          </w:tcPr>
          <w:p w:rsidR="00A16DC7" w:rsidRPr="00405CAA" w:rsidRDefault="00A16DC7" w:rsidP="008E5E24">
            <w:pPr>
              <w:spacing w:after="0"/>
            </w:pPr>
            <w:r w:rsidRPr="00405CAA">
              <w:t>All behavioural constraints</w:t>
            </w:r>
          </w:p>
        </w:tc>
        <w:tc>
          <w:tcPr>
            <w:tcW w:w="1496" w:type="dxa"/>
            <w:shd w:val="clear" w:color="auto" w:fill="auto"/>
          </w:tcPr>
          <w:p w:rsidR="00A16DC7" w:rsidRPr="00405CAA" w:rsidRDefault="00D072B6">
            <w:pPr>
              <w:tabs>
                <w:tab w:val="decimal" w:pos="939"/>
              </w:tabs>
              <w:spacing w:after="0"/>
            </w:pPr>
            <w:r w:rsidRPr="00405CAA">
              <w:t>66</w:t>
            </w:r>
          </w:p>
        </w:tc>
        <w:tc>
          <w:tcPr>
            <w:tcW w:w="1496" w:type="dxa"/>
            <w:shd w:val="clear" w:color="auto" w:fill="auto"/>
            <w:vAlign w:val="bottom"/>
          </w:tcPr>
          <w:p w:rsidR="00A16DC7" w:rsidRPr="00405CAA" w:rsidRDefault="00311535" w:rsidP="00493D54">
            <w:pPr>
              <w:tabs>
                <w:tab w:val="decimal" w:pos="939"/>
              </w:tabs>
              <w:spacing w:after="0"/>
            </w:pPr>
            <w:r w:rsidRPr="00405CAA">
              <w:rPr>
                <w:color w:val="000000"/>
              </w:rPr>
              <w:t>4</w:t>
            </w:r>
            <w:r w:rsidR="00F22866" w:rsidRPr="00405CAA">
              <w:rPr>
                <w:color w:val="000000"/>
              </w:rPr>
              <w:t>.</w:t>
            </w:r>
            <w:r w:rsidR="00984525">
              <w:rPr>
                <w:color w:val="000000"/>
              </w:rPr>
              <w:t>2</w:t>
            </w:r>
            <w:r w:rsidR="00AB600E" w:rsidRPr="00405CAA">
              <w:rPr>
                <w:color w:val="000000"/>
              </w:rPr>
              <w:t>%</w:t>
            </w:r>
          </w:p>
        </w:tc>
      </w:tr>
      <w:tr w:rsidR="00A16DC7" w:rsidRPr="00405CAA" w:rsidTr="00C471E4">
        <w:trPr>
          <w:cantSplit/>
        </w:trPr>
        <w:tc>
          <w:tcPr>
            <w:tcW w:w="5666" w:type="dxa"/>
            <w:shd w:val="clear" w:color="auto" w:fill="auto"/>
          </w:tcPr>
          <w:p w:rsidR="00A16DC7" w:rsidRPr="00405CAA" w:rsidRDefault="00A16DC7" w:rsidP="005E760E">
            <w:pPr>
              <w:spacing w:after="0"/>
              <w:rPr>
                <w:b/>
              </w:rPr>
            </w:pPr>
            <w:r w:rsidRPr="00405CAA">
              <w:rPr>
                <w:b/>
              </w:rPr>
              <w:t>Total</w:t>
            </w:r>
            <w:r w:rsidR="00D072B6" w:rsidRPr="00405CAA">
              <w:rPr>
                <w:b/>
              </w:rPr>
              <w:t xml:space="preserve"> non-billable time</w:t>
            </w:r>
          </w:p>
        </w:tc>
        <w:tc>
          <w:tcPr>
            <w:tcW w:w="1496" w:type="dxa"/>
            <w:shd w:val="clear" w:color="auto" w:fill="auto"/>
          </w:tcPr>
          <w:p w:rsidR="00A16DC7" w:rsidRPr="00405CAA" w:rsidDel="00ED2DF7" w:rsidRDefault="008738DC" w:rsidP="008462E8">
            <w:pPr>
              <w:tabs>
                <w:tab w:val="decimal" w:pos="939"/>
              </w:tabs>
              <w:spacing w:after="0"/>
              <w:rPr>
                <w:b/>
              </w:rPr>
            </w:pPr>
            <w:r>
              <w:rPr>
                <w:b/>
              </w:rPr>
              <w:t>2</w:t>
            </w:r>
            <w:r w:rsidR="008774B1">
              <w:rPr>
                <w:b/>
              </w:rPr>
              <w:t>26</w:t>
            </w:r>
          </w:p>
        </w:tc>
        <w:tc>
          <w:tcPr>
            <w:tcW w:w="1496" w:type="dxa"/>
            <w:shd w:val="clear" w:color="auto" w:fill="auto"/>
            <w:vAlign w:val="bottom"/>
          </w:tcPr>
          <w:p w:rsidR="00A16DC7" w:rsidRPr="00405CAA" w:rsidRDefault="00984525">
            <w:pPr>
              <w:tabs>
                <w:tab w:val="decimal" w:pos="939"/>
              </w:tabs>
              <w:spacing w:after="0"/>
              <w:rPr>
                <w:b/>
              </w:rPr>
            </w:pPr>
            <w:r>
              <w:rPr>
                <w:b/>
                <w:color w:val="000000"/>
              </w:rPr>
              <w:t xml:space="preserve"> 14.2</w:t>
            </w:r>
            <w:r w:rsidR="00AB600E" w:rsidRPr="00405CAA">
              <w:rPr>
                <w:b/>
                <w:color w:val="000000"/>
              </w:rPr>
              <w:t>%</w:t>
            </w:r>
          </w:p>
        </w:tc>
      </w:tr>
      <w:tr w:rsidR="007908CB" w:rsidRPr="00405CAA" w:rsidTr="00C471E4">
        <w:trPr>
          <w:cantSplit/>
        </w:trPr>
        <w:tc>
          <w:tcPr>
            <w:tcW w:w="8658" w:type="dxa"/>
            <w:gridSpan w:val="3"/>
            <w:shd w:val="clear" w:color="auto" w:fill="auto"/>
          </w:tcPr>
          <w:p w:rsidR="007908CB" w:rsidRPr="00405CAA" w:rsidDel="00D072B6" w:rsidRDefault="007908CB">
            <w:pPr>
              <w:spacing w:after="0"/>
              <w:rPr>
                <w:color w:val="000000"/>
              </w:rPr>
            </w:pPr>
            <w:r w:rsidRPr="00405CAA">
              <w:rPr>
                <w:b/>
              </w:rPr>
              <w:t>Total billable time is 1,</w:t>
            </w:r>
            <w:r w:rsidR="00984525">
              <w:rPr>
                <w:b/>
              </w:rPr>
              <w:t>361</w:t>
            </w:r>
            <w:r w:rsidR="008738DC" w:rsidRPr="00405CAA">
              <w:rPr>
                <w:b/>
              </w:rPr>
              <w:t xml:space="preserve"> </w:t>
            </w:r>
            <w:r w:rsidRPr="00405CAA">
              <w:rPr>
                <w:b/>
              </w:rPr>
              <w:t xml:space="preserve">hours or </w:t>
            </w:r>
            <w:r w:rsidR="00984525">
              <w:rPr>
                <w:b/>
              </w:rPr>
              <w:t>68.9</w:t>
            </w:r>
            <w:r w:rsidRPr="00405CAA">
              <w:rPr>
                <w:b/>
              </w:rPr>
              <w:t>% of paid time</w:t>
            </w:r>
          </w:p>
        </w:tc>
      </w:tr>
    </w:tbl>
    <w:p w:rsidR="008775B2" w:rsidRPr="00405CAA" w:rsidRDefault="00A16DC7" w:rsidP="00CA27C7">
      <w:pPr>
        <w:spacing w:after="0"/>
      </w:pPr>
      <w:r w:rsidRPr="00405CAA">
        <w:t xml:space="preserve">NB *Productive time from Table </w:t>
      </w:r>
      <w:r w:rsidR="00CA71E8" w:rsidRPr="00405CAA">
        <w:t xml:space="preserve">2 </w:t>
      </w:r>
      <w:r w:rsidRPr="00405CAA">
        <w:t>equals 1,</w:t>
      </w:r>
      <w:r w:rsidR="00984525">
        <w:t xml:space="preserve">587 </w:t>
      </w:r>
      <w:r w:rsidRPr="00405CAA">
        <w:t>hours. Numbers are rounded to nearest decimal point.</w:t>
      </w:r>
    </w:p>
    <w:p w:rsidR="006229D2" w:rsidRPr="002A215C" w:rsidRDefault="006229D2" w:rsidP="001D2EA0">
      <w:pPr>
        <w:pStyle w:val="Heading1"/>
        <w:rPr>
          <w:rFonts w:ascii="Arial" w:hAnsi="Arial" w:cs="Arial"/>
          <w:color w:val="auto"/>
          <w:sz w:val="24"/>
          <w:szCs w:val="24"/>
        </w:rPr>
      </w:pPr>
      <w:bookmarkStart w:id="8" w:name="_Toc484426156"/>
      <w:bookmarkStart w:id="9" w:name="_Toc488912240"/>
      <w:bookmarkEnd w:id="8"/>
      <w:r w:rsidRPr="002A215C">
        <w:rPr>
          <w:rFonts w:ascii="Arial" w:hAnsi="Arial" w:cs="Arial"/>
          <w:color w:val="auto"/>
          <w:sz w:val="24"/>
          <w:szCs w:val="24"/>
        </w:rPr>
        <w:t>The influence</w:t>
      </w:r>
      <w:r w:rsidR="009C169F" w:rsidRPr="002A215C">
        <w:rPr>
          <w:rFonts w:ascii="Arial" w:hAnsi="Arial" w:cs="Arial"/>
          <w:color w:val="auto"/>
          <w:sz w:val="24"/>
          <w:szCs w:val="24"/>
        </w:rPr>
        <w:t xml:space="preserve"> of the NDIS and the Reasonable </w:t>
      </w:r>
      <w:r w:rsidRPr="002A215C">
        <w:rPr>
          <w:rFonts w:ascii="Arial" w:hAnsi="Arial" w:cs="Arial"/>
          <w:color w:val="auto"/>
          <w:sz w:val="24"/>
          <w:szCs w:val="24"/>
        </w:rPr>
        <w:t>Cost Model</w:t>
      </w:r>
      <w:bookmarkEnd w:id="9"/>
    </w:p>
    <w:p w:rsidR="00EB61B2" w:rsidRPr="00405CAA" w:rsidRDefault="00EB61B2" w:rsidP="00EB61B2">
      <w:r w:rsidRPr="00405CAA">
        <w:t xml:space="preserve">In the NDIS environment some concepts are shaped by the way the NDIA has developed its pricing framework. </w:t>
      </w:r>
    </w:p>
    <w:p w:rsidR="0099634A" w:rsidRPr="00405CAA" w:rsidRDefault="000A71F2" w:rsidP="002323CB">
      <w:r w:rsidRPr="00405CAA">
        <w:t xml:space="preserve">The National Disability Insurance Agency </w:t>
      </w:r>
      <w:r w:rsidR="00F27A23" w:rsidRPr="00405CAA">
        <w:t xml:space="preserve">(NDIA) </w:t>
      </w:r>
      <w:r w:rsidR="0099634A" w:rsidRPr="00405CAA">
        <w:t>has established what it calls the Reasonable Cost Model</w:t>
      </w:r>
      <w:r w:rsidR="00F67C1C" w:rsidRPr="00405CAA">
        <w:t>.</w:t>
      </w:r>
      <w:r w:rsidR="0099634A" w:rsidRPr="00405CAA">
        <w:rPr>
          <w:rStyle w:val="FootnoteReference"/>
        </w:rPr>
        <w:footnoteReference w:id="2"/>
      </w:r>
      <w:r w:rsidR="00F67C1C" w:rsidRPr="00405CAA">
        <w:t xml:space="preserve"> </w:t>
      </w:r>
      <w:r w:rsidR="0099634A" w:rsidRPr="00405CAA">
        <w:t>This model is intended to articulate clearly what the NDIS includes in its price offered for the various services it funds. It is not suggested that providers necessarily look to arrange themselves to replicate this model</w:t>
      </w:r>
      <w:r w:rsidR="00CB238F" w:rsidRPr="00405CAA">
        <w:t>,</w:t>
      </w:r>
      <w:r w:rsidR="0099634A" w:rsidRPr="00405CAA">
        <w:t xml:space="preserve"> but that they use </w:t>
      </w:r>
      <w:r w:rsidR="00CB238F" w:rsidRPr="00405CAA">
        <w:t>it</w:t>
      </w:r>
      <w:r w:rsidR="0099634A" w:rsidRPr="00405CAA">
        <w:t xml:space="preserve"> to help them understand what components they should include in their assessment of costs</w:t>
      </w:r>
      <w:r w:rsidR="00314A0C" w:rsidRPr="00405CAA">
        <w:t>,</w:t>
      </w:r>
      <w:r w:rsidR="0099634A" w:rsidRPr="00405CAA">
        <w:t xml:space="preserve"> and also to reconcile their costs with those prices offered by the NDIA.</w:t>
      </w:r>
    </w:p>
    <w:p w:rsidR="0099634A" w:rsidRPr="00405CAA" w:rsidRDefault="00944ABE" w:rsidP="002323CB">
      <w:r w:rsidRPr="00405CAA">
        <w:t xml:space="preserve">The model tries to build up the unit prices from the bottom up by estimating the components that </w:t>
      </w:r>
      <w:r w:rsidR="00CB238F" w:rsidRPr="00405CAA">
        <w:t>they are</w:t>
      </w:r>
      <w:r w:rsidRPr="00405CAA">
        <w:t xml:space="preserve"> composed of. These include hourly wage costs and other employment-related costs, the costs of corporate overheads and supervision costs, return on capital and so on.</w:t>
      </w:r>
    </w:p>
    <w:p w:rsidR="00166D80" w:rsidRPr="00405CAA" w:rsidRDefault="00CB238F" w:rsidP="00CA27C7">
      <w:pPr>
        <w:rPr>
          <w:b/>
          <w:color w:val="2F5496" w:themeColor="accent1" w:themeShade="BF"/>
        </w:rPr>
      </w:pPr>
      <w:r w:rsidRPr="00405CAA">
        <w:t xml:space="preserve">Some of the costs it references </w:t>
      </w:r>
      <w:r w:rsidR="00314A0C" w:rsidRPr="00405CAA">
        <w:t>(</w:t>
      </w:r>
      <w:r w:rsidR="00E26200" w:rsidRPr="00405CAA">
        <w:t>but only partly incorporates</w:t>
      </w:r>
      <w:r w:rsidR="00314A0C" w:rsidRPr="00405CAA">
        <w:t>)</w:t>
      </w:r>
      <w:r w:rsidR="00E26200" w:rsidRPr="00405CAA">
        <w:t xml:space="preserve"> </w:t>
      </w:r>
      <w:r w:rsidRPr="00405CAA">
        <w:t>are well-known existing standard</w:t>
      </w:r>
      <w:r w:rsidR="00F67C1C" w:rsidRPr="00405CAA">
        <w:t xml:space="preserve"> elements</w:t>
      </w:r>
      <w:r w:rsidRPr="00405CAA">
        <w:t xml:space="preserve">, like the modern award and National Employment Standards. </w:t>
      </w:r>
      <w:r w:rsidR="002111EB" w:rsidRPr="00405CAA">
        <w:t>It is nevertheless important to understand how the NDIA factors these into its pricing. The</w:t>
      </w:r>
      <w:r w:rsidRPr="00405CAA">
        <w:t xml:space="preserve"> NDIA also deploys t</w:t>
      </w:r>
      <w:r w:rsidR="0099634A" w:rsidRPr="00405CAA">
        <w:t xml:space="preserve">wo concepts </w:t>
      </w:r>
      <w:r w:rsidRPr="00405CAA">
        <w:t>in a manner that is important to understand</w:t>
      </w:r>
      <w:r w:rsidR="0099634A" w:rsidRPr="00405CAA">
        <w:t xml:space="preserve"> </w:t>
      </w:r>
      <w:r w:rsidRPr="00405CAA">
        <w:t>for disability providers undertaking</w:t>
      </w:r>
      <w:r w:rsidR="00F27A23" w:rsidRPr="00405CAA">
        <w:t xml:space="preserve"> w</w:t>
      </w:r>
      <w:r w:rsidR="003B014F" w:rsidRPr="00405CAA">
        <w:t>orkforce planning: ‘</w:t>
      </w:r>
      <w:r w:rsidR="00C653AC" w:rsidRPr="00405CAA">
        <w:t>client</w:t>
      </w:r>
      <w:r w:rsidR="00F27A23" w:rsidRPr="00405CAA">
        <w:t>-facing time</w:t>
      </w:r>
      <w:r w:rsidR="003B014F" w:rsidRPr="00405CAA">
        <w:t>’</w:t>
      </w:r>
      <w:r w:rsidR="00F27A23" w:rsidRPr="00405CAA">
        <w:t xml:space="preserve"> </w:t>
      </w:r>
      <w:r w:rsidR="00DE6FE5" w:rsidRPr="00405CAA">
        <w:t xml:space="preserve">ratio </w:t>
      </w:r>
      <w:r w:rsidR="003B014F" w:rsidRPr="00405CAA">
        <w:t>and ‘</w:t>
      </w:r>
      <w:r w:rsidR="00F27A23" w:rsidRPr="00405CAA">
        <w:t>supervision – span of control</w:t>
      </w:r>
      <w:r w:rsidR="003B014F" w:rsidRPr="00405CAA">
        <w:t>’</w:t>
      </w:r>
      <w:r w:rsidR="00DE6FE5" w:rsidRPr="00405CAA">
        <w:t xml:space="preserve"> ratio</w:t>
      </w:r>
      <w:r w:rsidR="00F27A23" w:rsidRPr="00405CAA">
        <w:t>.</w:t>
      </w:r>
    </w:p>
    <w:p w:rsidR="00F7300B" w:rsidRDefault="00F7300B">
      <w:pPr>
        <w:spacing w:after="0" w:line="240" w:lineRule="auto"/>
        <w:rPr>
          <w:b/>
        </w:rPr>
      </w:pPr>
      <w:r>
        <w:br w:type="page"/>
      </w:r>
    </w:p>
    <w:p w:rsidR="00DE6FE5" w:rsidRPr="008F0A13" w:rsidRDefault="00C653AC" w:rsidP="007D29DA">
      <w:pPr>
        <w:pStyle w:val="Heading3"/>
        <w:rPr>
          <w:color w:val="auto"/>
        </w:rPr>
      </w:pPr>
      <w:r w:rsidRPr="008F0A13">
        <w:rPr>
          <w:color w:val="auto"/>
        </w:rPr>
        <w:lastRenderedPageBreak/>
        <w:t>Client</w:t>
      </w:r>
      <w:r w:rsidR="00DE6FE5" w:rsidRPr="008F0A13">
        <w:rPr>
          <w:color w:val="auto"/>
        </w:rPr>
        <w:t>-facing time</w:t>
      </w:r>
    </w:p>
    <w:p w:rsidR="00EA1110" w:rsidRPr="00405CAA" w:rsidRDefault="00DE6FE5">
      <w:r w:rsidRPr="00405CAA">
        <w:t xml:space="preserve">The </w:t>
      </w:r>
      <w:r w:rsidR="00C653AC" w:rsidRPr="00405CAA">
        <w:t>client</w:t>
      </w:r>
      <w:r w:rsidRPr="00405CAA">
        <w:t xml:space="preserve">-facing time ratio is defined </w:t>
      </w:r>
      <w:r w:rsidR="00BB27BB" w:rsidRPr="00405CAA">
        <w:t>by the NDIA</w:t>
      </w:r>
      <w:r w:rsidR="00EF56DB" w:rsidRPr="00405CAA">
        <w:rPr>
          <w:rStyle w:val="FootnoteReference"/>
        </w:rPr>
        <w:footnoteReference w:id="3"/>
      </w:r>
      <w:r w:rsidR="00BB27BB" w:rsidRPr="00405CAA">
        <w:t xml:space="preserve"> </w:t>
      </w:r>
      <w:r w:rsidRPr="00405CAA">
        <w:t>as:</w:t>
      </w:r>
    </w:p>
    <w:p w:rsidR="00DE6FE5" w:rsidRPr="00405CAA" w:rsidRDefault="002B478E" w:rsidP="00F7300B">
      <w:r>
        <w:t xml:space="preserve">Client facing direct support time per unit of measure over total direct wage time to deliver the unit of measure </w:t>
      </w:r>
    </w:p>
    <w:p w:rsidR="0017125D" w:rsidRPr="00405CAA" w:rsidRDefault="00BB27BB" w:rsidP="001D2EA0">
      <w:pPr>
        <w:rPr>
          <w:b/>
        </w:rPr>
      </w:pPr>
      <w:r w:rsidRPr="00405CAA">
        <w:t xml:space="preserve">The </w:t>
      </w:r>
      <w:r w:rsidR="00FB20C9" w:rsidRPr="00405CAA">
        <w:t xml:space="preserve">assumed </w:t>
      </w:r>
      <w:r w:rsidR="002033F1" w:rsidRPr="00405CAA">
        <w:t>result</w:t>
      </w:r>
      <w:r w:rsidR="00DE6FE5" w:rsidRPr="00405CAA">
        <w:t xml:space="preserve"> is stated </w:t>
      </w:r>
      <w:r w:rsidR="00030E23" w:rsidRPr="00405CAA">
        <w:t xml:space="preserve">by the NDIA </w:t>
      </w:r>
      <w:r w:rsidR="002033F1" w:rsidRPr="00405CAA">
        <w:t>for assistance with personal care work at standard and</w:t>
      </w:r>
      <w:r w:rsidR="00CB238F" w:rsidRPr="00405CAA">
        <w:t xml:space="preserve"> high intensity (</w:t>
      </w:r>
      <w:r w:rsidR="002033F1" w:rsidRPr="00405CAA">
        <w:t xml:space="preserve">complex </w:t>
      </w:r>
      <w:r w:rsidR="00CB238F" w:rsidRPr="00405CAA">
        <w:t xml:space="preserve">support) </w:t>
      </w:r>
      <w:r w:rsidR="002033F1" w:rsidRPr="00405CAA">
        <w:t xml:space="preserve">rates </w:t>
      </w:r>
      <w:r w:rsidR="00DE6FE5" w:rsidRPr="00405CAA">
        <w:t xml:space="preserve">to be </w:t>
      </w:r>
      <w:r w:rsidR="002033F1" w:rsidRPr="00405CAA">
        <w:t xml:space="preserve">as </w:t>
      </w:r>
      <w:r w:rsidR="001F2BEF" w:rsidRPr="00405CAA">
        <w:t xml:space="preserve">per </w:t>
      </w:r>
      <w:r w:rsidR="00314A0C" w:rsidRPr="00405CAA">
        <w:t>Table 4</w:t>
      </w:r>
      <w:r w:rsidR="00CB238F" w:rsidRPr="00405CAA">
        <w:t>. Note that the NDIA for</w:t>
      </w:r>
      <w:r w:rsidR="00490D96" w:rsidRPr="00405CAA">
        <w:t>e</w:t>
      </w:r>
      <w:r w:rsidR="00CB238F" w:rsidRPr="00405CAA">
        <w:t xml:space="preserve">sees that the current ‘transitional’ period of pricing will eventually be replaced </w:t>
      </w:r>
      <w:r w:rsidR="00314A0C" w:rsidRPr="00405CAA">
        <w:t xml:space="preserve">by </w:t>
      </w:r>
      <w:r w:rsidR="00C15A8B" w:rsidRPr="00405CAA">
        <w:t>an</w:t>
      </w:r>
      <w:r w:rsidR="00DA24B7" w:rsidRPr="00405CAA">
        <w:t xml:space="preserve"> ‘efficient’ model</w:t>
      </w:r>
      <w:r w:rsidR="00925A54" w:rsidRPr="00405CAA">
        <w:rPr>
          <w:rStyle w:val="FootnoteReference"/>
        </w:rPr>
        <w:footnoteReference w:id="4"/>
      </w:r>
      <w:r w:rsidR="00C15A8B" w:rsidRPr="00405CAA">
        <w:t>.</w:t>
      </w:r>
      <w:bookmarkStart w:id="10" w:name="_Ref482878126"/>
    </w:p>
    <w:p w:rsidR="00C15A8B" w:rsidRPr="00405CAA" w:rsidRDefault="00C15A8B" w:rsidP="00C15A8B">
      <w:pPr>
        <w:rPr>
          <w:b/>
        </w:rPr>
      </w:pPr>
      <w:r w:rsidRPr="00405CAA">
        <w:rPr>
          <w:b/>
        </w:rPr>
        <w:t xml:space="preserve">Table </w:t>
      </w:r>
      <w:r w:rsidR="00314A0C" w:rsidRPr="00405CAA">
        <w:rPr>
          <w:b/>
        </w:rPr>
        <w:t>4</w:t>
      </w:r>
      <w:bookmarkEnd w:id="10"/>
      <w:r w:rsidRPr="00405CAA">
        <w:rPr>
          <w:b/>
        </w:rPr>
        <w:t>: Extracts from NDIA's 'Transitional cost model' and 'Efficient cost model'</w:t>
      </w:r>
      <w:r w:rsidRPr="00405CAA">
        <w:rPr>
          <w:rStyle w:val="FootnoteReference"/>
          <w:b/>
        </w:rPr>
        <w:footnoteReference w:id="5"/>
      </w:r>
    </w:p>
    <w:tbl>
      <w:tblPr>
        <w:tblStyle w:val="TableGrid"/>
        <w:tblW w:w="0" w:type="auto"/>
        <w:tblLook w:val="04A0" w:firstRow="1" w:lastRow="0" w:firstColumn="1" w:lastColumn="0" w:noHBand="0" w:noVBand="1"/>
        <w:tblCaption w:val="Table 4: Extracts from NDIA's 'Transitional cost model' and 'Efficient cost model'"/>
        <w:tblDescription w:val="Drivers: Client-facing time incl. leave, Transitional cost model Standard: 85% , High Intensity 80%. Efficient cost model: Standard: 85% and high intensity: 80%. Drivers:Client-facing time excl. leave, Standard: 95% and high intensity: 90%. Efficient cost model standard: 95% and High intensity: 90% "/>
      </w:tblPr>
      <w:tblGrid>
        <w:gridCol w:w="3361"/>
        <w:gridCol w:w="1566"/>
        <w:gridCol w:w="1564"/>
        <w:gridCol w:w="1567"/>
        <w:gridCol w:w="1569"/>
      </w:tblGrid>
      <w:tr w:rsidR="00C15A8B" w:rsidRPr="00405CAA" w:rsidTr="00D710C4">
        <w:trPr>
          <w:tblHeader/>
        </w:trPr>
        <w:tc>
          <w:tcPr>
            <w:tcW w:w="3505" w:type="dxa"/>
            <w:tcBorders>
              <w:top w:val="nil"/>
              <w:left w:val="nil"/>
              <w:bottom w:val="single" w:sz="4" w:space="0" w:color="auto"/>
            </w:tcBorders>
            <w:shd w:val="clear" w:color="auto" w:fill="auto"/>
          </w:tcPr>
          <w:p w:rsidR="002033F1" w:rsidRPr="00405CAA" w:rsidRDefault="002033F1" w:rsidP="006972FF">
            <w:pPr>
              <w:spacing w:before="120" w:after="120"/>
            </w:pPr>
          </w:p>
        </w:tc>
        <w:tc>
          <w:tcPr>
            <w:tcW w:w="3171" w:type="dxa"/>
            <w:gridSpan w:val="2"/>
            <w:tcBorders>
              <w:bottom w:val="single" w:sz="4" w:space="0" w:color="auto"/>
            </w:tcBorders>
            <w:shd w:val="clear" w:color="auto" w:fill="auto"/>
            <w:vAlign w:val="center"/>
          </w:tcPr>
          <w:p w:rsidR="002033F1" w:rsidRPr="00405CAA" w:rsidRDefault="002033F1" w:rsidP="006972FF">
            <w:pPr>
              <w:spacing w:before="120" w:after="120"/>
              <w:jc w:val="center"/>
              <w:rPr>
                <w:b/>
              </w:rPr>
            </w:pPr>
            <w:r w:rsidRPr="00405CAA">
              <w:rPr>
                <w:b/>
              </w:rPr>
              <w:t>Transitional</w:t>
            </w:r>
            <w:r w:rsidR="00C15A8B" w:rsidRPr="00405CAA">
              <w:rPr>
                <w:b/>
              </w:rPr>
              <w:t xml:space="preserve"> cost model</w:t>
            </w:r>
          </w:p>
        </w:tc>
        <w:tc>
          <w:tcPr>
            <w:tcW w:w="3172" w:type="dxa"/>
            <w:gridSpan w:val="2"/>
            <w:tcBorders>
              <w:bottom w:val="single" w:sz="4" w:space="0" w:color="auto"/>
            </w:tcBorders>
            <w:shd w:val="clear" w:color="auto" w:fill="auto"/>
            <w:vAlign w:val="center"/>
          </w:tcPr>
          <w:p w:rsidR="002033F1" w:rsidRPr="00405CAA" w:rsidRDefault="002033F1" w:rsidP="006972FF">
            <w:pPr>
              <w:spacing w:before="120" w:after="120"/>
              <w:jc w:val="center"/>
              <w:rPr>
                <w:b/>
              </w:rPr>
            </w:pPr>
            <w:r w:rsidRPr="00405CAA">
              <w:rPr>
                <w:b/>
              </w:rPr>
              <w:t>Efficient</w:t>
            </w:r>
            <w:r w:rsidR="00C15A8B" w:rsidRPr="00405CAA">
              <w:rPr>
                <w:b/>
              </w:rPr>
              <w:t xml:space="preserve"> cost model</w:t>
            </w:r>
          </w:p>
        </w:tc>
      </w:tr>
      <w:tr w:rsidR="00C15A8B" w:rsidRPr="00405CAA" w:rsidTr="00DD280B">
        <w:tc>
          <w:tcPr>
            <w:tcW w:w="3505" w:type="dxa"/>
            <w:shd w:val="clear" w:color="auto" w:fill="auto"/>
            <w:vAlign w:val="bottom"/>
          </w:tcPr>
          <w:p w:rsidR="002033F1" w:rsidRPr="00405CAA" w:rsidRDefault="00C15A8B" w:rsidP="005228AB">
            <w:pPr>
              <w:spacing w:before="60" w:after="60"/>
              <w:rPr>
                <w:b/>
              </w:rPr>
            </w:pPr>
            <w:r w:rsidRPr="00405CAA">
              <w:rPr>
                <w:b/>
              </w:rPr>
              <w:t>Drivers</w:t>
            </w:r>
          </w:p>
        </w:tc>
        <w:tc>
          <w:tcPr>
            <w:tcW w:w="1585" w:type="dxa"/>
            <w:shd w:val="clear" w:color="auto" w:fill="auto"/>
            <w:vAlign w:val="bottom"/>
          </w:tcPr>
          <w:p w:rsidR="002033F1" w:rsidRPr="00405CAA" w:rsidRDefault="002033F1" w:rsidP="005228AB">
            <w:pPr>
              <w:spacing w:before="60" w:after="60"/>
              <w:jc w:val="center"/>
              <w:rPr>
                <w:b/>
              </w:rPr>
            </w:pPr>
            <w:r w:rsidRPr="00405CAA">
              <w:rPr>
                <w:b/>
              </w:rPr>
              <w:t>Standard</w:t>
            </w:r>
          </w:p>
        </w:tc>
        <w:tc>
          <w:tcPr>
            <w:tcW w:w="1586" w:type="dxa"/>
            <w:shd w:val="clear" w:color="auto" w:fill="auto"/>
            <w:vAlign w:val="bottom"/>
          </w:tcPr>
          <w:p w:rsidR="002033F1" w:rsidRPr="00405CAA" w:rsidRDefault="002033F1" w:rsidP="005228AB">
            <w:pPr>
              <w:spacing w:before="60" w:after="60"/>
              <w:jc w:val="center"/>
              <w:rPr>
                <w:b/>
              </w:rPr>
            </w:pPr>
            <w:r w:rsidRPr="00405CAA">
              <w:rPr>
                <w:b/>
              </w:rPr>
              <w:t>High intensity</w:t>
            </w:r>
          </w:p>
        </w:tc>
        <w:tc>
          <w:tcPr>
            <w:tcW w:w="1586" w:type="dxa"/>
            <w:shd w:val="clear" w:color="auto" w:fill="auto"/>
            <w:vAlign w:val="bottom"/>
          </w:tcPr>
          <w:p w:rsidR="002033F1" w:rsidRPr="00405CAA" w:rsidRDefault="002033F1" w:rsidP="005228AB">
            <w:pPr>
              <w:spacing w:before="60" w:after="60"/>
              <w:jc w:val="center"/>
              <w:rPr>
                <w:b/>
              </w:rPr>
            </w:pPr>
            <w:r w:rsidRPr="00405CAA">
              <w:rPr>
                <w:b/>
              </w:rPr>
              <w:t>Standard</w:t>
            </w:r>
          </w:p>
        </w:tc>
        <w:tc>
          <w:tcPr>
            <w:tcW w:w="1586" w:type="dxa"/>
            <w:shd w:val="clear" w:color="auto" w:fill="auto"/>
            <w:vAlign w:val="bottom"/>
          </w:tcPr>
          <w:p w:rsidR="002033F1" w:rsidRPr="00405CAA" w:rsidRDefault="002033F1" w:rsidP="005228AB">
            <w:pPr>
              <w:spacing w:before="60" w:after="60"/>
              <w:jc w:val="center"/>
              <w:rPr>
                <w:b/>
              </w:rPr>
            </w:pPr>
            <w:r w:rsidRPr="00405CAA">
              <w:rPr>
                <w:b/>
              </w:rPr>
              <w:t>High intensity</w:t>
            </w:r>
            <w:r w:rsidR="002F7D4C" w:rsidRPr="00405CAA">
              <w:rPr>
                <w:rStyle w:val="FootnoteReference"/>
                <w:b/>
              </w:rPr>
              <w:footnoteReference w:id="6"/>
            </w:r>
          </w:p>
        </w:tc>
      </w:tr>
      <w:tr w:rsidR="00C15A8B" w:rsidRPr="00405CAA" w:rsidTr="00DD280B">
        <w:tc>
          <w:tcPr>
            <w:tcW w:w="3505" w:type="dxa"/>
          </w:tcPr>
          <w:p w:rsidR="00DA24B7" w:rsidRPr="00405CAA" w:rsidRDefault="00DA24B7" w:rsidP="006972FF">
            <w:pPr>
              <w:spacing w:before="120" w:after="120"/>
            </w:pPr>
            <w:r w:rsidRPr="00405CAA">
              <w:t>Client-facing time incl</w:t>
            </w:r>
            <w:r w:rsidR="00C15A8B" w:rsidRPr="00405CAA">
              <w:t>.</w:t>
            </w:r>
            <w:r w:rsidRPr="00405CAA">
              <w:t xml:space="preserve"> leave</w:t>
            </w:r>
          </w:p>
        </w:tc>
        <w:tc>
          <w:tcPr>
            <w:tcW w:w="1585" w:type="dxa"/>
            <w:shd w:val="clear" w:color="auto" w:fill="auto"/>
          </w:tcPr>
          <w:p w:rsidR="00DA24B7" w:rsidRPr="00405CAA" w:rsidRDefault="00DA24B7" w:rsidP="006972FF">
            <w:pPr>
              <w:spacing w:before="120" w:after="120"/>
              <w:jc w:val="center"/>
            </w:pPr>
            <w:r w:rsidRPr="00405CAA">
              <w:t>85</w:t>
            </w:r>
            <w:r w:rsidR="00C15A8B" w:rsidRPr="00405CAA">
              <w:t>%</w:t>
            </w:r>
          </w:p>
        </w:tc>
        <w:tc>
          <w:tcPr>
            <w:tcW w:w="1586" w:type="dxa"/>
            <w:shd w:val="clear" w:color="auto" w:fill="auto"/>
          </w:tcPr>
          <w:p w:rsidR="00DA24B7" w:rsidRPr="00405CAA" w:rsidRDefault="00DA24B7" w:rsidP="006972FF">
            <w:pPr>
              <w:spacing w:before="120" w:after="120"/>
              <w:jc w:val="center"/>
            </w:pPr>
            <w:r w:rsidRPr="00405CAA">
              <w:t>80</w:t>
            </w:r>
            <w:r w:rsidR="00C15A8B" w:rsidRPr="00405CAA">
              <w:t>%</w:t>
            </w:r>
          </w:p>
        </w:tc>
        <w:tc>
          <w:tcPr>
            <w:tcW w:w="1586" w:type="dxa"/>
            <w:shd w:val="clear" w:color="auto" w:fill="auto"/>
          </w:tcPr>
          <w:p w:rsidR="00DA24B7" w:rsidRPr="00405CAA" w:rsidRDefault="00DA24B7" w:rsidP="006972FF">
            <w:pPr>
              <w:spacing w:before="120" w:after="120"/>
              <w:jc w:val="center"/>
            </w:pPr>
            <w:r w:rsidRPr="00405CAA">
              <w:t>85</w:t>
            </w:r>
            <w:r w:rsidR="00C15A8B" w:rsidRPr="00405CAA">
              <w:t>%</w:t>
            </w:r>
          </w:p>
        </w:tc>
        <w:tc>
          <w:tcPr>
            <w:tcW w:w="1586" w:type="dxa"/>
            <w:shd w:val="clear" w:color="auto" w:fill="auto"/>
          </w:tcPr>
          <w:p w:rsidR="00DA24B7" w:rsidRPr="00405CAA" w:rsidRDefault="00490D96" w:rsidP="006972FF">
            <w:pPr>
              <w:spacing w:before="120" w:after="120"/>
              <w:jc w:val="center"/>
            </w:pPr>
            <w:r w:rsidRPr="00405CAA">
              <w:t>8</w:t>
            </w:r>
            <w:r w:rsidR="00DA24B7" w:rsidRPr="00405CAA">
              <w:t>0</w:t>
            </w:r>
            <w:r w:rsidR="00C15A8B" w:rsidRPr="00405CAA">
              <w:t>%</w:t>
            </w:r>
          </w:p>
        </w:tc>
      </w:tr>
      <w:tr w:rsidR="00C15A8B" w:rsidRPr="00405CAA" w:rsidTr="00DD280B">
        <w:tc>
          <w:tcPr>
            <w:tcW w:w="3505" w:type="dxa"/>
          </w:tcPr>
          <w:p w:rsidR="00DA24B7" w:rsidRPr="00405CAA" w:rsidRDefault="00DA24B7" w:rsidP="006972FF">
            <w:pPr>
              <w:spacing w:before="120" w:after="120"/>
            </w:pPr>
            <w:r w:rsidRPr="00405CAA">
              <w:t>Client-facing time excl</w:t>
            </w:r>
            <w:r w:rsidR="00C15A8B" w:rsidRPr="00405CAA">
              <w:t>.</w:t>
            </w:r>
            <w:r w:rsidRPr="00405CAA">
              <w:t xml:space="preserve"> leave</w:t>
            </w:r>
          </w:p>
        </w:tc>
        <w:tc>
          <w:tcPr>
            <w:tcW w:w="1585" w:type="dxa"/>
            <w:shd w:val="clear" w:color="auto" w:fill="auto"/>
          </w:tcPr>
          <w:p w:rsidR="00DA24B7" w:rsidRPr="00405CAA" w:rsidRDefault="00DA24B7" w:rsidP="006972FF">
            <w:pPr>
              <w:spacing w:before="120" w:after="120"/>
              <w:jc w:val="center"/>
            </w:pPr>
            <w:r w:rsidRPr="00405CAA">
              <w:t>95</w:t>
            </w:r>
            <w:r w:rsidR="00C15A8B" w:rsidRPr="00405CAA">
              <w:t>%</w:t>
            </w:r>
          </w:p>
        </w:tc>
        <w:tc>
          <w:tcPr>
            <w:tcW w:w="1586" w:type="dxa"/>
            <w:shd w:val="clear" w:color="auto" w:fill="auto"/>
          </w:tcPr>
          <w:p w:rsidR="00DA24B7" w:rsidRPr="00405CAA" w:rsidRDefault="00DA24B7" w:rsidP="006972FF">
            <w:pPr>
              <w:spacing w:before="120" w:after="120"/>
              <w:jc w:val="center"/>
            </w:pPr>
            <w:r w:rsidRPr="00405CAA">
              <w:t>90</w:t>
            </w:r>
            <w:r w:rsidR="00C15A8B" w:rsidRPr="00405CAA">
              <w:t>%</w:t>
            </w:r>
          </w:p>
        </w:tc>
        <w:tc>
          <w:tcPr>
            <w:tcW w:w="1586" w:type="dxa"/>
            <w:shd w:val="clear" w:color="auto" w:fill="auto"/>
          </w:tcPr>
          <w:p w:rsidR="00DA24B7" w:rsidRPr="00405CAA" w:rsidRDefault="00DA24B7" w:rsidP="006972FF">
            <w:pPr>
              <w:spacing w:before="120" w:after="120"/>
              <w:jc w:val="center"/>
            </w:pPr>
            <w:r w:rsidRPr="00405CAA">
              <w:t>95</w:t>
            </w:r>
            <w:r w:rsidR="00C15A8B" w:rsidRPr="00405CAA">
              <w:t>%</w:t>
            </w:r>
          </w:p>
        </w:tc>
        <w:tc>
          <w:tcPr>
            <w:tcW w:w="1586" w:type="dxa"/>
            <w:shd w:val="clear" w:color="auto" w:fill="auto"/>
          </w:tcPr>
          <w:p w:rsidR="00DA24B7" w:rsidRPr="00405CAA" w:rsidRDefault="00490D96" w:rsidP="006972FF">
            <w:pPr>
              <w:spacing w:before="120" w:after="120"/>
              <w:jc w:val="center"/>
            </w:pPr>
            <w:r w:rsidRPr="00405CAA">
              <w:t>9</w:t>
            </w:r>
            <w:r w:rsidR="00DA24B7" w:rsidRPr="00405CAA">
              <w:t>0</w:t>
            </w:r>
            <w:r w:rsidR="00C15A8B" w:rsidRPr="00405CAA">
              <w:t>%</w:t>
            </w:r>
          </w:p>
        </w:tc>
      </w:tr>
    </w:tbl>
    <w:p w:rsidR="00C35E4B" w:rsidRPr="00405CAA" w:rsidRDefault="00E63863" w:rsidP="00C15A8B">
      <w:r w:rsidRPr="00405CAA">
        <w:br/>
      </w:r>
      <w:r w:rsidR="00C15A8B" w:rsidRPr="00405CAA">
        <w:t>The NDIA does not define what it regards as ‘</w:t>
      </w:r>
      <w:r w:rsidR="00CC1020" w:rsidRPr="00405CAA">
        <w:t>client-facing</w:t>
      </w:r>
      <w:r w:rsidR="00C15A8B" w:rsidRPr="00405CAA">
        <w:t>’</w:t>
      </w:r>
      <w:r w:rsidR="00F67C1C" w:rsidRPr="00405CAA">
        <w:t>. H</w:t>
      </w:r>
      <w:r w:rsidR="00C15A8B" w:rsidRPr="00405CAA">
        <w:t>owever</w:t>
      </w:r>
      <w:r w:rsidR="00F67C1C" w:rsidRPr="00405CAA">
        <w:t>,</w:t>
      </w:r>
      <w:r w:rsidR="00C15A8B" w:rsidRPr="00405CAA">
        <w:t xml:space="preserve"> a reasonable assumption would be </w:t>
      </w:r>
      <w:r w:rsidR="00AB63DF" w:rsidRPr="00405CAA">
        <w:t xml:space="preserve">that </w:t>
      </w:r>
      <w:r w:rsidR="00421F2A" w:rsidRPr="00405CAA">
        <w:t>it is</w:t>
      </w:r>
      <w:r w:rsidR="00AB63DF" w:rsidRPr="00405CAA">
        <w:t xml:space="preserve"> trying to distinguish between time spent delivering services and time spent undertaking other duties.</w:t>
      </w:r>
    </w:p>
    <w:p w:rsidR="00E63863" w:rsidRPr="00405CAA" w:rsidRDefault="000B6F73">
      <w:r w:rsidRPr="00405CAA">
        <w:t xml:space="preserve">In this </w:t>
      </w:r>
      <w:r w:rsidR="00421F2A" w:rsidRPr="00405CAA">
        <w:t>G</w:t>
      </w:r>
      <w:r w:rsidR="00DF246A" w:rsidRPr="00405CAA">
        <w:t>uide</w:t>
      </w:r>
      <w:r w:rsidR="00C35E4B" w:rsidRPr="00405CAA">
        <w:t xml:space="preserve">, </w:t>
      </w:r>
      <w:r w:rsidR="00151B29" w:rsidRPr="00405CAA">
        <w:t xml:space="preserve">the term </w:t>
      </w:r>
      <w:r w:rsidR="00AB63DF" w:rsidRPr="00405CAA">
        <w:t>‘client-facing time’ is used more narrowly to describe the time spent literally face-to-face with the client, so th</w:t>
      </w:r>
      <w:r w:rsidR="00CC1020" w:rsidRPr="00405CAA">
        <w:t xml:space="preserve">is guide’s </w:t>
      </w:r>
      <w:r w:rsidR="00AB63DF" w:rsidRPr="00405CAA">
        <w:t xml:space="preserve">equivalent term </w:t>
      </w:r>
      <w:r w:rsidR="00CC1020" w:rsidRPr="00405CAA">
        <w:t>for ‘client-facing time’</w:t>
      </w:r>
      <w:r w:rsidR="00873706" w:rsidRPr="00405CAA">
        <w:t xml:space="preserve"> as described by the NDIA</w:t>
      </w:r>
      <w:r w:rsidR="00CC1020" w:rsidRPr="00405CAA">
        <w:t xml:space="preserve"> </w:t>
      </w:r>
      <w:r w:rsidR="00AB63DF" w:rsidRPr="00405CAA">
        <w:t xml:space="preserve">is </w:t>
      </w:r>
      <w:r w:rsidR="00151B29" w:rsidRPr="00405CAA">
        <w:t>‘</w:t>
      </w:r>
      <w:r w:rsidR="00AB63DF" w:rsidRPr="00405CAA">
        <w:t>productive time</w:t>
      </w:r>
      <w:r w:rsidR="00151B29" w:rsidRPr="00405CAA">
        <w:t>’</w:t>
      </w:r>
      <w:r w:rsidR="00AB63DF" w:rsidRPr="00405CAA">
        <w:t xml:space="preserve">: all the available time spent delivering services (therefore, the sum of ‘client-facing time’ and ‘associated service time’).  </w:t>
      </w:r>
      <w:r w:rsidR="00376FC7" w:rsidRPr="00405CAA">
        <w:t xml:space="preserve">As noted earlier, the NDIA assumption is that productive time is entirely billable. </w:t>
      </w:r>
    </w:p>
    <w:p w:rsidR="00AB63DF" w:rsidRPr="00405CAA" w:rsidRDefault="00E63863">
      <w:r w:rsidRPr="00405CAA">
        <w:t xml:space="preserve">Note that the NDIA data presented in </w:t>
      </w:r>
      <w:r w:rsidR="00314A0C" w:rsidRPr="00405CAA">
        <w:t>Table 4</w:t>
      </w:r>
      <w:r w:rsidRPr="00405CAA">
        <w:t xml:space="preserve"> comes in two variants</w:t>
      </w:r>
      <w:r w:rsidR="00EF56DB" w:rsidRPr="00405CAA">
        <w:t xml:space="preserve">, </w:t>
      </w:r>
      <w:r w:rsidRPr="00405CAA">
        <w:t>with the difference being whether the denominator ‘Total direct wage time to deliver the unit of measure’ includes or excludes leave. The ‘incl. leave’ variant corresponds to this guide’s ‘paid time’ while the ‘excl. leave’ variant corresponds to this guide’s ‘available time’.</w:t>
      </w:r>
    </w:p>
    <w:p w:rsidR="0009514F" w:rsidRPr="00405CAA" w:rsidRDefault="00EF56DB">
      <w:r w:rsidRPr="00405CAA">
        <w:lastRenderedPageBreak/>
        <w:t>Following the mapping of terms just described, th</w:t>
      </w:r>
      <w:r w:rsidR="00E63863" w:rsidRPr="00405CAA">
        <w:t>e</w:t>
      </w:r>
      <w:r w:rsidR="00F276EE" w:rsidRPr="00405CAA">
        <w:t xml:space="preserve"> equivalent in this guide to the</w:t>
      </w:r>
      <w:r w:rsidR="00E63863" w:rsidRPr="00405CAA">
        <w:t xml:space="preserve"> NDIA ‘client facing time ratio’ </w:t>
      </w:r>
      <w:r w:rsidR="00F276EE" w:rsidRPr="00405CAA">
        <w:t xml:space="preserve">is the ‘productivity’ ratio. </w:t>
      </w:r>
      <w:r w:rsidR="00E63863" w:rsidRPr="00405CAA">
        <w:t>This guide does</w:t>
      </w:r>
      <w:r w:rsidR="00F61A67" w:rsidRPr="00405CAA">
        <w:t xml:space="preserve"> not provide a</w:t>
      </w:r>
      <w:r w:rsidR="00F51955" w:rsidRPr="00405CAA">
        <w:t xml:space="preserve"> prescription for what the </w:t>
      </w:r>
      <w:r w:rsidR="00F276EE" w:rsidRPr="00405CAA">
        <w:t xml:space="preserve">productivity </w:t>
      </w:r>
      <w:r w:rsidR="00F51955" w:rsidRPr="00405CAA">
        <w:t xml:space="preserve">ratio </w:t>
      </w:r>
      <w:r w:rsidR="00F276EE" w:rsidRPr="00405CAA">
        <w:t xml:space="preserve">could or </w:t>
      </w:r>
      <w:r w:rsidR="00F51955" w:rsidRPr="00405CAA">
        <w:t>should be</w:t>
      </w:r>
      <w:r w:rsidR="00314A0C" w:rsidRPr="00405CAA">
        <w:t>—</w:t>
      </w:r>
      <w:r w:rsidR="00F51955" w:rsidRPr="00405CAA">
        <w:t xml:space="preserve">that will differ from service to service and </w:t>
      </w:r>
      <w:r w:rsidR="00F276EE" w:rsidRPr="00405CAA">
        <w:t xml:space="preserve">from </w:t>
      </w:r>
      <w:r w:rsidR="00C653AC" w:rsidRPr="00405CAA">
        <w:t>organisation</w:t>
      </w:r>
      <w:r w:rsidR="00F51955" w:rsidRPr="00405CAA">
        <w:t xml:space="preserve"> to </w:t>
      </w:r>
      <w:r w:rsidR="00C653AC" w:rsidRPr="00405CAA">
        <w:t>organisation</w:t>
      </w:r>
      <w:r w:rsidR="000B6F73" w:rsidRPr="00405CAA">
        <w:t xml:space="preserve">. </w:t>
      </w:r>
      <w:r w:rsidR="00F61A67" w:rsidRPr="00405CAA">
        <w:t>However, as stated above, you should consider the NDI</w:t>
      </w:r>
      <w:r w:rsidR="001B445F" w:rsidRPr="00405CAA">
        <w:t>A</w:t>
      </w:r>
      <w:r w:rsidR="00F61A67" w:rsidRPr="00405CAA">
        <w:t xml:space="preserve"> </w:t>
      </w:r>
      <w:r w:rsidR="00494978" w:rsidRPr="00405CAA">
        <w:t xml:space="preserve">assumptions </w:t>
      </w:r>
      <w:r w:rsidR="00F61A67" w:rsidRPr="00405CAA">
        <w:t xml:space="preserve">when </w:t>
      </w:r>
      <w:r w:rsidR="00F276EE" w:rsidRPr="00405CAA">
        <w:t xml:space="preserve">making your productivity settings and </w:t>
      </w:r>
      <w:r w:rsidR="00F61A67" w:rsidRPr="00405CAA">
        <w:t xml:space="preserve">developing a </w:t>
      </w:r>
      <w:r w:rsidR="00F276EE" w:rsidRPr="00405CAA">
        <w:t xml:space="preserve">service price that will be compared to </w:t>
      </w:r>
      <w:r w:rsidR="00F61A67" w:rsidRPr="00405CAA">
        <w:t xml:space="preserve">the </w:t>
      </w:r>
      <w:r w:rsidR="00F276EE" w:rsidRPr="00405CAA">
        <w:t>R</w:t>
      </w:r>
      <w:r w:rsidR="00F61A67" w:rsidRPr="00405CAA">
        <w:t>easonable Cost Model.</w:t>
      </w:r>
      <w:r w:rsidR="00EA1110" w:rsidRPr="00405CAA">
        <w:t xml:space="preserve"> </w:t>
      </w:r>
      <w:r w:rsidR="005C57BD" w:rsidRPr="00405CAA">
        <w:t>This will allow you to identify key differences between your costs and the NDI</w:t>
      </w:r>
      <w:r w:rsidR="000B6F73" w:rsidRPr="00405CAA">
        <w:t>A</w:t>
      </w:r>
      <w:r w:rsidR="005C57BD" w:rsidRPr="00405CAA">
        <w:t>’</w:t>
      </w:r>
      <w:r w:rsidR="00F276EE" w:rsidRPr="00405CAA">
        <w:t>s</w:t>
      </w:r>
      <w:r w:rsidR="005C57BD" w:rsidRPr="00405CAA">
        <w:t xml:space="preserve"> expectations of cost so that your </w:t>
      </w:r>
      <w:r w:rsidR="00C653AC" w:rsidRPr="00405CAA">
        <w:t>organisation</w:t>
      </w:r>
      <w:r w:rsidR="005C57BD" w:rsidRPr="00405CAA">
        <w:t xml:space="preserve"> can strategise with respect to closing the gap.</w:t>
      </w:r>
    </w:p>
    <w:p w:rsidR="0009514F" w:rsidRPr="00405CAA" w:rsidRDefault="0009514F">
      <w:r w:rsidRPr="00405CAA">
        <w:t>For example, in the example calculation given above, the FTE billable time comes to 1,</w:t>
      </w:r>
      <w:r w:rsidR="00F7300B">
        <w:t>384</w:t>
      </w:r>
      <w:r w:rsidRPr="00405CAA">
        <w:t xml:space="preserve"> hours or </w:t>
      </w:r>
      <w:r w:rsidR="00F7300B">
        <w:t>70</w:t>
      </w:r>
      <w:r w:rsidRPr="00405CAA">
        <w:t xml:space="preserve"> per cent of paid time, which is much lower than the NDIA </w:t>
      </w:r>
      <w:r w:rsidR="003E05D3" w:rsidRPr="00405CAA">
        <w:t>assumption of 85 per cent. Strategies to address this could include reducing some of the non-billable costs identified during the estimation process</w:t>
      </w:r>
      <w:r w:rsidR="009168D9" w:rsidRPr="00405CAA">
        <w:t>,</w:t>
      </w:r>
      <w:r w:rsidR="003E05D3" w:rsidRPr="00405CAA">
        <w:t xml:space="preserve"> or reducing other costs (</w:t>
      </w:r>
      <w:r w:rsidR="009168D9" w:rsidRPr="00405CAA">
        <w:t>e.g.</w:t>
      </w:r>
      <w:r w:rsidR="003E05D3" w:rsidRPr="00405CAA">
        <w:t xml:space="preserve"> overheads) to below the NDIA’s assumptions to compensate.</w:t>
      </w:r>
    </w:p>
    <w:p w:rsidR="00DE6FE5" w:rsidRPr="003F50B2" w:rsidRDefault="00DE6FE5" w:rsidP="007D29DA">
      <w:pPr>
        <w:pStyle w:val="Heading3"/>
        <w:rPr>
          <w:color w:val="auto"/>
        </w:rPr>
      </w:pPr>
      <w:r w:rsidRPr="003F50B2">
        <w:rPr>
          <w:color w:val="auto"/>
        </w:rPr>
        <w:t>Supervision</w:t>
      </w:r>
    </w:p>
    <w:p w:rsidR="00EA1110" w:rsidRPr="00405CAA" w:rsidRDefault="00DE6FE5">
      <w:r w:rsidRPr="00405CAA">
        <w:t xml:space="preserve">The </w:t>
      </w:r>
      <w:r w:rsidR="005C4984" w:rsidRPr="00405CAA">
        <w:t xml:space="preserve">supervisor </w:t>
      </w:r>
      <w:r w:rsidR="003F070A" w:rsidRPr="00405CAA">
        <w:t>span of control</w:t>
      </w:r>
      <w:r w:rsidRPr="00405CAA">
        <w:t xml:space="preserve"> ratio is defined </w:t>
      </w:r>
      <w:r w:rsidR="00BB27BB" w:rsidRPr="00405CAA">
        <w:t>by the NDIA</w:t>
      </w:r>
      <w:r w:rsidR="0083495A" w:rsidRPr="00405CAA">
        <w:rPr>
          <w:rStyle w:val="FootnoteReference"/>
        </w:rPr>
        <w:footnoteReference w:id="7"/>
      </w:r>
      <w:r w:rsidR="00BB27BB" w:rsidRPr="00405CAA">
        <w:t xml:space="preserve"> </w:t>
      </w:r>
      <w:r w:rsidRPr="00405CAA">
        <w:t>as:</w:t>
      </w:r>
      <w:r w:rsidR="003F50B2">
        <w:br/>
      </w:r>
      <w:r w:rsidR="003F50B2">
        <w:br/>
        <w:t xml:space="preserve">Number of client support hours supervised over Number of waged program management and administration hours </w:t>
      </w:r>
    </w:p>
    <w:p w:rsidR="000A71F2" w:rsidRPr="00405CAA" w:rsidRDefault="00BB27BB">
      <w:r w:rsidRPr="00405CAA">
        <w:t xml:space="preserve">The </w:t>
      </w:r>
      <w:r w:rsidR="009705C4" w:rsidRPr="00405CAA">
        <w:t xml:space="preserve">transitional </w:t>
      </w:r>
      <w:r w:rsidRPr="00405CAA">
        <w:t>‘</w:t>
      </w:r>
      <w:r w:rsidR="00054A7B" w:rsidRPr="00405CAA">
        <w:t>e</w:t>
      </w:r>
      <w:r w:rsidR="003F070A" w:rsidRPr="00405CAA">
        <w:t>fficient result</w:t>
      </w:r>
      <w:r w:rsidRPr="00405CAA">
        <w:t>’</w:t>
      </w:r>
      <w:r w:rsidR="003F070A" w:rsidRPr="00405CAA">
        <w:t xml:space="preserve"> is stated</w:t>
      </w:r>
      <w:r w:rsidR="007D6850" w:rsidRPr="00405CAA">
        <w:t xml:space="preserve"> by the NDIA</w:t>
      </w:r>
      <w:r w:rsidR="003F070A" w:rsidRPr="00405CAA">
        <w:t xml:space="preserve"> to be </w:t>
      </w:r>
      <w:r w:rsidR="000A71F2" w:rsidRPr="00405CAA">
        <w:t>1:15</w:t>
      </w:r>
      <w:r w:rsidR="00EA7BB4" w:rsidRPr="00405CAA">
        <w:t xml:space="preserve"> FTE</w:t>
      </w:r>
      <w:r w:rsidR="009705C4" w:rsidRPr="00405CAA">
        <w:t>, with this result expected to rise to 1:18</w:t>
      </w:r>
      <w:r w:rsidR="00EA7BB4" w:rsidRPr="00405CAA">
        <w:t xml:space="preserve"> FTE</w:t>
      </w:r>
      <w:r w:rsidR="009705C4" w:rsidRPr="00405CAA">
        <w:t xml:space="preserve"> beyond the transitional period.</w:t>
      </w:r>
      <w:r w:rsidR="001B445F" w:rsidRPr="00405CAA">
        <w:rPr>
          <w:rStyle w:val="FootnoteReference"/>
        </w:rPr>
        <w:footnoteReference w:id="8"/>
      </w:r>
    </w:p>
    <w:p w:rsidR="00054A7B" w:rsidRPr="00405CAA" w:rsidRDefault="00054A7B">
      <w:pPr>
        <w:pStyle w:val="Normalprelist"/>
      </w:pPr>
      <w:r w:rsidRPr="00405CAA">
        <w:t xml:space="preserve">There are several weaknesses in this </w:t>
      </w:r>
      <w:r w:rsidR="00030E23" w:rsidRPr="00405CAA">
        <w:t xml:space="preserve">uniform </w:t>
      </w:r>
      <w:r w:rsidRPr="00405CAA">
        <w:t>approach</w:t>
      </w:r>
      <w:r w:rsidR="00030E23" w:rsidRPr="00405CAA">
        <w:t xml:space="preserve"> that </w:t>
      </w:r>
      <w:r w:rsidR="00944ABE" w:rsidRPr="00405CAA">
        <w:t>providers</w:t>
      </w:r>
      <w:r w:rsidR="00030E23" w:rsidRPr="00405CAA">
        <w:t xml:space="preserve"> ought to be aware of</w:t>
      </w:r>
      <w:r w:rsidRPr="00405CAA">
        <w:t xml:space="preserve">: </w:t>
      </w:r>
    </w:p>
    <w:p w:rsidR="00054A7B" w:rsidRPr="00405CAA" w:rsidRDefault="000F6E15">
      <w:pPr>
        <w:pStyle w:val="ListParagraph"/>
        <w:numPr>
          <w:ilvl w:val="0"/>
          <w:numId w:val="10"/>
        </w:numPr>
      </w:pPr>
      <w:r w:rsidRPr="00405CAA">
        <w:t xml:space="preserve">The </w:t>
      </w:r>
      <w:r w:rsidR="005B46E4" w:rsidRPr="00405CAA">
        <w:t xml:space="preserve">numerator ‘number of client support hours supervised’ </w:t>
      </w:r>
      <w:r w:rsidR="00054A7B" w:rsidRPr="00405CAA">
        <w:t xml:space="preserve">is not necessarily reflective of the number </w:t>
      </w:r>
      <w:r w:rsidR="00DC1C20" w:rsidRPr="00405CAA">
        <w:t xml:space="preserve">of </w:t>
      </w:r>
      <w:r w:rsidR="00C653AC" w:rsidRPr="00405CAA">
        <w:t>support worker</w:t>
      </w:r>
      <w:r w:rsidR="00054A7B" w:rsidRPr="00405CAA">
        <w:t>s</w:t>
      </w:r>
      <w:r w:rsidR="00F33EEA" w:rsidRPr="00405CAA">
        <w:t xml:space="preserve"> being supervised</w:t>
      </w:r>
      <w:r w:rsidR="005B46E4" w:rsidRPr="00405CAA">
        <w:t xml:space="preserve"> (the typical measure)</w:t>
      </w:r>
      <w:r w:rsidR="00F33EEA" w:rsidRPr="00405CAA">
        <w:t xml:space="preserve">—a span of control is only effective if the supervisor is able to communicate adequately with each </w:t>
      </w:r>
      <w:r w:rsidR="00C653AC" w:rsidRPr="00405CAA">
        <w:t>support worker</w:t>
      </w:r>
      <w:r w:rsidR="00F33EEA" w:rsidRPr="00405CAA">
        <w:t xml:space="preserve"> and to supervise the </w:t>
      </w:r>
      <w:r w:rsidR="00C653AC" w:rsidRPr="00405CAA">
        <w:t>support worker</w:t>
      </w:r>
      <w:r w:rsidR="001B2568" w:rsidRPr="00405CAA">
        <w:t>s</w:t>
      </w:r>
      <w:r w:rsidR="00F33EEA" w:rsidRPr="00405CAA">
        <w:t xml:space="preserve"> within their </w:t>
      </w:r>
      <w:r w:rsidR="001B2568" w:rsidRPr="00405CAA">
        <w:t>sphere of responsibility</w:t>
      </w:r>
      <w:r w:rsidR="00FC5BBF" w:rsidRPr="00405CAA">
        <w:t xml:space="preserve"> </w:t>
      </w:r>
      <w:r w:rsidR="00F33EEA" w:rsidRPr="00405CAA">
        <w:t>in the context of service quality and clinical governance.</w:t>
      </w:r>
      <w:r w:rsidR="001B2568" w:rsidRPr="00405CAA">
        <w:t xml:space="preserve">  The number of </w:t>
      </w:r>
      <w:r w:rsidR="00C653AC" w:rsidRPr="00405CAA">
        <w:t>client</w:t>
      </w:r>
      <w:r w:rsidR="001B2568" w:rsidRPr="00405CAA">
        <w:t xml:space="preserve"> </w:t>
      </w:r>
      <w:r w:rsidR="005B46E4" w:rsidRPr="00405CAA">
        <w:t>support</w:t>
      </w:r>
      <w:r w:rsidR="001B2568" w:rsidRPr="00405CAA">
        <w:t xml:space="preserve"> hours </w:t>
      </w:r>
      <w:r w:rsidR="005B46E4" w:rsidRPr="00405CAA">
        <w:t xml:space="preserve">supervised </w:t>
      </w:r>
      <w:r w:rsidR="00D31230" w:rsidRPr="00405CAA">
        <w:t xml:space="preserve">will correlate with the number of support worker hours but </w:t>
      </w:r>
      <w:r w:rsidR="001B2568" w:rsidRPr="00405CAA">
        <w:t xml:space="preserve">does not </w:t>
      </w:r>
      <w:r w:rsidR="00D31230" w:rsidRPr="00405CAA">
        <w:t xml:space="preserve">alone </w:t>
      </w:r>
      <w:r w:rsidR="001B2568" w:rsidRPr="00405CAA">
        <w:t xml:space="preserve">provide a reliable measure of what would be an effective </w:t>
      </w:r>
      <w:r w:rsidR="00D31230" w:rsidRPr="00405CAA">
        <w:t xml:space="preserve">supervision </w:t>
      </w:r>
      <w:r w:rsidR="001B2568" w:rsidRPr="00405CAA">
        <w:t>ratio.</w:t>
      </w:r>
    </w:p>
    <w:p w:rsidR="002602C8" w:rsidRPr="00405CAA" w:rsidRDefault="001B2568" w:rsidP="00D31230">
      <w:pPr>
        <w:pStyle w:val="ListParagraph"/>
        <w:numPr>
          <w:ilvl w:val="0"/>
          <w:numId w:val="10"/>
        </w:numPr>
      </w:pPr>
      <w:r w:rsidRPr="00405CAA">
        <w:t>The ‘</w:t>
      </w:r>
      <w:r w:rsidR="00054A7B" w:rsidRPr="00405CAA">
        <w:t>efficient result</w:t>
      </w:r>
      <w:r w:rsidRPr="00405CAA">
        <w:t>’</w:t>
      </w:r>
      <w:r w:rsidR="00054A7B" w:rsidRPr="00405CAA">
        <w:t xml:space="preserve"> is standardised across all services and all levels of intensity</w:t>
      </w:r>
      <w:r w:rsidR="002F2211" w:rsidRPr="00405CAA">
        <w:t xml:space="preserve">—to supervise adequately may mean a smaller ratio of </w:t>
      </w:r>
      <w:r w:rsidR="00F17CDB" w:rsidRPr="00405CAA">
        <w:t>supervisors to front</w:t>
      </w:r>
      <w:r w:rsidR="00AF131F" w:rsidRPr="00405CAA">
        <w:t>-</w:t>
      </w:r>
      <w:r w:rsidR="00F17CDB" w:rsidRPr="00405CAA">
        <w:t xml:space="preserve">line staff </w:t>
      </w:r>
      <w:r w:rsidR="002F2211" w:rsidRPr="00405CAA">
        <w:t xml:space="preserve">in many service provision categories. This is an important point of consideration when we </w:t>
      </w:r>
      <w:r w:rsidR="002F2211" w:rsidRPr="00405CAA">
        <w:lastRenderedPageBreak/>
        <w:t xml:space="preserve">think of </w:t>
      </w:r>
      <w:r w:rsidR="003F43E2" w:rsidRPr="00405CAA">
        <w:t xml:space="preserve">service quality and clinical governance. </w:t>
      </w:r>
      <w:r w:rsidRPr="00405CAA">
        <w:t xml:space="preserve"> </w:t>
      </w:r>
      <w:r w:rsidR="003F43E2" w:rsidRPr="00405CAA">
        <w:t xml:space="preserve">While the span of control may be articulated by the NDIA as part of the </w:t>
      </w:r>
      <w:r w:rsidR="00D31230" w:rsidRPr="00405CAA">
        <w:t xml:space="preserve">Reasonable </w:t>
      </w:r>
      <w:r w:rsidR="003F43E2" w:rsidRPr="00405CAA">
        <w:t>Cost Model</w:t>
      </w:r>
      <w:r w:rsidR="007115F9" w:rsidRPr="00405CAA">
        <w:t xml:space="preserve"> price</w:t>
      </w:r>
      <w:r w:rsidR="003F43E2" w:rsidRPr="00405CAA">
        <w:t>, the risk</w:t>
      </w:r>
      <w:r w:rsidR="005228AB" w:rsidRPr="00405CAA">
        <w:t>s</w:t>
      </w:r>
      <w:r w:rsidR="003F43E2" w:rsidRPr="00405CAA">
        <w:t xml:space="preserve"> related to </w:t>
      </w:r>
      <w:r w:rsidR="005228AB" w:rsidRPr="00405CAA">
        <w:t xml:space="preserve">safeguarding and quality are </w:t>
      </w:r>
      <w:r w:rsidR="003F43E2" w:rsidRPr="00405CAA">
        <w:t xml:space="preserve">borne by the </w:t>
      </w:r>
      <w:r w:rsidR="00F17CDB" w:rsidRPr="00405CAA">
        <w:t>provider</w:t>
      </w:r>
      <w:r w:rsidR="003F43E2" w:rsidRPr="00405CAA">
        <w:t xml:space="preserve"> and the span of control must reflect the nature of that </w:t>
      </w:r>
      <w:r w:rsidR="00F17CDB" w:rsidRPr="00405CAA">
        <w:t xml:space="preserve">client </w:t>
      </w:r>
      <w:r w:rsidR="003F43E2" w:rsidRPr="00405CAA">
        <w:t>risk regardless of the pricing component include</w:t>
      </w:r>
      <w:r w:rsidR="00C744F3" w:rsidRPr="00405CAA">
        <w:t>d</w:t>
      </w:r>
      <w:r w:rsidR="003F43E2" w:rsidRPr="00405CAA">
        <w:t xml:space="preserve">. Ultimately of course, it may mean that an </w:t>
      </w:r>
      <w:r w:rsidR="00C653AC" w:rsidRPr="00405CAA">
        <w:t>organisation</w:t>
      </w:r>
      <w:r w:rsidR="003F43E2" w:rsidRPr="00405CAA">
        <w:t xml:space="preserve"> may be better placed by discontinuing a service if the risk it faces cannot be satisfactorily mitigated</w:t>
      </w:r>
      <w:r w:rsidR="00C744F3" w:rsidRPr="00405CAA">
        <w:t xml:space="preserve"> within the pricing envelope</w:t>
      </w:r>
      <w:r w:rsidR="003F43E2" w:rsidRPr="00405CAA">
        <w:t>.</w:t>
      </w:r>
    </w:p>
    <w:p w:rsidR="00166D80" w:rsidRPr="000A0BBE" w:rsidRDefault="00166D80" w:rsidP="001D2EA0">
      <w:pPr>
        <w:pStyle w:val="Heading1"/>
        <w:rPr>
          <w:rFonts w:ascii="Arial" w:hAnsi="Arial" w:cs="Arial"/>
          <w:color w:val="auto"/>
          <w:sz w:val="24"/>
          <w:szCs w:val="24"/>
        </w:rPr>
      </w:pPr>
      <w:bookmarkStart w:id="11" w:name="_Toc488912241"/>
      <w:r w:rsidRPr="000A0BBE">
        <w:rPr>
          <w:rFonts w:ascii="Arial" w:hAnsi="Arial" w:cs="Arial"/>
          <w:color w:val="auto"/>
          <w:sz w:val="24"/>
          <w:szCs w:val="24"/>
        </w:rPr>
        <w:t>Summary of key concepts</w:t>
      </w:r>
      <w:bookmarkEnd w:id="11"/>
    </w:p>
    <w:p w:rsidR="00166D80" w:rsidRPr="00405CAA" w:rsidRDefault="00F67C1C" w:rsidP="00166D80">
      <w:r w:rsidRPr="00405CAA">
        <w:t>F</w:t>
      </w:r>
      <w:r w:rsidR="00166D80" w:rsidRPr="00405CAA">
        <w:t xml:space="preserve">igure </w:t>
      </w:r>
      <w:r w:rsidRPr="00405CAA">
        <w:t xml:space="preserve">3 </w:t>
      </w:r>
      <w:r w:rsidR="00166D80" w:rsidRPr="00405CAA">
        <w:t xml:space="preserve">shows the how the various components of time add up to total paid working time. </w:t>
      </w:r>
    </w:p>
    <w:p w:rsidR="00C471E4" w:rsidRDefault="00C471E4" w:rsidP="00C471E4">
      <w:pPr>
        <w:spacing w:after="0" w:line="240" w:lineRule="auto"/>
        <w:rPr>
          <w:b/>
        </w:rPr>
      </w:pPr>
    </w:p>
    <w:p w:rsidR="00166D80" w:rsidRDefault="00166D80" w:rsidP="00C471E4">
      <w:pPr>
        <w:spacing w:after="0" w:line="240" w:lineRule="auto"/>
        <w:rPr>
          <w:b/>
        </w:rPr>
      </w:pPr>
      <w:r w:rsidRPr="00405CAA">
        <w:rPr>
          <w:b/>
        </w:rPr>
        <w:t xml:space="preserve">Figure </w:t>
      </w:r>
      <w:r w:rsidRPr="00405CAA">
        <w:rPr>
          <w:b/>
        </w:rPr>
        <w:fldChar w:fldCharType="begin"/>
      </w:r>
      <w:r w:rsidRPr="00405CAA">
        <w:rPr>
          <w:b/>
        </w:rPr>
        <w:instrText xml:space="preserve"> SEQ Figure \* ARABIC </w:instrText>
      </w:r>
      <w:r w:rsidRPr="00405CAA">
        <w:rPr>
          <w:b/>
        </w:rPr>
        <w:fldChar w:fldCharType="separate"/>
      </w:r>
      <w:r w:rsidR="00E54420" w:rsidRPr="00405CAA">
        <w:rPr>
          <w:b/>
          <w:noProof/>
        </w:rPr>
        <w:t>3</w:t>
      </w:r>
      <w:r w:rsidRPr="00405CAA">
        <w:rPr>
          <w:b/>
        </w:rPr>
        <w:fldChar w:fldCharType="end"/>
      </w:r>
      <w:r w:rsidRPr="00405CAA">
        <w:rPr>
          <w:b/>
        </w:rPr>
        <w:t>: Classification of employee time—a bottom-up view</w:t>
      </w:r>
    </w:p>
    <w:p w:rsidR="00C471E4" w:rsidRDefault="00C471E4" w:rsidP="00C471E4">
      <w:pPr>
        <w:spacing w:after="0" w:line="240" w:lineRule="auto"/>
        <w:rPr>
          <w:b/>
        </w:rPr>
      </w:pPr>
    </w:p>
    <w:p w:rsidR="00166D80" w:rsidRPr="004A1CC1" w:rsidRDefault="004A1CC1" w:rsidP="00166D80">
      <w:pPr>
        <w:rPr>
          <w:b/>
        </w:rPr>
      </w:pPr>
      <w:r>
        <w:rPr>
          <w:noProof/>
          <w:lang w:val="en-US" w:eastAsia="en-US"/>
        </w:rPr>
        <w:drawing>
          <wp:inline distT="0" distB="0" distL="0" distR="0" wp14:anchorId="2F5C3543" wp14:editId="7F742327">
            <wp:extent cx="5471804" cy="2352444"/>
            <wp:effectExtent l="0" t="0" r="0" b="0"/>
            <wp:docPr id="2" name="Picture 2" descr="Top Bar: Left of Bar: Billable Time. Arrow pointing to the left with the words: Better utilisation. Right of Bar: Non-billable Time. Second Bar: Client-Facing Service time and Associated Service Time. Third bar: Laft of bar: Productive Time, Arrow pointing to the left with the words: better productivity. Right of arrow: Non-productive time. fourth bar: Avaliable Time and Unavaliable Time. Last Bar: Paid time. " title="Classification of employee time—a bottom-up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1126" cy="2356452"/>
                    </a:xfrm>
                    <a:prstGeom prst="rect">
                      <a:avLst/>
                    </a:prstGeom>
                  </pic:spPr>
                </pic:pic>
              </a:graphicData>
            </a:graphic>
          </wp:inline>
        </w:drawing>
      </w:r>
    </w:p>
    <w:p w:rsidR="00166D80" w:rsidRPr="00405CAA" w:rsidRDefault="00166D80" w:rsidP="00166D80">
      <w:r w:rsidRPr="00405CAA">
        <w:t>This figure reflects the case of a permanent employee who is entitled to paid leave. For a casual employee, there is less unavailable time (</w:t>
      </w:r>
      <w:r w:rsidR="00F67C1C" w:rsidRPr="00405CAA">
        <w:t>usually</w:t>
      </w:r>
      <w:r w:rsidRPr="00405CAA">
        <w:t xml:space="preserve"> mandatory professional development) and consequently the bars for paid time and non-billable time would be shorter (extending no further to the right than the bar for non-productive time).</w:t>
      </w:r>
    </w:p>
    <w:p w:rsidR="00166D80" w:rsidRPr="00405CAA" w:rsidRDefault="00166D80" w:rsidP="00166D80">
      <w:r w:rsidRPr="00405CAA">
        <w:t>It is a hard, commercial truth that financial viability</w:t>
      </w:r>
      <w:r w:rsidR="007D29DA" w:rsidRPr="00405CAA">
        <w:t xml:space="preserve"> </w:t>
      </w:r>
      <w:r w:rsidRPr="00405CAA">
        <w:t>must always be a</w:t>
      </w:r>
      <w:r w:rsidR="007D29DA" w:rsidRPr="00405CAA">
        <w:t xml:space="preserve"> high priority for an organisation, </w:t>
      </w:r>
      <w:r w:rsidRPr="00405CAA">
        <w:t xml:space="preserve">for without the financial capacity to operate there will be no </w:t>
      </w:r>
      <w:r w:rsidR="007D29DA" w:rsidRPr="00405CAA">
        <w:t xml:space="preserve">ability to continue delivering services </w:t>
      </w:r>
      <w:r w:rsidRPr="00405CAA">
        <w:t>(</w:t>
      </w:r>
      <w:r w:rsidR="00AF131F" w:rsidRPr="00405CAA">
        <w:t>“</w:t>
      </w:r>
      <w:r w:rsidRPr="00405CAA">
        <w:t>There is no mission without margin</w:t>
      </w:r>
      <w:r w:rsidR="00AF131F" w:rsidRPr="00405CAA">
        <w:t>”</w:t>
      </w:r>
      <w:r w:rsidRPr="00405CAA">
        <w:rPr>
          <w:rStyle w:val="FootnoteReference"/>
        </w:rPr>
        <w:footnoteReference w:id="9"/>
      </w:r>
      <w:r w:rsidRPr="00405CAA">
        <w:t>). Productivity</w:t>
      </w:r>
      <w:r w:rsidR="007D29DA" w:rsidRPr="00405CAA">
        <w:t xml:space="preserve"> and </w:t>
      </w:r>
      <w:r w:rsidRPr="00405CAA">
        <w:t xml:space="preserve">utilisation </w:t>
      </w:r>
      <w:r w:rsidR="007D29DA" w:rsidRPr="00405CAA">
        <w:t xml:space="preserve">are </w:t>
      </w:r>
      <w:r w:rsidRPr="00405CAA">
        <w:t xml:space="preserve">key </w:t>
      </w:r>
      <w:r w:rsidR="007D29DA" w:rsidRPr="00405CAA">
        <w:t xml:space="preserve">concepts </w:t>
      </w:r>
      <w:r w:rsidRPr="00405CAA">
        <w:t xml:space="preserve">for the organisation in converting paid time to billable time, so their settings are critical to the cost of service delivery and ultimately to financial viability.  </w:t>
      </w:r>
    </w:p>
    <w:p w:rsidR="00166D80" w:rsidRPr="00405CAA" w:rsidRDefault="00166D80" w:rsidP="00166D80">
      <w:r w:rsidRPr="00405CAA">
        <w:t xml:space="preserve">An organisation needs to control productivity and utilisation in order to achieve predictable results. Combined with an articulated strategy and person centred systems and processes, these business rules provide a framework for support workers in which to operate. How </w:t>
      </w:r>
      <w:r w:rsidRPr="00405CAA">
        <w:lastRenderedPageBreak/>
        <w:t>individual support workers will respond to this environment cou</w:t>
      </w:r>
      <w:r w:rsidR="007D29DA" w:rsidRPr="00405CAA">
        <w:t>ld depend on many factors, including their capabilities, the work culture</w:t>
      </w:r>
      <w:r w:rsidR="00CF69A8" w:rsidRPr="00405CAA">
        <w:t>,</w:t>
      </w:r>
      <w:r w:rsidR="007D29DA" w:rsidRPr="00405CAA">
        <w:t xml:space="preserve"> and </w:t>
      </w:r>
      <w:r w:rsidRPr="00405CAA">
        <w:t xml:space="preserve">how realistic the targets are. It is easy to imagine how an organisation might get the environment very right or very wrong, with implications on service delivery and staff engagement, so these are far from trivial matters. All proposed business rules </w:t>
      </w:r>
      <w:r w:rsidR="007D29DA" w:rsidRPr="00405CAA">
        <w:t xml:space="preserve">or changes to current rules </w:t>
      </w:r>
      <w:r w:rsidRPr="00405CAA">
        <w:t xml:space="preserve">should be thoroughly tested (including </w:t>
      </w:r>
      <w:r w:rsidR="00EB61B2" w:rsidRPr="00405CAA">
        <w:t>consultation with those affected</w:t>
      </w:r>
      <w:r w:rsidRPr="00405CAA">
        <w:t>) before being implemented.</w:t>
      </w:r>
    </w:p>
    <w:p w:rsidR="00166D80" w:rsidRPr="00405CAA" w:rsidRDefault="00166D80" w:rsidP="00166D80">
      <w:r w:rsidRPr="00405CAA">
        <w:t>The client will feel the effect of the organisation’s business rules in a similar way to support workers—their support environment will be structured and transparent. They (and/or their family or carers) will be included in discussions with workers about all aspects of their plan, and the billability of services will be something that will be discussed regularly.</w:t>
      </w:r>
    </w:p>
    <w:p w:rsidR="002602C8" w:rsidRPr="00CE7C95" w:rsidRDefault="002602C8" w:rsidP="001D2EA0">
      <w:pPr>
        <w:pStyle w:val="Heading1"/>
        <w:rPr>
          <w:rFonts w:ascii="Arial" w:hAnsi="Arial" w:cs="Arial"/>
          <w:color w:val="auto"/>
          <w:sz w:val="24"/>
          <w:szCs w:val="24"/>
        </w:rPr>
      </w:pPr>
      <w:bookmarkStart w:id="12" w:name="_Toc488912242"/>
      <w:r w:rsidRPr="00CE7C95">
        <w:rPr>
          <w:rFonts w:ascii="Arial" w:hAnsi="Arial" w:cs="Arial"/>
          <w:color w:val="auto"/>
          <w:sz w:val="24"/>
          <w:szCs w:val="24"/>
        </w:rPr>
        <w:t xml:space="preserve">Capacity </w:t>
      </w:r>
      <w:r w:rsidR="00E219EB" w:rsidRPr="00CE7C95">
        <w:rPr>
          <w:rFonts w:ascii="Arial" w:hAnsi="Arial" w:cs="Arial"/>
          <w:color w:val="auto"/>
          <w:sz w:val="24"/>
          <w:szCs w:val="24"/>
        </w:rPr>
        <w:t>elasticity</w:t>
      </w:r>
      <w:bookmarkEnd w:id="12"/>
    </w:p>
    <w:p w:rsidR="002602C8" w:rsidRPr="00405CAA" w:rsidRDefault="002602C8" w:rsidP="002602C8">
      <w:r w:rsidRPr="00405CAA">
        <w:t xml:space="preserve">Capacity </w:t>
      </w:r>
      <w:r w:rsidR="004E4E0C" w:rsidRPr="00405CAA">
        <w:t>elasticity</w:t>
      </w:r>
      <w:r w:rsidRPr="00405CAA">
        <w:t xml:space="preserve"> is the ability of an </w:t>
      </w:r>
      <w:r w:rsidRPr="00405CAA">
        <w:rPr>
          <w:b/>
        </w:rPr>
        <w:t>organisation</w:t>
      </w:r>
      <w:r w:rsidRPr="00405CAA">
        <w:t xml:space="preserve"> to increase or decrease the volume of </w:t>
      </w:r>
      <w:r w:rsidRPr="00405CAA">
        <w:rPr>
          <w:b/>
        </w:rPr>
        <w:t>services</w:t>
      </w:r>
      <w:r w:rsidRPr="00405CAA">
        <w:t xml:space="preserve"> it can provide without increasing or decreasing the headcount of its </w:t>
      </w:r>
      <w:r w:rsidRPr="00405CAA">
        <w:rPr>
          <w:b/>
        </w:rPr>
        <w:t>frontline workforce</w:t>
      </w:r>
      <w:r w:rsidRPr="00405CAA">
        <w:t xml:space="preserve">. </w:t>
      </w:r>
    </w:p>
    <w:p w:rsidR="002602C8" w:rsidRPr="00405CAA" w:rsidRDefault="002602C8" w:rsidP="002602C8">
      <w:r w:rsidRPr="00405CAA">
        <w:t xml:space="preserve">Capacity </w:t>
      </w:r>
      <w:r w:rsidR="004E4E0C" w:rsidRPr="00405CAA">
        <w:t>elasticity</w:t>
      </w:r>
      <w:r w:rsidRPr="00405CAA">
        <w:t xml:space="preserve"> is closely related to workforce flexibility and efficient workforce management. It is obvious that an organisation has the ‘flexibility’ (at least theoretically, and always at a cost) to increase its capacity by taking on more staff, but this is not really flexibility, more just an option to increase supply, with the associated costs. The objective an organisation should strive to meet is to maintain an up-to-date understanding of how much spare capacity it can draw upon without recruiting more staff and where it can decrease capacity if demand falls, so it is clear about options to respond to fluctuating demand from within.</w:t>
      </w:r>
    </w:p>
    <w:p w:rsidR="002602C8" w:rsidRPr="00405CAA" w:rsidRDefault="002602C8" w:rsidP="002602C8">
      <w:r w:rsidRPr="00405CAA">
        <w:t>Why is this understanding important? There are three reasons:</w:t>
      </w:r>
    </w:p>
    <w:p w:rsidR="002602C8" w:rsidRPr="00405CAA" w:rsidRDefault="00CF69A8" w:rsidP="00E26200">
      <w:pPr>
        <w:pStyle w:val="ListParagraph"/>
        <w:numPr>
          <w:ilvl w:val="0"/>
          <w:numId w:val="43"/>
        </w:numPr>
      </w:pPr>
      <w:r w:rsidRPr="00405CAA">
        <w:t>F</w:t>
      </w:r>
      <w:r w:rsidR="002602C8" w:rsidRPr="00405CAA">
        <w:t>or clients and potential new clients, it is the difference between receiving services promptly or being declined, or delayed, while the organisation recruits someone new</w:t>
      </w:r>
      <w:r w:rsidRPr="00405CAA">
        <w:t>;</w:t>
      </w:r>
    </w:p>
    <w:p w:rsidR="002602C8" w:rsidRPr="00405CAA" w:rsidRDefault="00CF69A8" w:rsidP="002602C8">
      <w:pPr>
        <w:pStyle w:val="ListParagraph"/>
        <w:numPr>
          <w:ilvl w:val="0"/>
          <w:numId w:val="43"/>
        </w:numPr>
      </w:pPr>
      <w:r w:rsidRPr="00405CAA">
        <w:t>F</w:t>
      </w:r>
      <w:r w:rsidR="002602C8" w:rsidRPr="00405CAA">
        <w:t>or individual workers, it means their working time preferences are being understood by their employer and potentially increases the likelihood that those preferences will be met; and</w:t>
      </w:r>
    </w:p>
    <w:p w:rsidR="002602C8" w:rsidRPr="00405CAA" w:rsidRDefault="00CF69A8" w:rsidP="002602C8">
      <w:pPr>
        <w:pStyle w:val="ListParagraph"/>
        <w:numPr>
          <w:ilvl w:val="0"/>
          <w:numId w:val="43"/>
        </w:numPr>
      </w:pPr>
      <w:r w:rsidRPr="00405CAA">
        <w:t>F</w:t>
      </w:r>
      <w:r w:rsidR="002602C8" w:rsidRPr="00405CAA">
        <w:t>or the organisation, it aids the making of correct decisions</w:t>
      </w:r>
      <w:r w:rsidR="002602C8" w:rsidRPr="00405CAA" w:rsidDel="00110C98">
        <w:t xml:space="preserve"> </w:t>
      </w:r>
      <w:r w:rsidR="002602C8" w:rsidRPr="00405CAA">
        <w:t>about whether to seek and/or accept new work or how to deal with cancellations or clients leaving the service.</w:t>
      </w:r>
    </w:p>
    <w:p w:rsidR="00493D54" w:rsidRPr="00C471E4" w:rsidRDefault="007C2DD0" w:rsidP="002602C8">
      <w:r w:rsidRPr="00405CAA">
        <w:t xml:space="preserve">Table </w:t>
      </w:r>
      <w:r w:rsidR="00CF69A8" w:rsidRPr="00405CAA">
        <w:t>4</w:t>
      </w:r>
      <w:r w:rsidRPr="00405CAA">
        <w:t xml:space="preserve"> </w:t>
      </w:r>
      <w:r w:rsidR="002602C8" w:rsidRPr="00405CAA">
        <w:t xml:space="preserve">is an example of a form that could be used to gather </w:t>
      </w:r>
      <w:r w:rsidR="00CF69A8" w:rsidRPr="00405CAA">
        <w:t xml:space="preserve">the </w:t>
      </w:r>
      <w:r w:rsidR="002602C8" w:rsidRPr="00405CAA">
        <w:t xml:space="preserve">working time preferences </w:t>
      </w:r>
      <w:r w:rsidR="00CF69A8" w:rsidRPr="00405CAA">
        <w:t xml:space="preserve">of a worker </w:t>
      </w:r>
      <w:r w:rsidR="002602C8" w:rsidRPr="00405CAA">
        <w:t>during the orientation and induction period, and then regularly updated electronically or on paper.</w:t>
      </w:r>
      <w:r w:rsidR="00D710C4" w:rsidRPr="00405CAA">
        <w:t xml:space="preserve"> </w:t>
      </w:r>
    </w:p>
    <w:p w:rsidR="00DA465E" w:rsidRDefault="00DA465E">
      <w:pPr>
        <w:spacing w:after="0" w:line="240" w:lineRule="auto"/>
        <w:rPr>
          <w:b/>
        </w:rPr>
      </w:pPr>
      <w:r>
        <w:rPr>
          <w:b/>
        </w:rPr>
        <w:br w:type="page"/>
      </w:r>
    </w:p>
    <w:p w:rsidR="002602C8" w:rsidRDefault="002602C8" w:rsidP="001D2EA0">
      <w:pPr>
        <w:spacing w:after="0" w:line="240" w:lineRule="auto"/>
        <w:rPr>
          <w:b/>
        </w:rPr>
      </w:pPr>
      <w:r w:rsidRPr="00405CAA">
        <w:rPr>
          <w:b/>
        </w:rPr>
        <w:lastRenderedPageBreak/>
        <w:t>Table</w:t>
      </w:r>
      <w:r w:rsidR="00CF69A8" w:rsidRPr="00405CAA">
        <w:rPr>
          <w:b/>
        </w:rPr>
        <w:t xml:space="preserve"> 4</w:t>
      </w:r>
      <w:r w:rsidRPr="00405CAA">
        <w:rPr>
          <w:b/>
        </w:rPr>
        <w:t xml:space="preserve">: Example </w:t>
      </w:r>
      <w:r w:rsidR="007C2DD0" w:rsidRPr="00405CAA">
        <w:rPr>
          <w:b/>
        </w:rPr>
        <w:t xml:space="preserve">working time preferences </w:t>
      </w:r>
      <w:r w:rsidRPr="00405CAA">
        <w:rPr>
          <w:b/>
        </w:rPr>
        <w:t>form</w:t>
      </w:r>
    </w:p>
    <w:p w:rsidR="00963896" w:rsidRPr="00405CAA" w:rsidRDefault="00963896" w:rsidP="001D2EA0">
      <w:pPr>
        <w:spacing w:after="0" w:line="240" w:lineRule="auto"/>
        <w:rPr>
          <w:b/>
          <w:color w:val="FF0000"/>
        </w:rPr>
      </w:pPr>
    </w:p>
    <w:tbl>
      <w:tblPr>
        <w:tblStyle w:val="TableGrid"/>
        <w:tblW w:w="0" w:type="auto"/>
        <w:tblLook w:val="04A0" w:firstRow="1" w:lastRow="0" w:firstColumn="1" w:lastColumn="0" w:noHBand="0" w:noVBand="1"/>
        <w:tblCaption w:val="Example working time preferences form"/>
        <w:tblDescription w:val="Example working time preferences form"/>
      </w:tblPr>
      <w:tblGrid>
        <w:gridCol w:w="1351"/>
        <w:gridCol w:w="1043"/>
        <w:gridCol w:w="1035"/>
        <w:gridCol w:w="1045"/>
        <w:gridCol w:w="1037"/>
        <w:gridCol w:w="1019"/>
        <w:gridCol w:w="1028"/>
        <w:gridCol w:w="1040"/>
        <w:gridCol w:w="1024"/>
      </w:tblGrid>
      <w:tr w:rsidR="002602C8" w:rsidRPr="00405CAA" w:rsidTr="00D710C4">
        <w:trPr>
          <w:tblHeader/>
        </w:trPr>
        <w:tc>
          <w:tcPr>
            <w:tcW w:w="1350" w:type="dxa"/>
          </w:tcPr>
          <w:p w:rsidR="002602C8" w:rsidRPr="00405CAA" w:rsidRDefault="002602C8" w:rsidP="00CA71E8">
            <w:pPr>
              <w:spacing w:after="0"/>
              <w:jc w:val="right"/>
              <w:rPr>
                <w:b/>
              </w:rPr>
            </w:pPr>
            <w:r w:rsidRPr="00405CAA">
              <w:rPr>
                <w:b/>
              </w:rPr>
              <w:t>Day</w:t>
            </w:r>
          </w:p>
          <w:p w:rsidR="002602C8" w:rsidRPr="00405CAA" w:rsidRDefault="002602C8" w:rsidP="00CA71E8">
            <w:pPr>
              <w:spacing w:after="0"/>
              <w:rPr>
                <w:b/>
              </w:rPr>
            </w:pPr>
            <w:r w:rsidRPr="00405CAA">
              <w:rPr>
                <w:b/>
              </w:rPr>
              <w:t>Shift</w:t>
            </w:r>
          </w:p>
        </w:tc>
        <w:tc>
          <w:tcPr>
            <w:tcW w:w="1067" w:type="dxa"/>
          </w:tcPr>
          <w:p w:rsidR="002602C8" w:rsidRPr="00405CAA" w:rsidRDefault="002602C8" w:rsidP="00CA71E8">
            <w:pPr>
              <w:jc w:val="center"/>
              <w:rPr>
                <w:b/>
              </w:rPr>
            </w:pPr>
            <w:r w:rsidRPr="00405CAA">
              <w:rPr>
                <w:b/>
              </w:rPr>
              <w:t>Mon</w:t>
            </w:r>
          </w:p>
        </w:tc>
        <w:tc>
          <w:tcPr>
            <w:tcW w:w="1063" w:type="dxa"/>
          </w:tcPr>
          <w:p w:rsidR="002602C8" w:rsidRPr="00405CAA" w:rsidRDefault="002602C8" w:rsidP="00CA71E8">
            <w:pPr>
              <w:jc w:val="center"/>
              <w:rPr>
                <w:b/>
              </w:rPr>
            </w:pPr>
            <w:r w:rsidRPr="00405CAA">
              <w:rPr>
                <w:b/>
              </w:rPr>
              <w:t>Tue</w:t>
            </w:r>
          </w:p>
        </w:tc>
        <w:tc>
          <w:tcPr>
            <w:tcW w:w="1068" w:type="dxa"/>
          </w:tcPr>
          <w:p w:rsidR="002602C8" w:rsidRPr="00405CAA" w:rsidRDefault="002602C8" w:rsidP="00CA71E8">
            <w:pPr>
              <w:jc w:val="center"/>
              <w:rPr>
                <w:b/>
              </w:rPr>
            </w:pPr>
            <w:r w:rsidRPr="00405CAA">
              <w:rPr>
                <w:b/>
              </w:rPr>
              <w:t>Wed</w:t>
            </w:r>
          </w:p>
        </w:tc>
        <w:tc>
          <w:tcPr>
            <w:tcW w:w="1064" w:type="dxa"/>
          </w:tcPr>
          <w:p w:rsidR="002602C8" w:rsidRPr="00405CAA" w:rsidRDefault="002602C8" w:rsidP="00CA71E8">
            <w:pPr>
              <w:jc w:val="center"/>
              <w:rPr>
                <w:b/>
              </w:rPr>
            </w:pPr>
            <w:r w:rsidRPr="00405CAA">
              <w:rPr>
                <w:b/>
              </w:rPr>
              <w:t>Thu</w:t>
            </w:r>
          </w:p>
        </w:tc>
        <w:tc>
          <w:tcPr>
            <w:tcW w:w="1054" w:type="dxa"/>
          </w:tcPr>
          <w:p w:rsidR="002602C8" w:rsidRPr="00405CAA" w:rsidRDefault="002602C8" w:rsidP="00CA71E8">
            <w:pPr>
              <w:jc w:val="center"/>
              <w:rPr>
                <w:b/>
              </w:rPr>
            </w:pPr>
            <w:r w:rsidRPr="00405CAA">
              <w:rPr>
                <w:b/>
              </w:rPr>
              <w:t>Fri</w:t>
            </w:r>
          </w:p>
        </w:tc>
        <w:tc>
          <w:tcPr>
            <w:tcW w:w="1059" w:type="dxa"/>
          </w:tcPr>
          <w:p w:rsidR="002602C8" w:rsidRPr="00405CAA" w:rsidRDefault="002602C8" w:rsidP="00CA71E8">
            <w:pPr>
              <w:jc w:val="center"/>
              <w:rPr>
                <w:b/>
              </w:rPr>
            </w:pPr>
            <w:r w:rsidRPr="00405CAA">
              <w:rPr>
                <w:b/>
              </w:rPr>
              <w:t>Sat</w:t>
            </w:r>
          </w:p>
        </w:tc>
        <w:tc>
          <w:tcPr>
            <w:tcW w:w="1066" w:type="dxa"/>
          </w:tcPr>
          <w:p w:rsidR="002602C8" w:rsidRPr="00405CAA" w:rsidRDefault="002602C8" w:rsidP="00CA71E8">
            <w:pPr>
              <w:jc w:val="center"/>
              <w:rPr>
                <w:b/>
              </w:rPr>
            </w:pPr>
            <w:r w:rsidRPr="00405CAA">
              <w:rPr>
                <w:b/>
              </w:rPr>
              <w:t>Sun</w:t>
            </w:r>
          </w:p>
        </w:tc>
        <w:tc>
          <w:tcPr>
            <w:tcW w:w="1057" w:type="dxa"/>
          </w:tcPr>
          <w:p w:rsidR="002602C8" w:rsidRPr="00405CAA" w:rsidRDefault="002602C8" w:rsidP="00CA71E8">
            <w:pPr>
              <w:jc w:val="center"/>
              <w:rPr>
                <w:b/>
              </w:rPr>
            </w:pPr>
            <w:r w:rsidRPr="00405CAA">
              <w:rPr>
                <w:b/>
              </w:rPr>
              <w:t>PH</w:t>
            </w:r>
          </w:p>
        </w:tc>
      </w:tr>
      <w:tr w:rsidR="002602C8" w:rsidRPr="00405CAA" w:rsidTr="00CA71E8">
        <w:tc>
          <w:tcPr>
            <w:tcW w:w="1350" w:type="dxa"/>
          </w:tcPr>
          <w:p w:rsidR="002602C8" w:rsidRPr="00405CAA" w:rsidRDefault="002602C8" w:rsidP="00CA71E8">
            <w:pPr>
              <w:spacing w:before="60" w:after="60"/>
              <w:rPr>
                <w:b/>
              </w:rPr>
            </w:pPr>
            <w:r w:rsidRPr="00405CAA">
              <w:rPr>
                <w:b/>
              </w:rPr>
              <w:t>AM</w:t>
            </w:r>
          </w:p>
        </w:tc>
        <w:tc>
          <w:tcPr>
            <w:tcW w:w="1067" w:type="dxa"/>
          </w:tcPr>
          <w:p w:rsidR="002602C8" w:rsidRPr="00405CAA" w:rsidRDefault="002602C8" w:rsidP="00CA71E8">
            <w:pPr>
              <w:spacing w:before="60" w:after="60"/>
              <w:jc w:val="center"/>
            </w:pPr>
          </w:p>
        </w:tc>
        <w:tc>
          <w:tcPr>
            <w:tcW w:w="1063" w:type="dxa"/>
          </w:tcPr>
          <w:p w:rsidR="002602C8" w:rsidRPr="00405CAA" w:rsidRDefault="002602C8" w:rsidP="00CA71E8">
            <w:pPr>
              <w:spacing w:before="60" w:after="60"/>
              <w:jc w:val="center"/>
            </w:pPr>
          </w:p>
        </w:tc>
        <w:tc>
          <w:tcPr>
            <w:tcW w:w="1068" w:type="dxa"/>
          </w:tcPr>
          <w:p w:rsidR="002602C8" w:rsidRPr="00405CAA" w:rsidRDefault="002602C8" w:rsidP="00CA71E8">
            <w:pPr>
              <w:spacing w:before="60" w:after="60"/>
              <w:jc w:val="center"/>
            </w:pPr>
          </w:p>
        </w:tc>
        <w:tc>
          <w:tcPr>
            <w:tcW w:w="1064" w:type="dxa"/>
          </w:tcPr>
          <w:p w:rsidR="002602C8" w:rsidRPr="00405CAA" w:rsidRDefault="002602C8" w:rsidP="00CA71E8">
            <w:pPr>
              <w:spacing w:before="60" w:after="60"/>
              <w:jc w:val="center"/>
            </w:pPr>
          </w:p>
        </w:tc>
        <w:tc>
          <w:tcPr>
            <w:tcW w:w="1054" w:type="dxa"/>
          </w:tcPr>
          <w:p w:rsidR="002602C8" w:rsidRPr="00405CAA" w:rsidRDefault="002602C8" w:rsidP="00CA71E8">
            <w:pPr>
              <w:spacing w:before="60" w:after="60"/>
              <w:jc w:val="center"/>
            </w:pPr>
          </w:p>
        </w:tc>
        <w:tc>
          <w:tcPr>
            <w:tcW w:w="1059" w:type="dxa"/>
          </w:tcPr>
          <w:p w:rsidR="002602C8" w:rsidRPr="00405CAA" w:rsidRDefault="002602C8" w:rsidP="00CA71E8">
            <w:pPr>
              <w:spacing w:before="60" w:after="60"/>
              <w:jc w:val="center"/>
            </w:pPr>
          </w:p>
        </w:tc>
        <w:tc>
          <w:tcPr>
            <w:tcW w:w="1066" w:type="dxa"/>
          </w:tcPr>
          <w:p w:rsidR="002602C8" w:rsidRPr="00405CAA" w:rsidRDefault="002602C8" w:rsidP="00CA71E8">
            <w:pPr>
              <w:spacing w:before="60" w:after="60"/>
              <w:jc w:val="center"/>
            </w:pPr>
          </w:p>
        </w:tc>
        <w:tc>
          <w:tcPr>
            <w:tcW w:w="1057" w:type="dxa"/>
          </w:tcPr>
          <w:p w:rsidR="002602C8" w:rsidRPr="00405CAA" w:rsidRDefault="002602C8" w:rsidP="00CA71E8">
            <w:pPr>
              <w:spacing w:before="60" w:after="60"/>
              <w:jc w:val="center"/>
            </w:pPr>
          </w:p>
        </w:tc>
      </w:tr>
      <w:tr w:rsidR="002602C8" w:rsidRPr="00405CAA" w:rsidTr="00CA71E8">
        <w:tc>
          <w:tcPr>
            <w:tcW w:w="1350" w:type="dxa"/>
          </w:tcPr>
          <w:p w:rsidR="002602C8" w:rsidRPr="00405CAA" w:rsidRDefault="002602C8" w:rsidP="00CA71E8">
            <w:pPr>
              <w:spacing w:before="60" w:after="60"/>
              <w:rPr>
                <w:b/>
              </w:rPr>
            </w:pPr>
            <w:r w:rsidRPr="00405CAA">
              <w:rPr>
                <w:b/>
              </w:rPr>
              <w:t>PM</w:t>
            </w:r>
          </w:p>
        </w:tc>
        <w:tc>
          <w:tcPr>
            <w:tcW w:w="1067" w:type="dxa"/>
          </w:tcPr>
          <w:p w:rsidR="002602C8" w:rsidRPr="00405CAA" w:rsidRDefault="002602C8" w:rsidP="00CA71E8">
            <w:pPr>
              <w:spacing w:before="60" w:after="60"/>
              <w:jc w:val="center"/>
            </w:pPr>
          </w:p>
        </w:tc>
        <w:tc>
          <w:tcPr>
            <w:tcW w:w="1063" w:type="dxa"/>
          </w:tcPr>
          <w:p w:rsidR="002602C8" w:rsidRPr="00405CAA" w:rsidRDefault="002602C8" w:rsidP="00CA71E8">
            <w:pPr>
              <w:spacing w:before="60" w:after="60"/>
              <w:jc w:val="center"/>
            </w:pPr>
          </w:p>
        </w:tc>
        <w:tc>
          <w:tcPr>
            <w:tcW w:w="1068" w:type="dxa"/>
          </w:tcPr>
          <w:p w:rsidR="002602C8" w:rsidRPr="00405CAA" w:rsidRDefault="002602C8" w:rsidP="00CA71E8">
            <w:pPr>
              <w:spacing w:before="60" w:after="60"/>
              <w:jc w:val="center"/>
            </w:pPr>
          </w:p>
        </w:tc>
        <w:tc>
          <w:tcPr>
            <w:tcW w:w="1064" w:type="dxa"/>
          </w:tcPr>
          <w:p w:rsidR="002602C8" w:rsidRPr="00405CAA" w:rsidRDefault="002602C8" w:rsidP="00CA71E8">
            <w:pPr>
              <w:spacing w:before="60" w:after="60"/>
              <w:jc w:val="center"/>
            </w:pPr>
          </w:p>
        </w:tc>
        <w:tc>
          <w:tcPr>
            <w:tcW w:w="1054" w:type="dxa"/>
          </w:tcPr>
          <w:p w:rsidR="002602C8" w:rsidRPr="00405CAA" w:rsidRDefault="002602C8" w:rsidP="00CA71E8">
            <w:pPr>
              <w:spacing w:before="60" w:after="60"/>
              <w:jc w:val="center"/>
            </w:pPr>
          </w:p>
        </w:tc>
        <w:tc>
          <w:tcPr>
            <w:tcW w:w="1059" w:type="dxa"/>
          </w:tcPr>
          <w:p w:rsidR="002602C8" w:rsidRPr="00405CAA" w:rsidRDefault="002602C8" w:rsidP="00CA71E8">
            <w:pPr>
              <w:spacing w:before="60" w:after="60"/>
              <w:jc w:val="center"/>
            </w:pPr>
          </w:p>
        </w:tc>
        <w:tc>
          <w:tcPr>
            <w:tcW w:w="1066" w:type="dxa"/>
          </w:tcPr>
          <w:p w:rsidR="002602C8" w:rsidRPr="00405CAA" w:rsidRDefault="002602C8" w:rsidP="00CA71E8">
            <w:pPr>
              <w:spacing w:before="60" w:after="60"/>
              <w:jc w:val="center"/>
            </w:pPr>
          </w:p>
        </w:tc>
        <w:tc>
          <w:tcPr>
            <w:tcW w:w="1057" w:type="dxa"/>
          </w:tcPr>
          <w:p w:rsidR="002602C8" w:rsidRPr="00405CAA" w:rsidRDefault="002602C8" w:rsidP="00CA71E8">
            <w:pPr>
              <w:spacing w:before="60" w:after="60"/>
              <w:jc w:val="center"/>
            </w:pPr>
          </w:p>
        </w:tc>
      </w:tr>
      <w:tr w:rsidR="002602C8" w:rsidRPr="00405CAA" w:rsidTr="00CA71E8">
        <w:tc>
          <w:tcPr>
            <w:tcW w:w="1350" w:type="dxa"/>
          </w:tcPr>
          <w:p w:rsidR="002602C8" w:rsidRPr="00405CAA" w:rsidRDefault="002602C8" w:rsidP="00CA71E8">
            <w:pPr>
              <w:spacing w:before="60" w:after="60"/>
              <w:rPr>
                <w:b/>
              </w:rPr>
            </w:pPr>
            <w:r w:rsidRPr="00405CAA">
              <w:rPr>
                <w:b/>
              </w:rPr>
              <w:t>Evening</w:t>
            </w:r>
          </w:p>
        </w:tc>
        <w:tc>
          <w:tcPr>
            <w:tcW w:w="1067" w:type="dxa"/>
          </w:tcPr>
          <w:p w:rsidR="002602C8" w:rsidRPr="00405CAA" w:rsidRDefault="002602C8" w:rsidP="00CA71E8">
            <w:pPr>
              <w:spacing w:before="60" w:after="60"/>
              <w:jc w:val="center"/>
            </w:pPr>
          </w:p>
        </w:tc>
        <w:tc>
          <w:tcPr>
            <w:tcW w:w="1063" w:type="dxa"/>
          </w:tcPr>
          <w:p w:rsidR="002602C8" w:rsidRPr="00405CAA" w:rsidRDefault="002602C8" w:rsidP="00CA71E8">
            <w:pPr>
              <w:spacing w:before="60" w:after="60"/>
              <w:jc w:val="center"/>
            </w:pPr>
          </w:p>
        </w:tc>
        <w:tc>
          <w:tcPr>
            <w:tcW w:w="1068" w:type="dxa"/>
          </w:tcPr>
          <w:p w:rsidR="002602C8" w:rsidRPr="00405CAA" w:rsidRDefault="002602C8" w:rsidP="00CA71E8">
            <w:pPr>
              <w:spacing w:before="60" w:after="60"/>
              <w:jc w:val="center"/>
            </w:pPr>
          </w:p>
        </w:tc>
        <w:tc>
          <w:tcPr>
            <w:tcW w:w="1064" w:type="dxa"/>
          </w:tcPr>
          <w:p w:rsidR="002602C8" w:rsidRPr="00405CAA" w:rsidRDefault="002602C8" w:rsidP="00CA71E8">
            <w:pPr>
              <w:spacing w:before="60" w:after="60"/>
              <w:jc w:val="center"/>
            </w:pPr>
          </w:p>
        </w:tc>
        <w:tc>
          <w:tcPr>
            <w:tcW w:w="1054" w:type="dxa"/>
          </w:tcPr>
          <w:p w:rsidR="002602C8" w:rsidRPr="00405CAA" w:rsidRDefault="002602C8" w:rsidP="00CA71E8">
            <w:pPr>
              <w:spacing w:before="60" w:after="60"/>
              <w:jc w:val="center"/>
            </w:pPr>
          </w:p>
        </w:tc>
        <w:tc>
          <w:tcPr>
            <w:tcW w:w="1059" w:type="dxa"/>
          </w:tcPr>
          <w:p w:rsidR="002602C8" w:rsidRPr="00405CAA" w:rsidRDefault="002602C8" w:rsidP="00CA71E8">
            <w:pPr>
              <w:spacing w:before="60" w:after="60"/>
              <w:jc w:val="center"/>
            </w:pPr>
          </w:p>
        </w:tc>
        <w:tc>
          <w:tcPr>
            <w:tcW w:w="1066" w:type="dxa"/>
          </w:tcPr>
          <w:p w:rsidR="002602C8" w:rsidRPr="00405CAA" w:rsidRDefault="002602C8" w:rsidP="00CA71E8">
            <w:pPr>
              <w:spacing w:before="60" w:after="60"/>
              <w:jc w:val="center"/>
            </w:pPr>
          </w:p>
        </w:tc>
        <w:tc>
          <w:tcPr>
            <w:tcW w:w="1057" w:type="dxa"/>
          </w:tcPr>
          <w:p w:rsidR="002602C8" w:rsidRPr="00405CAA" w:rsidRDefault="002602C8" w:rsidP="00CA71E8">
            <w:pPr>
              <w:spacing w:before="60" w:after="60"/>
              <w:jc w:val="center"/>
            </w:pPr>
          </w:p>
        </w:tc>
      </w:tr>
      <w:tr w:rsidR="002602C8" w:rsidRPr="00405CAA" w:rsidTr="00CA71E8">
        <w:tc>
          <w:tcPr>
            <w:tcW w:w="1350" w:type="dxa"/>
          </w:tcPr>
          <w:p w:rsidR="002602C8" w:rsidRPr="00405CAA" w:rsidRDefault="002602C8" w:rsidP="00CA71E8">
            <w:pPr>
              <w:spacing w:before="60" w:after="60"/>
              <w:rPr>
                <w:b/>
              </w:rPr>
            </w:pPr>
            <w:r w:rsidRPr="00405CAA">
              <w:rPr>
                <w:b/>
              </w:rPr>
              <w:t>Overnight</w:t>
            </w:r>
          </w:p>
        </w:tc>
        <w:tc>
          <w:tcPr>
            <w:tcW w:w="1067" w:type="dxa"/>
          </w:tcPr>
          <w:p w:rsidR="002602C8" w:rsidRPr="00405CAA" w:rsidRDefault="002602C8" w:rsidP="00CA71E8">
            <w:pPr>
              <w:spacing w:before="60" w:after="60"/>
              <w:jc w:val="center"/>
            </w:pPr>
          </w:p>
        </w:tc>
        <w:tc>
          <w:tcPr>
            <w:tcW w:w="1063" w:type="dxa"/>
          </w:tcPr>
          <w:p w:rsidR="002602C8" w:rsidRPr="00405CAA" w:rsidRDefault="002602C8" w:rsidP="00CA71E8">
            <w:pPr>
              <w:spacing w:before="60" w:after="60"/>
              <w:jc w:val="center"/>
            </w:pPr>
          </w:p>
        </w:tc>
        <w:tc>
          <w:tcPr>
            <w:tcW w:w="1068" w:type="dxa"/>
          </w:tcPr>
          <w:p w:rsidR="002602C8" w:rsidRPr="00405CAA" w:rsidRDefault="002602C8" w:rsidP="00CA71E8">
            <w:pPr>
              <w:spacing w:before="60" w:after="60"/>
              <w:jc w:val="center"/>
            </w:pPr>
          </w:p>
        </w:tc>
        <w:tc>
          <w:tcPr>
            <w:tcW w:w="1064" w:type="dxa"/>
          </w:tcPr>
          <w:p w:rsidR="002602C8" w:rsidRPr="00405CAA" w:rsidRDefault="002602C8" w:rsidP="00CA71E8">
            <w:pPr>
              <w:spacing w:before="60" w:after="60"/>
              <w:jc w:val="center"/>
            </w:pPr>
          </w:p>
        </w:tc>
        <w:tc>
          <w:tcPr>
            <w:tcW w:w="1054" w:type="dxa"/>
          </w:tcPr>
          <w:p w:rsidR="002602C8" w:rsidRPr="00405CAA" w:rsidRDefault="002602C8" w:rsidP="00CA71E8">
            <w:pPr>
              <w:spacing w:before="60" w:after="60"/>
              <w:jc w:val="center"/>
            </w:pPr>
          </w:p>
        </w:tc>
        <w:tc>
          <w:tcPr>
            <w:tcW w:w="1059" w:type="dxa"/>
          </w:tcPr>
          <w:p w:rsidR="002602C8" w:rsidRPr="00405CAA" w:rsidRDefault="002602C8" w:rsidP="00CA71E8">
            <w:pPr>
              <w:spacing w:before="60" w:after="60"/>
              <w:jc w:val="center"/>
            </w:pPr>
          </w:p>
        </w:tc>
        <w:tc>
          <w:tcPr>
            <w:tcW w:w="1066" w:type="dxa"/>
          </w:tcPr>
          <w:p w:rsidR="002602C8" w:rsidRPr="00405CAA" w:rsidRDefault="002602C8" w:rsidP="00CA71E8">
            <w:pPr>
              <w:spacing w:before="60" w:after="60"/>
              <w:jc w:val="center"/>
            </w:pPr>
          </w:p>
        </w:tc>
        <w:tc>
          <w:tcPr>
            <w:tcW w:w="1057" w:type="dxa"/>
          </w:tcPr>
          <w:p w:rsidR="002602C8" w:rsidRPr="00405CAA" w:rsidRDefault="002602C8" w:rsidP="00CA71E8">
            <w:pPr>
              <w:spacing w:before="60" w:after="60"/>
              <w:jc w:val="center"/>
            </w:pPr>
          </w:p>
        </w:tc>
      </w:tr>
      <w:tr w:rsidR="002602C8" w:rsidRPr="00405CAA" w:rsidTr="00CA71E8">
        <w:tc>
          <w:tcPr>
            <w:tcW w:w="9848" w:type="dxa"/>
            <w:gridSpan w:val="9"/>
          </w:tcPr>
          <w:p w:rsidR="002602C8" w:rsidRPr="00405CAA" w:rsidRDefault="002602C8" w:rsidP="00CA71E8">
            <w:pPr>
              <w:spacing w:before="60" w:after="60"/>
            </w:pPr>
            <w:r w:rsidRPr="00405CAA">
              <w:rPr>
                <w:b/>
              </w:rPr>
              <w:t>Times of year not available:</w:t>
            </w:r>
          </w:p>
        </w:tc>
      </w:tr>
      <w:tr w:rsidR="002602C8" w:rsidRPr="00405CAA" w:rsidTr="00CA71E8">
        <w:tc>
          <w:tcPr>
            <w:tcW w:w="9848" w:type="dxa"/>
            <w:gridSpan w:val="9"/>
          </w:tcPr>
          <w:p w:rsidR="002602C8" w:rsidRPr="00405CAA" w:rsidRDefault="002602C8" w:rsidP="00CA71E8">
            <w:pPr>
              <w:spacing w:before="60" w:after="60"/>
            </w:pPr>
            <w:r w:rsidRPr="00405CAA">
              <w:rPr>
                <w:b/>
              </w:rPr>
              <w:t>Name:</w:t>
            </w:r>
          </w:p>
        </w:tc>
      </w:tr>
      <w:tr w:rsidR="002602C8" w:rsidRPr="00405CAA" w:rsidTr="00CA71E8">
        <w:tc>
          <w:tcPr>
            <w:tcW w:w="9848" w:type="dxa"/>
            <w:gridSpan w:val="9"/>
          </w:tcPr>
          <w:p w:rsidR="002602C8" w:rsidRPr="00405CAA" w:rsidRDefault="002602C8" w:rsidP="00CA71E8">
            <w:pPr>
              <w:spacing w:before="60" w:after="60"/>
            </w:pPr>
            <w:r w:rsidRPr="00405CAA">
              <w:rPr>
                <w:b/>
              </w:rPr>
              <w:t>Last updated:</w:t>
            </w:r>
          </w:p>
        </w:tc>
      </w:tr>
    </w:tbl>
    <w:p w:rsidR="000A311E" w:rsidRPr="00405CAA" w:rsidRDefault="000A311E" w:rsidP="00CA27C7">
      <w:pPr>
        <w:spacing w:after="0"/>
      </w:pPr>
    </w:p>
    <w:p w:rsidR="00211CDD" w:rsidRPr="00405CAA" w:rsidRDefault="000A311E" w:rsidP="00493D54">
      <w:r w:rsidRPr="00405CAA">
        <w:t xml:space="preserve">In terms of downward flexibility, providing </w:t>
      </w:r>
      <w:r w:rsidR="004D02BB" w:rsidRPr="00405CAA">
        <w:t xml:space="preserve">the </w:t>
      </w:r>
      <w:r w:rsidRPr="00405CAA">
        <w:t xml:space="preserve">ability to temporarily reduce working hours if clients leave and no replacement clients </w:t>
      </w:r>
      <w:r w:rsidR="004D02BB" w:rsidRPr="00405CAA">
        <w:t xml:space="preserve">are </w:t>
      </w:r>
      <w:r w:rsidRPr="00405CAA">
        <w:t>readily available</w:t>
      </w:r>
      <w:r w:rsidR="004D02BB" w:rsidRPr="00405CAA">
        <w:t>,</w:t>
      </w:r>
      <w:r w:rsidRPr="00405CAA">
        <w:t xml:space="preserve"> the organisation’s working time policies, including any enterprise agreements or flexible working time policies can be of assistance.</w:t>
      </w:r>
      <w:r w:rsidR="004D02BB" w:rsidRPr="00405CAA">
        <w:t xml:space="preserve"> </w:t>
      </w:r>
      <w:r w:rsidR="00211CDD" w:rsidRPr="00405CAA">
        <w:t xml:space="preserve">An enterprise agreement for example may allow hours to be averaged over a longer period than the award, and organisations may be able by negotiation temporarily reduce rostered hours. </w:t>
      </w:r>
      <w:r w:rsidR="005228AB" w:rsidRPr="00405CAA">
        <w:t xml:space="preserve">The recent Fair Work Commission decision on part-time and casual work made as part of the Modern Award Review makes it clear that regular part-time work can nonetheless include seasonal fluctuations, and rosters that change according to a predictable pattern. This can help overcome reduced demand in holiday periods. </w:t>
      </w:r>
      <w:r w:rsidR="00211CDD" w:rsidRPr="00405CAA">
        <w:t>Reductions in casual and any agency staff are of course another strategy</w:t>
      </w:r>
      <w:r w:rsidR="005228AB" w:rsidRPr="00405CAA">
        <w:t xml:space="preserve"> if client demand changes. </w:t>
      </w:r>
    </w:p>
    <w:p w:rsidR="00493D54" w:rsidRPr="00405CAA" w:rsidRDefault="00211CDD" w:rsidP="00493D54">
      <w:r w:rsidRPr="00405CAA">
        <w:t xml:space="preserve">A common obstacle to optimal utilisation in disability organisations is that different sections of the organisation engage and ‘own’ their own staff. Average hours are very low in the disability sector, </w:t>
      </w:r>
      <w:r w:rsidR="003C1906" w:rsidRPr="00405CAA">
        <w:t xml:space="preserve">currently </w:t>
      </w:r>
      <w:r w:rsidRPr="00405CAA">
        <w:t xml:space="preserve">at around 22 hours/week. Yet at the same time many disability workers want more hours of work, and this is often cited by workers as the main reason for changing jobs. </w:t>
      </w:r>
      <w:r w:rsidR="00376FC7" w:rsidRPr="00405CAA">
        <w:t>In fact</w:t>
      </w:r>
      <w:r w:rsidR="003C1906" w:rsidRPr="00405CAA">
        <w:t>,</w:t>
      </w:r>
      <w:r w:rsidR="00376FC7" w:rsidRPr="00405CAA">
        <w:t xml:space="preserve"> Workforce Wizard</w:t>
      </w:r>
      <w:r w:rsidR="00376FC7" w:rsidRPr="00405CAA">
        <w:footnoteReference w:id="10"/>
      </w:r>
      <w:r w:rsidR="00376FC7" w:rsidRPr="00405CAA">
        <w:t xml:space="preserve"> indicates interesting variations between states and territories across the country indicating change is possible. </w:t>
      </w:r>
      <w:r w:rsidRPr="00405CAA">
        <w:t>Reducing the recruitment of new staff in another section of the organisation may be one way to balance a downturn in client hours in another section.</w:t>
      </w:r>
    </w:p>
    <w:p w:rsidR="004D02BB" w:rsidRPr="00C156EB" w:rsidRDefault="004D02BB" w:rsidP="00E54420">
      <w:pPr>
        <w:pStyle w:val="Heading3"/>
        <w:rPr>
          <w:color w:val="auto"/>
        </w:rPr>
      </w:pPr>
      <w:r w:rsidRPr="00C156EB">
        <w:rPr>
          <w:color w:val="auto"/>
        </w:rPr>
        <w:t>Other considerations</w:t>
      </w:r>
    </w:p>
    <w:p w:rsidR="00211CDD" w:rsidRPr="00405CAA" w:rsidRDefault="002602C8" w:rsidP="00493D54">
      <w:r w:rsidRPr="00405CAA">
        <w:t xml:space="preserve">There may be other worker capabilities that need to be tracked, such as qualifications, whether various types of mandatory training have been completed, personal interests, </w:t>
      </w:r>
      <w:r w:rsidRPr="00405CAA">
        <w:lastRenderedPageBreak/>
        <w:t xml:space="preserve">hobbies and skills, whether shadow shifts have been undertaken with particular clients, </w:t>
      </w:r>
      <w:r w:rsidR="00612E77" w:rsidRPr="00405CAA">
        <w:t xml:space="preserve">experience in working with certain types of client, </w:t>
      </w:r>
      <w:r w:rsidRPr="00405CAA">
        <w:t xml:space="preserve">etc. These matters all pertain to matching </w:t>
      </w:r>
      <w:r w:rsidR="00CD5704" w:rsidRPr="00405CAA">
        <w:t xml:space="preserve">each </w:t>
      </w:r>
      <w:r w:rsidRPr="00405CAA">
        <w:t>client</w:t>
      </w:r>
      <w:r w:rsidR="00CD5704" w:rsidRPr="00405CAA">
        <w:t>’</w:t>
      </w:r>
      <w:r w:rsidRPr="00405CAA">
        <w:t>s preferences and needs.</w:t>
      </w:r>
    </w:p>
    <w:p w:rsidR="00567A4B" w:rsidRPr="00405CAA" w:rsidRDefault="000A311E" w:rsidP="00493D54">
      <w:r w:rsidRPr="00405CAA">
        <w:t>Capacity</w:t>
      </w:r>
      <w:r w:rsidR="00567A4B" w:rsidRPr="00405CAA">
        <w:t xml:space="preserve"> </w:t>
      </w:r>
      <w:r w:rsidRPr="00405CAA">
        <w:t xml:space="preserve">elasticity </w:t>
      </w:r>
      <w:r w:rsidR="00567A4B" w:rsidRPr="00405CAA">
        <w:t>is not only a function of personnel availability and suitability</w:t>
      </w:r>
      <w:r w:rsidR="00CD5704" w:rsidRPr="00405CAA">
        <w:t>—</w:t>
      </w:r>
      <w:r w:rsidR="00567A4B" w:rsidRPr="00405CAA">
        <w:t>the organisation that supports the delivery of services also has a natural capacity that needs to be considered. Usually, when activity (that is, service volume) levels rise beyond the capacity of the organisation so that fixed costs are increased, we say that the organisation has moved outside the top of its ‘relevant range’ of activity: the range of activity in which the assumptions made about fixed and variable costs are true. For instance, if activity increases beyond a certain level, it may be necessary to increase fixed costs by employing a general manager or leasing more office space. Conversely, such an increase may cause the variable costs to be reduced as a result of economies of scale.</w:t>
      </w:r>
    </w:p>
    <w:p w:rsidR="000A311E" w:rsidRDefault="00567A4B" w:rsidP="00567A4B">
      <w:r w:rsidRPr="00405CAA">
        <w:t xml:space="preserve">One particular consideration for an organisation looking to increase its level of activity is whether the systems that support human resources management will cope. Additional staff will certainly increase the volume of payroll transactions, and this alone may require investment (e.g. purchasing a higher capacity licence for human resources management software). Additional staff might also increase the number of different employment contracts and awards being applied by the organisation, which may require investment (e.g. moving to more sophisticated human </w:t>
      </w:r>
      <w:r w:rsidR="00963896">
        <w:t>resources management software).</w:t>
      </w:r>
    </w:p>
    <w:p w:rsidR="00B37CE1" w:rsidRPr="00C156EB" w:rsidRDefault="0077095A" w:rsidP="00BD23E0">
      <w:pPr>
        <w:pStyle w:val="Heading1"/>
        <w:rPr>
          <w:rFonts w:ascii="Arial" w:hAnsi="Arial" w:cs="Arial"/>
          <w:color w:val="auto"/>
          <w:sz w:val="24"/>
          <w:szCs w:val="24"/>
        </w:rPr>
      </w:pPr>
      <w:bookmarkStart w:id="13" w:name="_Toc488912243"/>
      <w:bookmarkStart w:id="14" w:name="_Ref476733596"/>
      <w:r w:rsidRPr="00C156EB">
        <w:rPr>
          <w:rFonts w:ascii="Arial" w:hAnsi="Arial" w:cs="Arial"/>
          <w:color w:val="auto"/>
          <w:sz w:val="24"/>
          <w:szCs w:val="24"/>
        </w:rPr>
        <w:t>A s</w:t>
      </w:r>
      <w:r w:rsidR="00B37CE1" w:rsidRPr="00C156EB">
        <w:rPr>
          <w:rFonts w:ascii="Arial" w:hAnsi="Arial" w:cs="Arial"/>
          <w:color w:val="auto"/>
          <w:sz w:val="24"/>
          <w:szCs w:val="24"/>
        </w:rPr>
        <w:t>cenario</w:t>
      </w:r>
      <w:r w:rsidRPr="00C156EB">
        <w:rPr>
          <w:rFonts w:ascii="Arial" w:hAnsi="Arial" w:cs="Arial"/>
          <w:color w:val="auto"/>
          <w:sz w:val="24"/>
          <w:szCs w:val="24"/>
        </w:rPr>
        <w:t xml:space="preserve">: </w:t>
      </w:r>
      <w:r w:rsidR="00612E77" w:rsidRPr="00C156EB">
        <w:rPr>
          <w:rFonts w:ascii="Arial" w:hAnsi="Arial" w:cs="Arial"/>
          <w:color w:val="auto"/>
          <w:sz w:val="24"/>
          <w:szCs w:val="24"/>
        </w:rPr>
        <w:t xml:space="preserve">flexible </w:t>
      </w:r>
      <w:r w:rsidRPr="00C156EB">
        <w:rPr>
          <w:rFonts w:ascii="Arial" w:hAnsi="Arial" w:cs="Arial"/>
          <w:color w:val="auto"/>
          <w:sz w:val="24"/>
          <w:szCs w:val="24"/>
        </w:rPr>
        <w:t>working</w:t>
      </w:r>
      <w:r w:rsidR="00612E77" w:rsidRPr="00C156EB">
        <w:rPr>
          <w:rFonts w:ascii="Arial" w:hAnsi="Arial" w:cs="Arial"/>
          <w:color w:val="auto"/>
          <w:sz w:val="24"/>
          <w:szCs w:val="24"/>
        </w:rPr>
        <w:t xml:space="preserve"> in a therapy setting</w:t>
      </w:r>
      <w:bookmarkEnd w:id="13"/>
    </w:p>
    <w:p w:rsidR="00B37CE1" w:rsidRPr="00405CAA" w:rsidRDefault="00FF45D6">
      <w:r w:rsidRPr="00405CAA">
        <w:t>This</w:t>
      </w:r>
      <w:r w:rsidR="00B37CE1" w:rsidRPr="00405CAA">
        <w:t xml:space="preserve"> section</w:t>
      </w:r>
      <w:r w:rsidRPr="00405CAA">
        <w:t xml:space="preserve"> e</w:t>
      </w:r>
      <w:r w:rsidR="00B37CE1" w:rsidRPr="00405CAA">
        <w:t>xplore</w:t>
      </w:r>
      <w:r w:rsidRPr="00405CAA">
        <w:t>s</w:t>
      </w:r>
      <w:r w:rsidR="00B37CE1" w:rsidRPr="00405CAA">
        <w:t xml:space="preserve"> </w:t>
      </w:r>
      <w:r w:rsidR="00E17548" w:rsidRPr="00405CAA">
        <w:t>a</w:t>
      </w:r>
      <w:r w:rsidR="00B37CE1" w:rsidRPr="00405CAA">
        <w:t xml:space="preserve"> scenario </w:t>
      </w:r>
      <w:r w:rsidR="00B906F3" w:rsidRPr="00405CAA">
        <w:t>which demonstrate the issues discussed above</w:t>
      </w:r>
      <w:r w:rsidR="00B37CE1" w:rsidRPr="00405CAA">
        <w:t xml:space="preserve">.  </w:t>
      </w:r>
      <w:r w:rsidR="00E17548" w:rsidRPr="00405CAA">
        <w:t>W</w:t>
      </w:r>
      <w:r w:rsidR="00B37CE1" w:rsidRPr="00405CAA">
        <w:t>e highlight the relevant issues, the response options available, how to consider those options, the implications (both positive and negative) of the possible responses, and how to measure performance</w:t>
      </w:r>
      <w:r w:rsidRPr="00405CAA">
        <w:t xml:space="preserve"> (that is, the relevant metrics)</w:t>
      </w:r>
      <w:r w:rsidR="00B37CE1" w:rsidRPr="00405CAA">
        <w:t>.</w:t>
      </w:r>
    </w:p>
    <w:p w:rsidR="00C7455D" w:rsidRPr="00405CAA" w:rsidRDefault="00934CDE">
      <w:pPr>
        <w:pStyle w:val="Normalprelist"/>
      </w:pPr>
      <w:r w:rsidRPr="00405CAA">
        <w:t xml:space="preserve">While </w:t>
      </w:r>
      <w:r w:rsidR="00E17548" w:rsidRPr="00405CAA">
        <w:t>the</w:t>
      </w:r>
      <w:r w:rsidR="00CA294E" w:rsidRPr="00405CAA">
        <w:t xml:space="preserve"> scenario is written from the perspective of the </w:t>
      </w:r>
      <w:r w:rsidR="005875F4" w:rsidRPr="00405CAA">
        <w:t>o</w:t>
      </w:r>
      <w:r w:rsidR="00C653AC" w:rsidRPr="00405CAA">
        <w:t>rganisation</w:t>
      </w:r>
      <w:r w:rsidRPr="00405CAA">
        <w:t xml:space="preserve">, the consideration of the options available </w:t>
      </w:r>
      <w:r w:rsidR="00C46A76" w:rsidRPr="00405CAA">
        <w:t xml:space="preserve">considers the requirements of the </w:t>
      </w:r>
      <w:r w:rsidR="005875F4" w:rsidRPr="00405CAA">
        <w:t>c</w:t>
      </w:r>
      <w:r w:rsidR="00C653AC" w:rsidRPr="00405CAA">
        <w:t>lient</w:t>
      </w:r>
      <w:r w:rsidR="00C46A76" w:rsidRPr="00405CAA">
        <w:t xml:space="preserve">, the </w:t>
      </w:r>
      <w:r w:rsidR="00E17548" w:rsidRPr="00405CAA">
        <w:t xml:space="preserve">frontline </w:t>
      </w:r>
      <w:r w:rsidR="00C653AC" w:rsidRPr="00405CAA">
        <w:t>worker</w:t>
      </w:r>
      <w:r w:rsidR="00C46A76" w:rsidRPr="00405CAA">
        <w:t xml:space="preserve"> and the </w:t>
      </w:r>
      <w:r w:rsidR="005875F4" w:rsidRPr="00405CAA">
        <w:t>o</w:t>
      </w:r>
      <w:r w:rsidR="00C653AC" w:rsidRPr="00405CAA">
        <w:t>rganisation</w:t>
      </w:r>
      <w:r w:rsidR="00CA294E" w:rsidRPr="00405CAA">
        <w:t>.</w:t>
      </w:r>
      <w:r w:rsidR="00CC7EEA" w:rsidRPr="00405CAA">
        <w:t xml:space="preserve"> The </w:t>
      </w:r>
      <w:r w:rsidR="00C46A76" w:rsidRPr="00405CAA">
        <w:t>analys</w:t>
      </w:r>
      <w:r w:rsidR="00E17548" w:rsidRPr="00405CAA">
        <w:t>i</w:t>
      </w:r>
      <w:r w:rsidR="00C46A76" w:rsidRPr="00405CAA">
        <w:t>s</w:t>
      </w:r>
      <w:r w:rsidR="00CC7EEA" w:rsidRPr="00405CAA">
        <w:t xml:space="preserve"> </w:t>
      </w:r>
      <w:r w:rsidR="00E17548" w:rsidRPr="00405CAA">
        <w:t>is</w:t>
      </w:r>
      <w:r w:rsidR="00CC7EEA" w:rsidRPr="00405CAA">
        <w:t xml:space="preserve"> generic and intended to be illustrative rather than </w:t>
      </w:r>
      <w:r w:rsidR="00BE7461" w:rsidRPr="00405CAA">
        <w:t xml:space="preserve">exhaustive. The common theme </w:t>
      </w:r>
      <w:r w:rsidR="00630182" w:rsidRPr="00405CAA">
        <w:t>in considering the options is to find the right balance between</w:t>
      </w:r>
      <w:r w:rsidR="00C7455D" w:rsidRPr="00405CAA">
        <w:t>:</w:t>
      </w:r>
    </w:p>
    <w:p w:rsidR="00C7455D" w:rsidRPr="00405CAA" w:rsidRDefault="00463E64" w:rsidP="00E7083B">
      <w:pPr>
        <w:pStyle w:val="ListParagraph"/>
        <w:numPr>
          <w:ilvl w:val="0"/>
          <w:numId w:val="30"/>
        </w:numPr>
        <w:jc w:val="both"/>
      </w:pPr>
      <w:r w:rsidRPr="00405CAA">
        <w:t>the client having and exercising choice and control</w:t>
      </w:r>
      <w:r w:rsidR="00B3413E" w:rsidRPr="00405CAA">
        <w:t>;</w:t>
      </w:r>
    </w:p>
    <w:p w:rsidR="00C7455D" w:rsidRPr="00405CAA" w:rsidRDefault="00463E64" w:rsidP="00E7083B">
      <w:pPr>
        <w:pStyle w:val="ListParagraph"/>
        <w:numPr>
          <w:ilvl w:val="0"/>
          <w:numId w:val="30"/>
        </w:numPr>
        <w:jc w:val="both"/>
      </w:pPr>
      <w:r w:rsidRPr="00405CAA">
        <w:t xml:space="preserve">the </w:t>
      </w:r>
      <w:r w:rsidR="00E17548" w:rsidRPr="00405CAA">
        <w:t xml:space="preserve">frontline </w:t>
      </w:r>
      <w:r w:rsidRPr="00405CAA">
        <w:t>worker having their preferences respected; and</w:t>
      </w:r>
    </w:p>
    <w:p w:rsidR="00CC7EEA" w:rsidRPr="00405CAA" w:rsidRDefault="00463E64" w:rsidP="00E7083B">
      <w:pPr>
        <w:pStyle w:val="ListParagraph"/>
        <w:numPr>
          <w:ilvl w:val="0"/>
          <w:numId w:val="30"/>
        </w:numPr>
        <w:jc w:val="both"/>
      </w:pPr>
      <w:r w:rsidRPr="00405CAA">
        <w:t>the organisation being cost efficient.</w:t>
      </w:r>
    </w:p>
    <w:p w:rsidR="00B906F3" w:rsidRPr="00405CAA" w:rsidRDefault="009C0251">
      <w:r w:rsidRPr="00405CAA">
        <w:t xml:space="preserve">Importantly, </w:t>
      </w:r>
      <w:r w:rsidR="00B906F3" w:rsidRPr="00405CAA">
        <w:t>th</w:t>
      </w:r>
      <w:r w:rsidR="005B0B0A" w:rsidRPr="00405CAA">
        <w:t>is G</w:t>
      </w:r>
      <w:r w:rsidR="00B906F3" w:rsidRPr="00405CAA">
        <w:t>uide</w:t>
      </w:r>
      <w:r w:rsidR="0018232F" w:rsidRPr="00405CAA">
        <w:t xml:space="preserve"> is biased towards the options that deliver greater decision-usefulness. </w:t>
      </w:r>
      <w:r w:rsidR="001D0F1D" w:rsidRPr="00405CAA">
        <w:t xml:space="preserve">A </w:t>
      </w:r>
      <w:r w:rsidR="00B906F3" w:rsidRPr="00405CAA">
        <w:t xml:space="preserve">good </w:t>
      </w:r>
      <w:r w:rsidR="001D0F1D" w:rsidRPr="00405CAA">
        <w:t xml:space="preserve">counterbalance to this bias is to remain conscious that most change requires investment (one-off and ongoing) and the benefit should be proven to exceed the cost before the change is selected. </w:t>
      </w:r>
    </w:p>
    <w:p w:rsidR="00DA465E" w:rsidRDefault="00DA465E">
      <w:pPr>
        <w:spacing w:after="0" w:line="240" w:lineRule="auto"/>
        <w:rPr>
          <w:rFonts w:eastAsia="Calibri"/>
          <w:b/>
          <w:lang w:eastAsia="en-US"/>
        </w:rPr>
      </w:pPr>
      <w:r>
        <w:br w:type="page"/>
      </w:r>
    </w:p>
    <w:p w:rsidR="00E17548" w:rsidRPr="00405CAA" w:rsidRDefault="00E17548" w:rsidP="00E17548">
      <w:pPr>
        <w:pStyle w:val="Strongheadingsmall"/>
        <w:rPr>
          <w:rFonts w:ascii="Arial" w:hAnsi="Arial" w:cs="Arial"/>
        </w:rPr>
      </w:pPr>
      <w:r w:rsidRPr="00405CAA">
        <w:rPr>
          <w:rFonts w:ascii="Arial" w:hAnsi="Arial" w:cs="Arial"/>
        </w:rPr>
        <w:lastRenderedPageBreak/>
        <w:t>The scenario</w:t>
      </w:r>
    </w:p>
    <w:p w:rsidR="00E17548" w:rsidRPr="00405CAA" w:rsidRDefault="00B3554C" w:rsidP="00E17548">
      <w:r w:rsidRPr="00405CAA">
        <w:t xml:space="preserve">A provider of </w:t>
      </w:r>
      <w:r w:rsidR="00044ED6" w:rsidRPr="00405CAA">
        <w:t xml:space="preserve">early intervention </w:t>
      </w:r>
      <w:r w:rsidRPr="00405CAA">
        <w:t xml:space="preserve">therapy services is considering </w:t>
      </w:r>
      <w:r w:rsidR="00DB6A1F" w:rsidRPr="00405CAA">
        <w:t xml:space="preserve">whether </w:t>
      </w:r>
      <w:r w:rsidRPr="00405CAA">
        <w:t xml:space="preserve">to offer their full-time frontline staff more flexibility </w:t>
      </w:r>
      <w:r w:rsidR="001C2951" w:rsidRPr="00405CAA">
        <w:t>by allowing</w:t>
      </w:r>
      <w:r w:rsidRPr="00405CAA">
        <w:t xml:space="preserve"> them to work a nine-day fortnight. </w:t>
      </w:r>
      <w:r w:rsidR="002554E9">
        <w:t>B</w:t>
      </w:r>
      <w:r w:rsidRPr="00405CAA">
        <w:t xml:space="preserve">efore taking this step they want to know what the impact will be on their workforce productivity and utilisation. </w:t>
      </w:r>
      <w:r w:rsidR="0059727E" w:rsidRPr="00405CAA">
        <w:t xml:space="preserve">They run a </w:t>
      </w:r>
      <w:r w:rsidR="001C2951" w:rsidRPr="00405CAA">
        <w:t>9:00am to 5:00pm</w:t>
      </w:r>
      <w:r w:rsidR="00DB6A1F" w:rsidRPr="00405CAA">
        <w:t>,</w:t>
      </w:r>
      <w:r w:rsidR="001C2951" w:rsidRPr="00405CAA">
        <w:t xml:space="preserve"> </w:t>
      </w:r>
      <w:r w:rsidR="0059727E" w:rsidRPr="00405CAA">
        <w:t xml:space="preserve">centre-based service with clients coming to them for 1-hour appointments. </w:t>
      </w:r>
      <w:r w:rsidR="00612E77" w:rsidRPr="00405CAA">
        <w:t>Each 1-hour face-to-face appointment comes with 0.5 hours of associated service time, of which half is billable and half is not.</w:t>
      </w:r>
    </w:p>
    <w:p w:rsidR="00E17548" w:rsidRPr="00405CAA" w:rsidRDefault="00E17548" w:rsidP="00E17548">
      <w:pPr>
        <w:pStyle w:val="Strongheadingsmall"/>
        <w:rPr>
          <w:rFonts w:ascii="Arial" w:hAnsi="Arial" w:cs="Arial"/>
        </w:rPr>
      </w:pPr>
      <w:r w:rsidRPr="00405CAA">
        <w:rPr>
          <w:rFonts w:ascii="Arial" w:hAnsi="Arial" w:cs="Arial"/>
        </w:rPr>
        <w:t>The relevant issues</w:t>
      </w:r>
    </w:p>
    <w:p w:rsidR="0059727E" w:rsidRPr="00405CAA" w:rsidRDefault="00E17548" w:rsidP="0059727E">
      <w:r w:rsidRPr="00405CAA">
        <w:t xml:space="preserve">Productivity and utilisation are the organisation’s two main levers in converting paid time to billable time.  </w:t>
      </w:r>
      <w:r w:rsidR="0059727E" w:rsidRPr="00405CAA">
        <w:t xml:space="preserve">Under a nine-day fortnight </w:t>
      </w:r>
      <w:r w:rsidR="00DB6A1F" w:rsidRPr="00405CAA">
        <w:t xml:space="preserve">model </w:t>
      </w:r>
      <w:r w:rsidR="0059727E" w:rsidRPr="00405CAA">
        <w:t>the worker works nine slightly extended working days over a fortnight and has the 10</w:t>
      </w:r>
      <w:r w:rsidR="0059727E" w:rsidRPr="00405CAA">
        <w:rPr>
          <w:vertAlign w:val="superscript"/>
        </w:rPr>
        <w:t>th</w:t>
      </w:r>
      <w:r w:rsidR="0059727E" w:rsidRPr="00405CAA">
        <w:t xml:space="preserve"> day off.  </w:t>
      </w:r>
    </w:p>
    <w:p w:rsidR="00E17548" w:rsidRPr="00405CAA" w:rsidRDefault="00E17548" w:rsidP="00E17548">
      <w:r w:rsidRPr="00405CAA">
        <w:t>The intended consequence is clear—introducing flexible work options to improve</w:t>
      </w:r>
      <w:r w:rsidR="00DB6A1F" w:rsidRPr="00405CAA">
        <w:t xml:space="preserve"> prospects for the</w:t>
      </w:r>
      <w:r w:rsidRPr="00405CAA">
        <w:t xml:space="preserve"> attraction and retention of staff</w:t>
      </w:r>
      <w:r w:rsidR="005B0B0A" w:rsidRPr="00405CAA">
        <w:t xml:space="preserve">, and thereby enhance capacity elasticity </w:t>
      </w:r>
      <w:r w:rsidRPr="00405CAA">
        <w:t xml:space="preserve">—but it is the unintended consequences that need to be thoroughly considered. </w:t>
      </w:r>
    </w:p>
    <w:p w:rsidR="00E17548" w:rsidRPr="00405CAA" w:rsidRDefault="00E17548" w:rsidP="00E17548">
      <w:pPr>
        <w:pStyle w:val="Strongheadingsmall"/>
        <w:rPr>
          <w:rFonts w:ascii="Arial" w:hAnsi="Arial" w:cs="Arial"/>
        </w:rPr>
      </w:pPr>
      <w:r w:rsidRPr="00405CAA">
        <w:rPr>
          <w:rFonts w:ascii="Arial" w:hAnsi="Arial" w:cs="Arial"/>
        </w:rPr>
        <w:t>How to consider th</w:t>
      </w:r>
      <w:r w:rsidR="005B0B0A" w:rsidRPr="00405CAA">
        <w:rPr>
          <w:rFonts w:ascii="Arial" w:hAnsi="Arial" w:cs="Arial"/>
        </w:rPr>
        <w:t>e</w:t>
      </w:r>
      <w:r w:rsidR="00CD6BD0" w:rsidRPr="00405CAA">
        <w:rPr>
          <w:rFonts w:ascii="Arial" w:hAnsi="Arial" w:cs="Arial"/>
        </w:rPr>
        <w:t>se circumstances</w:t>
      </w:r>
    </w:p>
    <w:p w:rsidR="00B3554C" w:rsidRPr="00405CAA" w:rsidRDefault="00376FC7" w:rsidP="001D2EA0">
      <w:pPr>
        <w:pStyle w:val="ListParagraph"/>
        <w:numPr>
          <w:ilvl w:val="0"/>
          <w:numId w:val="55"/>
        </w:numPr>
        <w:spacing w:after="60"/>
        <w:ind w:left="425" w:hanging="425"/>
        <w:contextualSpacing w:val="0"/>
      </w:pPr>
      <w:r w:rsidRPr="00405CAA">
        <w:t>S</w:t>
      </w:r>
      <w:r w:rsidR="00B3554C" w:rsidRPr="00405CAA">
        <w:t xml:space="preserve">tart with the client perspective. </w:t>
      </w:r>
      <w:r w:rsidR="0059727E" w:rsidRPr="00405CAA">
        <w:t>It is important to investigate</w:t>
      </w:r>
      <w:r w:rsidR="00B3554C" w:rsidRPr="00405CAA">
        <w:t xml:space="preserve"> whether clients will take</w:t>
      </w:r>
      <w:r w:rsidR="0059727E" w:rsidRPr="00405CAA">
        <w:t xml:space="preserve"> </w:t>
      </w:r>
      <w:r w:rsidR="00B3554C" w:rsidRPr="00405CAA">
        <w:t>appointments</w:t>
      </w:r>
      <w:r w:rsidR="0059727E" w:rsidRPr="00405CAA">
        <w:t xml:space="preserve"> during the extended working day </w:t>
      </w:r>
      <w:r w:rsidR="005B0B0A" w:rsidRPr="00405CAA">
        <w:t>(</w:t>
      </w:r>
      <w:r w:rsidR="0059727E" w:rsidRPr="00405CAA">
        <w:t>e.g. earlier in the day before 9:00am</w:t>
      </w:r>
      <w:r w:rsidR="005B0B0A" w:rsidRPr="00405CAA">
        <w:t>,</w:t>
      </w:r>
      <w:r w:rsidR="0059727E" w:rsidRPr="00405CAA">
        <w:t xml:space="preserve"> or later in the day after 5:00pm</w:t>
      </w:r>
      <w:r w:rsidR="005B0B0A" w:rsidRPr="00405CAA">
        <w:t>)</w:t>
      </w:r>
      <w:r w:rsidR="0059727E" w:rsidRPr="00405CAA">
        <w:t xml:space="preserve">. </w:t>
      </w:r>
      <w:r w:rsidR="00B3554C" w:rsidRPr="00405CAA">
        <w:t xml:space="preserve">For instance, </w:t>
      </w:r>
      <w:r w:rsidR="00934A2C" w:rsidRPr="00405CAA">
        <w:t xml:space="preserve">appointments </w:t>
      </w:r>
      <w:r w:rsidR="00B3554C" w:rsidRPr="00405CAA">
        <w:t xml:space="preserve">later </w:t>
      </w:r>
      <w:r w:rsidR="00934A2C" w:rsidRPr="00405CAA">
        <w:t xml:space="preserve">in the day </w:t>
      </w:r>
      <w:r w:rsidR="00B3554C" w:rsidRPr="00405CAA">
        <w:t xml:space="preserve">may not appeal to clients </w:t>
      </w:r>
      <w:r w:rsidR="00044ED6" w:rsidRPr="00405CAA">
        <w:t>with young children</w:t>
      </w:r>
      <w:r w:rsidR="006F6B8E" w:rsidRPr="00405CAA">
        <w:t xml:space="preserve"> because </w:t>
      </w:r>
      <w:r w:rsidR="005B0B0A" w:rsidRPr="00405CAA">
        <w:t xml:space="preserve">those </w:t>
      </w:r>
      <w:r w:rsidR="006F6B8E" w:rsidRPr="00405CAA">
        <w:t>children might be too tired after a full day at school to really benefit from the therapy</w:t>
      </w:r>
      <w:r w:rsidR="005B0B0A" w:rsidRPr="00405CAA">
        <w:t>,</w:t>
      </w:r>
      <w:r w:rsidR="006F6B8E" w:rsidRPr="00405CAA">
        <w:t xml:space="preserve"> or</w:t>
      </w:r>
      <w:r w:rsidR="005B0B0A" w:rsidRPr="00405CAA">
        <w:t xml:space="preserve"> because</w:t>
      </w:r>
      <w:r w:rsidR="00044ED6" w:rsidRPr="00405CAA">
        <w:t xml:space="preserve"> </w:t>
      </w:r>
      <w:r w:rsidR="006F6B8E" w:rsidRPr="00405CAA">
        <w:t>the family</w:t>
      </w:r>
      <w:r w:rsidR="00B3554C" w:rsidRPr="00405CAA">
        <w:t xml:space="preserve"> commence their dinner routine early in the evening</w:t>
      </w:r>
      <w:r w:rsidR="006F6B8E" w:rsidRPr="00405CAA">
        <w:t>. However,</w:t>
      </w:r>
      <w:r w:rsidR="00B3554C" w:rsidRPr="00405CAA">
        <w:t xml:space="preserve"> </w:t>
      </w:r>
      <w:r w:rsidR="00044ED6" w:rsidRPr="00405CAA">
        <w:t xml:space="preserve">early appointments before 9:00am </w:t>
      </w:r>
      <w:r w:rsidR="00B3554C" w:rsidRPr="00405CAA">
        <w:t>may appeal to clients who have other commitments during regular hours.</w:t>
      </w:r>
    </w:p>
    <w:p w:rsidR="00376FC7" w:rsidRPr="00405CAA" w:rsidRDefault="006F6B8E" w:rsidP="001D2EA0">
      <w:pPr>
        <w:pStyle w:val="ListParagraph"/>
        <w:numPr>
          <w:ilvl w:val="0"/>
          <w:numId w:val="55"/>
        </w:numPr>
        <w:spacing w:after="60"/>
        <w:ind w:left="425" w:hanging="425"/>
        <w:contextualSpacing w:val="0"/>
      </w:pPr>
      <w:r w:rsidRPr="00405CAA">
        <w:t>After considering the client preference</w:t>
      </w:r>
      <w:r w:rsidR="005B0B0A" w:rsidRPr="00405CAA">
        <w:t>,</w:t>
      </w:r>
      <w:r w:rsidRPr="00405CAA">
        <w:t xml:space="preserve"> the </w:t>
      </w:r>
      <w:r w:rsidR="00044ED6" w:rsidRPr="00405CAA">
        <w:t xml:space="preserve">preference of </w:t>
      </w:r>
      <w:r w:rsidR="00CD79A5" w:rsidRPr="00405CAA">
        <w:t xml:space="preserve">the </w:t>
      </w:r>
      <w:r w:rsidR="00044ED6" w:rsidRPr="00405CAA">
        <w:t>workforce come</w:t>
      </w:r>
      <w:r w:rsidR="005B0B0A" w:rsidRPr="00405CAA">
        <w:t>s</w:t>
      </w:r>
      <w:r w:rsidR="00044ED6" w:rsidRPr="00405CAA">
        <w:t xml:space="preserve"> into play. </w:t>
      </w:r>
      <w:r w:rsidRPr="00405CAA">
        <w:t>Some</w:t>
      </w:r>
      <w:r w:rsidR="00044ED6" w:rsidRPr="00405CAA">
        <w:t xml:space="preserve"> might be keen to extend their working days </w:t>
      </w:r>
      <w:r w:rsidR="005B0B0A" w:rsidRPr="00405CAA">
        <w:t>later than</w:t>
      </w:r>
      <w:r w:rsidR="00044ED6" w:rsidRPr="00405CAA">
        <w:t xml:space="preserve"> 5:00pm, but reluctant to start earlier because of their own </w:t>
      </w:r>
      <w:r w:rsidR="00920505" w:rsidRPr="00405CAA">
        <w:t>family commitments. However, other</w:t>
      </w:r>
      <w:r w:rsidRPr="00405CAA">
        <w:t>s</w:t>
      </w:r>
      <w:r w:rsidR="00920505" w:rsidRPr="00405CAA">
        <w:t xml:space="preserve"> might welcome an early start to avoid morning traffic. Also consider what </w:t>
      </w:r>
      <w:r w:rsidRPr="00405CAA">
        <w:t>e</w:t>
      </w:r>
      <w:r w:rsidR="00920505" w:rsidRPr="00405CAA">
        <w:t xml:space="preserve">xtended opening hours could mean for </w:t>
      </w:r>
      <w:r w:rsidR="001C2951" w:rsidRPr="00405CAA">
        <w:t xml:space="preserve">other staff </w:t>
      </w:r>
      <w:r w:rsidR="005B0B0A" w:rsidRPr="00405CAA">
        <w:t>(</w:t>
      </w:r>
      <w:r w:rsidR="001C2951" w:rsidRPr="00405CAA">
        <w:t>e.g. receptionists</w:t>
      </w:r>
      <w:r w:rsidR="005B0B0A" w:rsidRPr="00405CAA">
        <w:t>,</w:t>
      </w:r>
      <w:r w:rsidR="001C2951" w:rsidRPr="00405CAA">
        <w:t xml:space="preserve"> </w:t>
      </w:r>
      <w:r w:rsidR="00920505" w:rsidRPr="00405CAA">
        <w:t>practice managers</w:t>
      </w:r>
      <w:r w:rsidR="005B0B0A" w:rsidRPr="00405CAA">
        <w:t>)</w:t>
      </w:r>
      <w:r w:rsidR="00F009A9" w:rsidRPr="00405CAA">
        <w:t xml:space="preserve"> or for other practical considerations such as in relation to the security and safety of staff</w:t>
      </w:r>
      <w:r w:rsidR="00920505" w:rsidRPr="00405CAA">
        <w:t xml:space="preserve">. </w:t>
      </w:r>
    </w:p>
    <w:p w:rsidR="00376FC7" w:rsidRPr="00405CAA" w:rsidRDefault="00E17548" w:rsidP="001D2EA0">
      <w:pPr>
        <w:pStyle w:val="ListParagraph"/>
        <w:numPr>
          <w:ilvl w:val="0"/>
          <w:numId w:val="55"/>
        </w:numPr>
        <w:spacing w:after="60"/>
        <w:ind w:left="425" w:hanging="425"/>
        <w:contextualSpacing w:val="0"/>
      </w:pPr>
      <w:r w:rsidRPr="00405CAA">
        <w:t>I</w:t>
      </w:r>
      <w:r w:rsidR="00920505" w:rsidRPr="00405CAA">
        <w:t>f the client and worker perspective</w:t>
      </w:r>
      <w:r w:rsidR="00F009A9" w:rsidRPr="00405CAA">
        <w:t xml:space="preserve">s allow for </w:t>
      </w:r>
      <w:r w:rsidR="00920505" w:rsidRPr="00405CAA">
        <w:t>the nine-day fortnight, i</w:t>
      </w:r>
      <w:r w:rsidRPr="00405CAA">
        <w:t xml:space="preserve">t is critical to think through all the potential operational impacts. For instance, consider a </w:t>
      </w:r>
      <w:r w:rsidR="00920505" w:rsidRPr="00405CAA">
        <w:t>therapist</w:t>
      </w:r>
      <w:r w:rsidRPr="00405CAA">
        <w:t xml:space="preserve"> with a regular load of four 1-hour appointments per day in a 7.6 hour day.  Under a </w:t>
      </w:r>
      <w:r w:rsidR="00B65D90" w:rsidRPr="00405CAA">
        <w:t>nine</w:t>
      </w:r>
      <w:r w:rsidRPr="00405CAA">
        <w:t>-day fortnight the days are extended to 8.44 hours</w:t>
      </w:r>
      <w:r w:rsidR="007B6E41">
        <w:t xml:space="preserve"> (76 hours a fortnight divided by 9 days)</w:t>
      </w:r>
      <w:r w:rsidRPr="00405CAA">
        <w:t xml:space="preserve">, or an increase of 0.84 hours per day. That is clearly not long enough for a whole </w:t>
      </w:r>
      <w:r w:rsidR="005B0B0A" w:rsidRPr="00405CAA">
        <w:t>1-h</w:t>
      </w:r>
      <w:r w:rsidR="00E9651A" w:rsidRPr="00405CAA">
        <w:t xml:space="preserve">our </w:t>
      </w:r>
      <w:r w:rsidRPr="00405CAA">
        <w:t>appointment</w:t>
      </w:r>
      <w:r w:rsidR="00B65D90" w:rsidRPr="00405CAA">
        <w:t xml:space="preserve">. </w:t>
      </w:r>
      <w:r w:rsidR="007B6E41" w:rsidRPr="00405CAA">
        <w:t>Consequently, the change will only be viable if the organisation is able to add extra service time to that 0.84 hours to provide sufficient time to deliver an extra appointment.</w:t>
      </w:r>
    </w:p>
    <w:p w:rsidR="00BF0A95" w:rsidRDefault="005B4389" w:rsidP="00C471E4">
      <w:pPr>
        <w:pStyle w:val="ListParagraph"/>
        <w:numPr>
          <w:ilvl w:val="0"/>
          <w:numId w:val="55"/>
        </w:numPr>
        <w:spacing w:after="60"/>
        <w:ind w:left="425" w:hanging="425"/>
      </w:pPr>
      <w:r w:rsidRPr="00405CAA">
        <w:t>Clearly a minimum of 0.16 hours is needed</w:t>
      </w:r>
      <w:r w:rsidR="00C13E95" w:rsidRPr="00405CAA">
        <w:t xml:space="preserve"> (1.00 less 0.84)</w:t>
      </w:r>
      <w:r w:rsidRPr="00405CAA">
        <w:t xml:space="preserve">, but with </w:t>
      </w:r>
      <w:r w:rsidR="002A3952" w:rsidRPr="00405CAA">
        <w:t xml:space="preserve">the additional </w:t>
      </w:r>
      <w:r w:rsidRPr="00405CAA">
        <w:t>face</w:t>
      </w:r>
      <w:r w:rsidR="002A3952" w:rsidRPr="00405CAA">
        <w:t>-</w:t>
      </w:r>
      <w:r w:rsidRPr="00405CAA">
        <w:t>to</w:t>
      </w:r>
      <w:r w:rsidR="002A3952" w:rsidRPr="00405CAA">
        <w:t>-</w:t>
      </w:r>
      <w:r w:rsidRPr="00405CAA">
        <w:t xml:space="preserve">face 1-hour appointment </w:t>
      </w:r>
      <w:r w:rsidR="002A3952" w:rsidRPr="00405CAA">
        <w:t xml:space="preserve">also </w:t>
      </w:r>
      <w:r w:rsidRPr="00405CAA">
        <w:t xml:space="preserve">comes </w:t>
      </w:r>
      <w:r w:rsidR="002A3952" w:rsidRPr="00405CAA">
        <w:t xml:space="preserve">some </w:t>
      </w:r>
      <w:r w:rsidRPr="00405CAA">
        <w:t xml:space="preserve">associated service time. </w:t>
      </w:r>
      <w:r w:rsidR="00CD79A5" w:rsidRPr="00405CAA">
        <w:lastRenderedPageBreak/>
        <w:t>Remember c</w:t>
      </w:r>
      <w:r w:rsidR="006F6B8E" w:rsidRPr="00405CAA">
        <w:t xml:space="preserve">urrently </w:t>
      </w:r>
      <w:r w:rsidR="00C13E95" w:rsidRPr="00405CAA">
        <w:t>each</w:t>
      </w:r>
      <w:r w:rsidR="006F6B8E" w:rsidRPr="00405CAA">
        <w:t xml:space="preserve"> 1-hour face</w:t>
      </w:r>
      <w:r w:rsidR="002A3952" w:rsidRPr="00405CAA">
        <w:t>-</w:t>
      </w:r>
      <w:r w:rsidR="006F6B8E" w:rsidRPr="00405CAA">
        <w:t>to</w:t>
      </w:r>
      <w:r w:rsidR="002A3952" w:rsidRPr="00405CAA">
        <w:t>-</w:t>
      </w:r>
      <w:r w:rsidR="006F6B8E" w:rsidRPr="00405CAA">
        <w:t xml:space="preserve">face appointment comes </w:t>
      </w:r>
      <w:r w:rsidR="00872E8D" w:rsidRPr="00405CAA">
        <w:t xml:space="preserve">with </w:t>
      </w:r>
      <w:r w:rsidRPr="00405CAA">
        <w:t>0.5 hours</w:t>
      </w:r>
      <w:r w:rsidR="006F6B8E" w:rsidRPr="00405CAA">
        <w:t xml:space="preserve"> of associated service time</w:t>
      </w:r>
      <w:r w:rsidR="002A3952" w:rsidRPr="00405CAA">
        <w:t>,</w:t>
      </w:r>
      <w:r w:rsidR="00501590" w:rsidRPr="00405CAA">
        <w:t xml:space="preserve"> </w:t>
      </w:r>
      <w:r w:rsidR="006F6B8E" w:rsidRPr="00405CAA">
        <w:t xml:space="preserve">of which half is billable and half is not. </w:t>
      </w:r>
    </w:p>
    <w:p w:rsidR="00BF0A95" w:rsidRDefault="00BF0A95" w:rsidP="00C471E4">
      <w:pPr>
        <w:spacing w:after="60"/>
      </w:pPr>
      <w:r w:rsidRPr="00BF0A95">
        <w:t xml:space="preserve">The above numbers are summarised in Table 5 with the </w:t>
      </w:r>
      <w:r w:rsidR="002D600E">
        <w:t>nine-day</w:t>
      </w:r>
      <w:r w:rsidRPr="00BF0A95">
        <w:t xml:space="preserve"> fortnight represented i</w:t>
      </w:r>
      <w:r w:rsidR="001D672E">
        <w:t>n an unchanged</w:t>
      </w:r>
      <w:r w:rsidRPr="00BF0A95">
        <w:t xml:space="preserve"> service delivery </w:t>
      </w:r>
      <w:r w:rsidR="001D672E">
        <w:t>model of four appointments a day</w:t>
      </w:r>
      <w:r w:rsidRPr="00BF0A95">
        <w:t xml:space="preserve">. This would mean that the 0.84 extra time a day will become non-productive time and over a fortnight the organisation would lose 5 hours of billable time for each FTE practitioner that chooses to work a </w:t>
      </w:r>
      <w:r w:rsidR="002D600E">
        <w:t>nine-day</w:t>
      </w:r>
      <w:r>
        <w:t xml:space="preserve"> fortnight.</w:t>
      </w:r>
    </w:p>
    <w:p w:rsidR="00501590" w:rsidRPr="00405CAA" w:rsidRDefault="007B6E41" w:rsidP="00C471E4">
      <w:pPr>
        <w:spacing w:after="60"/>
      </w:pPr>
      <w:r>
        <w:t>T</w:t>
      </w:r>
      <w:r w:rsidRPr="00405CAA">
        <w:t>he</w:t>
      </w:r>
      <w:r>
        <w:t xml:space="preserve"> organisation</w:t>
      </w:r>
      <w:r w:rsidRPr="00405CAA">
        <w:t xml:space="preserve"> </w:t>
      </w:r>
      <w:r w:rsidR="00BF0A95">
        <w:t>clearly</w:t>
      </w:r>
      <w:r>
        <w:t xml:space="preserve"> has</w:t>
      </w:r>
      <w:r w:rsidRPr="00405CAA">
        <w:t xml:space="preserve"> to decide how </w:t>
      </w:r>
      <w:r w:rsidR="00861984">
        <w:t>it will</w:t>
      </w:r>
      <w:r w:rsidRPr="00405CAA">
        <w:t xml:space="preserve"> </w:t>
      </w:r>
      <w:r>
        <w:t xml:space="preserve">convert </w:t>
      </w:r>
      <w:r w:rsidRPr="00405CAA">
        <w:t xml:space="preserve">the hours currently </w:t>
      </w:r>
      <w:r w:rsidR="00861984">
        <w:t xml:space="preserve">not </w:t>
      </w:r>
      <w:r w:rsidRPr="00405CAA">
        <w:t xml:space="preserve">spent as </w:t>
      </w:r>
      <w:r w:rsidR="00861984">
        <w:t xml:space="preserve">direct client-facing service time or </w:t>
      </w:r>
      <w:r w:rsidRPr="00405CAA">
        <w:t>associated service time</w:t>
      </w:r>
      <w:r w:rsidR="00861984">
        <w:t xml:space="preserve"> to allow for extra service time a day in a </w:t>
      </w:r>
      <w:r w:rsidR="002D600E">
        <w:t>nine-day</w:t>
      </w:r>
      <w:r w:rsidR="00861984">
        <w:t xml:space="preserve"> fortnight</w:t>
      </w:r>
      <w:r w:rsidR="00BF0A95">
        <w:t xml:space="preserve"> to make this a viable option for the business to offer its employees</w:t>
      </w:r>
      <w:r w:rsidRPr="00405CAA">
        <w:t>.</w:t>
      </w:r>
    </w:p>
    <w:p w:rsidR="00D710C4" w:rsidRDefault="00D710C4">
      <w:pPr>
        <w:spacing w:after="0" w:line="240" w:lineRule="auto"/>
      </w:pPr>
      <w:r>
        <w:br w:type="page"/>
      </w:r>
    </w:p>
    <w:p w:rsidR="00501590" w:rsidRPr="00405CAA" w:rsidRDefault="00D710C4" w:rsidP="00D710C4">
      <w:pPr>
        <w:rPr>
          <w:b/>
        </w:rPr>
      </w:pPr>
      <w:r w:rsidRPr="00405CAA">
        <w:rPr>
          <w:b/>
        </w:rPr>
        <w:lastRenderedPageBreak/>
        <w:t xml:space="preserve"> </w:t>
      </w:r>
      <w:r w:rsidR="00501590" w:rsidRPr="00405CAA">
        <w:rPr>
          <w:b/>
        </w:rPr>
        <w:t>Table 5: Summary of scenario data</w:t>
      </w:r>
      <w:r w:rsidR="002554E9">
        <w:rPr>
          <w:b/>
        </w:rPr>
        <w:t xml:space="preserve"> (removed last column: too much info)</w:t>
      </w:r>
    </w:p>
    <w:tbl>
      <w:tblPr>
        <w:tblStyle w:val="TableGrid"/>
        <w:tblW w:w="10314" w:type="dxa"/>
        <w:tblLayout w:type="fixed"/>
        <w:tblLook w:val="04A0" w:firstRow="1" w:lastRow="0" w:firstColumn="1" w:lastColumn="0" w:noHBand="0" w:noVBand="1"/>
        <w:tblCaption w:val="Table 5: Summary of scenario data "/>
        <w:tblDescription w:val="Concept A: Hours per week, 10 day fortnight:76, 9 day fortnight: 76. Concept B: Days per week, 10 day fortnight:10, 9 day fortnight: 9, 1 Change and 10% Change. Concept C. Available time (holiday) (A divided by B), 10 day fortnight: 7.60, 9 day fortnight: 8.44, 0.84 change and 11% change. Concept D: Client-facing service time (holiday). 10 day fortnight:4.00, 9 day fortnight:5.00, 1.00 change and 25% change. Concept E: Associated service time (holiday) (D times 0.5h), 10 day fortnight:  2.00, 9 day fortnight 2.50, 0.50 change and 25% change. Concept F: Productive time (holiday) (D plus E), 10 day fortnight: 6.00, 9 day fortnight: 7.50,1.50 change and 25% change. Concept G: Non-productive time (holiday) (C-F). 10 day fortnight: 1.60,9 day fortnight: 0.94, 0.66 Change and 41% change. Conept H: Non-billable time (holiday) (E times 50 percent) 10 day fortnight:1.00, 9 day fortnight:1.25, 0.25 change and 25% change. Concept I: Billable time (holiday) (F-H), 10 day fortnight: 5.00, 9 day fortnight:6.25,1.25 change and 25% change "/>
      </w:tblPr>
      <w:tblGrid>
        <w:gridCol w:w="6062"/>
        <w:gridCol w:w="1559"/>
        <w:gridCol w:w="1418"/>
        <w:gridCol w:w="1275"/>
      </w:tblGrid>
      <w:tr w:rsidR="008F2261" w:rsidRPr="00405CAA" w:rsidTr="00C471E4">
        <w:trPr>
          <w:cantSplit/>
          <w:tblHeader/>
        </w:trPr>
        <w:tc>
          <w:tcPr>
            <w:tcW w:w="6062" w:type="dxa"/>
            <w:shd w:val="clear" w:color="auto" w:fill="auto"/>
            <w:vAlign w:val="bottom"/>
          </w:tcPr>
          <w:p w:rsidR="008F2261" w:rsidRPr="00405CAA" w:rsidRDefault="008F2261" w:rsidP="00490905">
            <w:pPr>
              <w:spacing w:before="60" w:after="60"/>
              <w:jc w:val="center"/>
              <w:rPr>
                <w:b/>
              </w:rPr>
            </w:pPr>
            <w:r w:rsidRPr="00405CAA">
              <w:rPr>
                <w:b/>
              </w:rPr>
              <w:t>Concept</w:t>
            </w:r>
          </w:p>
        </w:tc>
        <w:tc>
          <w:tcPr>
            <w:tcW w:w="1559" w:type="dxa"/>
            <w:shd w:val="clear" w:color="auto" w:fill="auto"/>
            <w:vAlign w:val="bottom"/>
          </w:tcPr>
          <w:p w:rsidR="008F2261" w:rsidRPr="00405CAA" w:rsidRDefault="008F2261" w:rsidP="00490905">
            <w:pPr>
              <w:spacing w:before="60" w:after="60"/>
              <w:jc w:val="center"/>
              <w:rPr>
                <w:b/>
              </w:rPr>
            </w:pPr>
            <w:r w:rsidRPr="00405CAA">
              <w:rPr>
                <w:b/>
              </w:rPr>
              <w:t>10-day fortnight</w:t>
            </w:r>
          </w:p>
        </w:tc>
        <w:tc>
          <w:tcPr>
            <w:tcW w:w="1418" w:type="dxa"/>
            <w:shd w:val="clear" w:color="auto" w:fill="auto"/>
            <w:vAlign w:val="bottom"/>
          </w:tcPr>
          <w:p w:rsidR="008F2261" w:rsidRPr="00405CAA" w:rsidRDefault="002D600E">
            <w:pPr>
              <w:spacing w:before="60" w:after="60"/>
              <w:jc w:val="center"/>
              <w:rPr>
                <w:b/>
              </w:rPr>
            </w:pPr>
            <w:r>
              <w:rPr>
                <w:b/>
              </w:rPr>
              <w:t>nine-day</w:t>
            </w:r>
            <w:r w:rsidR="008F2261" w:rsidRPr="00405CAA">
              <w:rPr>
                <w:b/>
              </w:rPr>
              <w:t xml:space="preserve"> fortnight</w:t>
            </w:r>
          </w:p>
        </w:tc>
        <w:tc>
          <w:tcPr>
            <w:tcW w:w="1275" w:type="dxa"/>
          </w:tcPr>
          <w:p w:rsidR="008F2261" w:rsidRPr="00405CAA" w:rsidRDefault="00081058" w:rsidP="00CC0813">
            <w:pPr>
              <w:spacing w:before="60" w:after="60"/>
              <w:jc w:val="center"/>
              <w:rPr>
                <w:b/>
              </w:rPr>
            </w:pPr>
            <w:r>
              <w:rPr>
                <w:b/>
              </w:rPr>
              <w:t>Chang</w:t>
            </w:r>
            <w:r w:rsidR="00215B8D">
              <w:rPr>
                <w:b/>
              </w:rPr>
              <w:t>e</w:t>
            </w:r>
          </w:p>
        </w:tc>
      </w:tr>
      <w:tr w:rsidR="008F2261" w:rsidRPr="00405CAA" w:rsidTr="00C471E4">
        <w:trPr>
          <w:cantSplit/>
        </w:trPr>
        <w:tc>
          <w:tcPr>
            <w:tcW w:w="6062" w:type="dxa"/>
          </w:tcPr>
          <w:p w:rsidR="008F2261" w:rsidRPr="00405CAA" w:rsidRDefault="008F2261" w:rsidP="001D2EA0">
            <w:pPr>
              <w:pStyle w:val="ListParagraph"/>
              <w:numPr>
                <w:ilvl w:val="0"/>
                <w:numId w:val="56"/>
              </w:numPr>
              <w:spacing w:before="60" w:after="60"/>
              <w:ind w:left="426"/>
            </w:pPr>
            <w:r w:rsidRPr="00405CAA">
              <w:t>Hours per week</w:t>
            </w:r>
          </w:p>
        </w:tc>
        <w:tc>
          <w:tcPr>
            <w:tcW w:w="1559" w:type="dxa"/>
            <w:vAlign w:val="center"/>
          </w:tcPr>
          <w:p w:rsidR="008F2261" w:rsidRPr="00405CAA" w:rsidRDefault="008F2261" w:rsidP="00C471E4">
            <w:pPr>
              <w:tabs>
                <w:tab w:val="decimal" w:pos="626"/>
              </w:tabs>
              <w:spacing w:before="60" w:after="60"/>
              <w:jc w:val="center"/>
            </w:pPr>
            <w:r w:rsidRPr="00405CAA">
              <w:t>76</w:t>
            </w:r>
          </w:p>
        </w:tc>
        <w:tc>
          <w:tcPr>
            <w:tcW w:w="1418" w:type="dxa"/>
            <w:vAlign w:val="center"/>
          </w:tcPr>
          <w:p w:rsidR="008F2261" w:rsidRPr="00405CAA" w:rsidRDefault="008F2261" w:rsidP="00C471E4">
            <w:pPr>
              <w:tabs>
                <w:tab w:val="decimal" w:pos="626"/>
              </w:tabs>
              <w:spacing w:before="60" w:after="60"/>
              <w:jc w:val="center"/>
            </w:pPr>
            <w:r w:rsidRPr="00405CAA">
              <w:t>76</w:t>
            </w:r>
          </w:p>
        </w:tc>
        <w:tc>
          <w:tcPr>
            <w:tcW w:w="1275" w:type="dxa"/>
          </w:tcPr>
          <w:p w:rsidR="008F2261" w:rsidRPr="00405CAA" w:rsidRDefault="00081058" w:rsidP="00C471E4">
            <w:pPr>
              <w:tabs>
                <w:tab w:val="decimal" w:pos="626"/>
              </w:tabs>
              <w:spacing w:before="60" w:after="60"/>
              <w:ind w:right="522"/>
              <w:jc w:val="center"/>
            </w:pPr>
            <w:r>
              <w:t>-</w:t>
            </w:r>
          </w:p>
        </w:tc>
      </w:tr>
      <w:tr w:rsidR="008F2261" w:rsidRPr="00405CAA" w:rsidTr="00C471E4">
        <w:trPr>
          <w:cantSplit/>
        </w:trPr>
        <w:tc>
          <w:tcPr>
            <w:tcW w:w="6062" w:type="dxa"/>
            <w:tcBorders>
              <w:bottom w:val="single" w:sz="4" w:space="0" w:color="auto"/>
            </w:tcBorders>
          </w:tcPr>
          <w:p w:rsidR="008F2261" w:rsidRPr="00405CAA" w:rsidRDefault="008F2261" w:rsidP="001D2EA0">
            <w:pPr>
              <w:pStyle w:val="ListParagraph"/>
              <w:numPr>
                <w:ilvl w:val="0"/>
                <w:numId w:val="56"/>
              </w:numPr>
              <w:spacing w:before="60" w:after="60"/>
              <w:ind w:left="426"/>
            </w:pPr>
            <w:r w:rsidRPr="00405CAA">
              <w:t>Days per week</w:t>
            </w:r>
          </w:p>
        </w:tc>
        <w:tc>
          <w:tcPr>
            <w:tcW w:w="1559" w:type="dxa"/>
            <w:tcBorders>
              <w:bottom w:val="single" w:sz="4" w:space="0" w:color="auto"/>
            </w:tcBorders>
            <w:vAlign w:val="center"/>
          </w:tcPr>
          <w:p w:rsidR="008F2261" w:rsidRPr="00405CAA" w:rsidRDefault="008F2261" w:rsidP="00C471E4">
            <w:pPr>
              <w:tabs>
                <w:tab w:val="decimal" w:pos="626"/>
              </w:tabs>
              <w:spacing w:before="60" w:after="60"/>
              <w:jc w:val="center"/>
            </w:pPr>
            <w:r w:rsidRPr="00405CAA">
              <w:t>10</w:t>
            </w:r>
          </w:p>
        </w:tc>
        <w:tc>
          <w:tcPr>
            <w:tcW w:w="1418" w:type="dxa"/>
            <w:tcBorders>
              <w:bottom w:val="single" w:sz="4" w:space="0" w:color="auto"/>
            </w:tcBorders>
            <w:vAlign w:val="center"/>
          </w:tcPr>
          <w:p w:rsidR="008F2261" w:rsidRPr="00405CAA" w:rsidRDefault="008F2261" w:rsidP="00C471E4">
            <w:pPr>
              <w:tabs>
                <w:tab w:val="decimal" w:pos="626"/>
              </w:tabs>
              <w:spacing w:before="60" w:after="60"/>
              <w:jc w:val="center"/>
            </w:pPr>
            <w:r w:rsidRPr="00405CAA">
              <w:t>9</w:t>
            </w:r>
          </w:p>
        </w:tc>
        <w:tc>
          <w:tcPr>
            <w:tcW w:w="1275" w:type="dxa"/>
            <w:tcBorders>
              <w:bottom w:val="single" w:sz="4" w:space="0" w:color="auto"/>
            </w:tcBorders>
          </w:tcPr>
          <w:p w:rsidR="008F2261" w:rsidRPr="00405CAA" w:rsidRDefault="00081058" w:rsidP="00C471E4">
            <w:pPr>
              <w:tabs>
                <w:tab w:val="decimal" w:pos="626"/>
              </w:tabs>
              <w:spacing w:before="60" w:after="60"/>
              <w:ind w:right="522"/>
              <w:jc w:val="center"/>
            </w:pPr>
            <w:r>
              <w:t>-1</w:t>
            </w:r>
          </w:p>
        </w:tc>
      </w:tr>
      <w:tr w:rsidR="008F2261" w:rsidRPr="00405CAA" w:rsidTr="00C471E4">
        <w:trPr>
          <w:cantSplit/>
        </w:trPr>
        <w:tc>
          <w:tcPr>
            <w:tcW w:w="6062" w:type="dxa"/>
            <w:shd w:val="clear" w:color="auto" w:fill="D0CECE" w:themeFill="background2" w:themeFillShade="E6"/>
          </w:tcPr>
          <w:p w:rsidR="008F2261" w:rsidRPr="0086113F" w:rsidRDefault="008F2261" w:rsidP="00081058">
            <w:pPr>
              <w:pStyle w:val="ListParagraph"/>
              <w:numPr>
                <w:ilvl w:val="0"/>
                <w:numId w:val="56"/>
              </w:numPr>
              <w:spacing w:before="60" w:after="60"/>
              <w:ind w:left="426"/>
            </w:pPr>
            <w:r w:rsidRPr="0086113F">
              <w:t>Available time (h</w:t>
            </w:r>
            <w:r>
              <w:t>ours</w:t>
            </w:r>
            <w:r w:rsidRPr="0086113F">
              <w:t>/day)</w:t>
            </w:r>
            <w:r w:rsidRPr="0086113F">
              <w:tab/>
            </w:r>
            <w:r w:rsidRPr="0086113F">
              <w:tab/>
              <w:t>(A</w:t>
            </w:r>
            <w:r>
              <w:t xml:space="preserve"> </w:t>
            </w:r>
            <w:r w:rsidRPr="0086113F">
              <w:sym w:font="Symbol" w:char="F0B8"/>
            </w:r>
            <w:r>
              <w:t xml:space="preserve"> </w:t>
            </w:r>
            <w:r w:rsidRPr="0086113F">
              <w:t>B)</w:t>
            </w:r>
          </w:p>
        </w:tc>
        <w:tc>
          <w:tcPr>
            <w:tcW w:w="1559" w:type="dxa"/>
            <w:shd w:val="clear" w:color="auto" w:fill="D0CECE" w:themeFill="background2" w:themeFillShade="E6"/>
            <w:vAlign w:val="center"/>
          </w:tcPr>
          <w:p w:rsidR="008F2261" w:rsidRPr="0086113F" w:rsidRDefault="008F2261" w:rsidP="00C471E4">
            <w:pPr>
              <w:tabs>
                <w:tab w:val="decimal" w:pos="626"/>
              </w:tabs>
              <w:spacing w:before="60" w:after="60"/>
              <w:jc w:val="center"/>
            </w:pPr>
            <w:r w:rsidRPr="0086113F">
              <w:t>7.60</w:t>
            </w:r>
          </w:p>
        </w:tc>
        <w:tc>
          <w:tcPr>
            <w:tcW w:w="1418" w:type="dxa"/>
            <w:shd w:val="clear" w:color="auto" w:fill="D0CECE" w:themeFill="background2" w:themeFillShade="E6"/>
            <w:vAlign w:val="center"/>
          </w:tcPr>
          <w:p w:rsidR="008F2261" w:rsidRPr="0086113F" w:rsidRDefault="008F2261" w:rsidP="00C471E4">
            <w:pPr>
              <w:tabs>
                <w:tab w:val="decimal" w:pos="626"/>
              </w:tabs>
              <w:spacing w:before="60" w:after="60"/>
              <w:jc w:val="center"/>
            </w:pPr>
            <w:r w:rsidRPr="0086113F">
              <w:t>8.44</w:t>
            </w:r>
          </w:p>
        </w:tc>
        <w:tc>
          <w:tcPr>
            <w:tcW w:w="1275" w:type="dxa"/>
            <w:shd w:val="clear" w:color="auto" w:fill="D0CECE" w:themeFill="background2" w:themeFillShade="E6"/>
          </w:tcPr>
          <w:p w:rsidR="008F2261" w:rsidRPr="0086113F" w:rsidRDefault="00081058" w:rsidP="00C471E4">
            <w:pPr>
              <w:tabs>
                <w:tab w:val="decimal" w:pos="626"/>
              </w:tabs>
              <w:spacing w:before="60" w:after="60"/>
              <w:ind w:right="522"/>
              <w:jc w:val="center"/>
            </w:pPr>
            <w:r>
              <w:t>0.84</w:t>
            </w:r>
          </w:p>
        </w:tc>
      </w:tr>
      <w:tr w:rsidR="008F2261" w:rsidRPr="00405CAA" w:rsidTr="00C471E4">
        <w:trPr>
          <w:cantSplit/>
        </w:trPr>
        <w:tc>
          <w:tcPr>
            <w:tcW w:w="6062" w:type="dxa"/>
          </w:tcPr>
          <w:p w:rsidR="008F2261" w:rsidRPr="00405CAA" w:rsidRDefault="008F2261" w:rsidP="001D2EA0">
            <w:pPr>
              <w:pStyle w:val="ListParagraph"/>
              <w:numPr>
                <w:ilvl w:val="0"/>
                <w:numId w:val="56"/>
              </w:numPr>
              <w:spacing w:before="60" w:after="60"/>
              <w:ind w:left="426"/>
            </w:pPr>
            <w:r w:rsidRPr="00405CAA">
              <w:t>Client-facing service time (h</w:t>
            </w:r>
            <w:r>
              <w:t>ours</w:t>
            </w:r>
            <w:r w:rsidRPr="00405CAA">
              <w:t>/day)</w:t>
            </w:r>
          </w:p>
        </w:tc>
        <w:tc>
          <w:tcPr>
            <w:tcW w:w="1559" w:type="dxa"/>
            <w:vAlign w:val="center"/>
          </w:tcPr>
          <w:p w:rsidR="008F2261" w:rsidRPr="00405CAA" w:rsidRDefault="008F2261" w:rsidP="00C471E4">
            <w:pPr>
              <w:tabs>
                <w:tab w:val="decimal" w:pos="626"/>
              </w:tabs>
              <w:spacing w:before="60" w:after="60"/>
              <w:jc w:val="center"/>
            </w:pPr>
            <w:r w:rsidRPr="00405CAA">
              <w:t>4.00</w:t>
            </w:r>
          </w:p>
        </w:tc>
        <w:tc>
          <w:tcPr>
            <w:tcW w:w="1418" w:type="dxa"/>
            <w:vAlign w:val="center"/>
          </w:tcPr>
          <w:p w:rsidR="008F2261" w:rsidRPr="00405CAA" w:rsidRDefault="00081058" w:rsidP="00C471E4">
            <w:pPr>
              <w:tabs>
                <w:tab w:val="decimal" w:pos="626"/>
              </w:tabs>
              <w:spacing w:before="60" w:after="60"/>
              <w:jc w:val="center"/>
            </w:pPr>
            <w:r>
              <w:t>4</w:t>
            </w:r>
            <w:r w:rsidR="008F2261" w:rsidRPr="00405CAA">
              <w:t>.00</w:t>
            </w:r>
          </w:p>
        </w:tc>
        <w:tc>
          <w:tcPr>
            <w:tcW w:w="1275" w:type="dxa"/>
          </w:tcPr>
          <w:p w:rsidR="008F2261" w:rsidRPr="00405CAA" w:rsidRDefault="00081058" w:rsidP="00C471E4">
            <w:pPr>
              <w:tabs>
                <w:tab w:val="decimal" w:pos="626"/>
              </w:tabs>
              <w:spacing w:before="60" w:after="60"/>
              <w:ind w:right="522"/>
              <w:jc w:val="center"/>
            </w:pPr>
            <w:r>
              <w:t>-</w:t>
            </w:r>
          </w:p>
        </w:tc>
      </w:tr>
      <w:tr w:rsidR="008F2261" w:rsidRPr="00405CAA" w:rsidTr="00C471E4">
        <w:trPr>
          <w:cantSplit/>
        </w:trPr>
        <w:tc>
          <w:tcPr>
            <w:tcW w:w="6062" w:type="dxa"/>
            <w:tcBorders>
              <w:bottom w:val="single" w:sz="4" w:space="0" w:color="auto"/>
            </w:tcBorders>
          </w:tcPr>
          <w:p w:rsidR="008F2261" w:rsidRPr="00405CAA" w:rsidRDefault="008F2261" w:rsidP="001D2EA0">
            <w:pPr>
              <w:pStyle w:val="ListParagraph"/>
              <w:numPr>
                <w:ilvl w:val="0"/>
                <w:numId w:val="56"/>
              </w:numPr>
              <w:spacing w:before="60" w:after="60"/>
              <w:ind w:left="426"/>
            </w:pPr>
            <w:r w:rsidRPr="00405CAA">
              <w:t>Associated service time (h</w:t>
            </w:r>
            <w:r>
              <w:t>ours</w:t>
            </w:r>
            <w:r w:rsidRPr="00405CAA">
              <w:t>/day)</w:t>
            </w:r>
            <w:r w:rsidRPr="00405CAA">
              <w:tab/>
              <w:t>(D</w:t>
            </w:r>
            <w:r>
              <w:t xml:space="preserve"> </w:t>
            </w:r>
            <w:r w:rsidRPr="00405CAA">
              <w:t>x</w:t>
            </w:r>
            <w:r>
              <w:t xml:space="preserve"> </w:t>
            </w:r>
            <w:r w:rsidRPr="00405CAA">
              <w:t>0.5h)</w:t>
            </w:r>
          </w:p>
        </w:tc>
        <w:tc>
          <w:tcPr>
            <w:tcW w:w="1559" w:type="dxa"/>
            <w:tcBorders>
              <w:bottom w:val="single" w:sz="4" w:space="0" w:color="auto"/>
            </w:tcBorders>
            <w:vAlign w:val="center"/>
          </w:tcPr>
          <w:p w:rsidR="008F2261" w:rsidRPr="00405CAA" w:rsidRDefault="008F2261" w:rsidP="00C471E4">
            <w:pPr>
              <w:tabs>
                <w:tab w:val="decimal" w:pos="626"/>
              </w:tabs>
              <w:spacing w:before="60" w:after="60"/>
              <w:jc w:val="center"/>
            </w:pPr>
            <w:r w:rsidRPr="00405CAA">
              <w:t>2.00</w:t>
            </w:r>
          </w:p>
        </w:tc>
        <w:tc>
          <w:tcPr>
            <w:tcW w:w="1418" w:type="dxa"/>
            <w:tcBorders>
              <w:bottom w:val="single" w:sz="4" w:space="0" w:color="auto"/>
            </w:tcBorders>
            <w:vAlign w:val="center"/>
          </w:tcPr>
          <w:p w:rsidR="008F2261" w:rsidRPr="00405CAA" w:rsidRDefault="008F2261" w:rsidP="00C471E4">
            <w:pPr>
              <w:tabs>
                <w:tab w:val="decimal" w:pos="626"/>
              </w:tabs>
              <w:spacing w:before="60" w:after="60"/>
              <w:jc w:val="center"/>
            </w:pPr>
            <w:r w:rsidRPr="00405CAA">
              <w:t>2.</w:t>
            </w:r>
            <w:r w:rsidR="00081058">
              <w:t>0</w:t>
            </w:r>
            <w:r w:rsidRPr="00405CAA">
              <w:t>0</w:t>
            </w:r>
          </w:p>
        </w:tc>
        <w:tc>
          <w:tcPr>
            <w:tcW w:w="1275" w:type="dxa"/>
            <w:tcBorders>
              <w:bottom w:val="single" w:sz="4" w:space="0" w:color="auto"/>
            </w:tcBorders>
          </w:tcPr>
          <w:p w:rsidR="008F2261" w:rsidRPr="00405CAA" w:rsidRDefault="00081058" w:rsidP="00C471E4">
            <w:pPr>
              <w:tabs>
                <w:tab w:val="decimal" w:pos="626"/>
              </w:tabs>
              <w:spacing w:before="60" w:after="60"/>
              <w:ind w:right="522"/>
              <w:jc w:val="center"/>
            </w:pPr>
            <w:r>
              <w:t>-</w:t>
            </w:r>
          </w:p>
        </w:tc>
      </w:tr>
      <w:tr w:rsidR="008F2261" w:rsidRPr="0086113F" w:rsidTr="00C471E4">
        <w:trPr>
          <w:cantSplit/>
        </w:trPr>
        <w:tc>
          <w:tcPr>
            <w:tcW w:w="6062" w:type="dxa"/>
            <w:shd w:val="clear" w:color="auto" w:fill="D0CECE" w:themeFill="background2" w:themeFillShade="E6"/>
          </w:tcPr>
          <w:p w:rsidR="008F2261" w:rsidRPr="0086113F" w:rsidRDefault="008F2261" w:rsidP="001D2EA0">
            <w:pPr>
              <w:pStyle w:val="ListParagraph"/>
              <w:numPr>
                <w:ilvl w:val="0"/>
                <w:numId w:val="56"/>
              </w:numPr>
              <w:spacing w:before="60" w:after="60"/>
              <w:ind w:left="426"/>
            </w:pPr>
            <w:r w:rsidRPr="0086113F">
              <w:t>Productive time (h</w:t>
            </w:r>
            <w:r>
              <w:t>ours</w:t>
            </w:r>
            <w:r w:rsidRPr="0086113F">
              <w:t>/day)</w:t>
            </w:r>
            <w:r w:rsidRPr="0086113F">
              <w:tab/>
            </w:r>
            <w:r w:rsidRPr="0086113F">
              <w:tab/>
              <w:t>(D + E)</w:t>
            </w:r>
          </w:p>
        </w:tc>
        <w:tc>
          <w:tcPr>
            <w:tcW w:w="1559" w:type="dxa"/>
            <w:shd w:val="clear" w:color="auto" w:fill="D0CECE" w:themeFill="background2" w:themeFillShade="E6"/>
            <w:vAlign w:val="center"/>
          </w:tcPr>
          <w:p w:rsidR="008F2261" w:rsidRPr="0086113F" w:rsidRDefault="008F2261" w:rsidP="00C471E4">
            <w:pPr>
              <w:tabs>
                <w:tab w:val="decimal" w:pos="626"/>
              </w:tabs>
              <w:spacing w:before="60" w:after="60"/>
              <w:jc w:val="center"/>
            </w:pPr>
            <w:r w:rsidRPr="0086113F">
              <w:t>6.00</w:t>
            </w:r>
          </w:p>
        </w:tc>
        <w:tc>
          <w:tcPr>
            <w:tcW w:w="1418" w:type="dxa"/>
            <w:shd w:val="clear" w:color="auto" w:fill="D0CECE" w:themeFill="background2" w:themeFillShade="E6"/>
            <w:vAlign w:val="center"/>
          </w:tcPr>
          <w:p w:rsidR="008F2261" w:rsidRPr="0086113F" w:rsidRDefault="00081058" w:rsidP="00C471E4">
            <w:pPr>
              <w:tabs>
                <w:tab w:val="decimal" w:pos="626"/>
              </w:tabs>
              <w:spacing w:before="60" w:after="60"/>
              <w:jc w:val="center"/>
            </w:pPr>
            <w:r>
              <w:t>6</w:t>
            </w:r>
            <w:r w:rsidR="008F2261" w:rsidRPr="0086113F">
              <w:t>.</w:t>
            </w:r>
            <w:r>
              <w:t>0</w:t>
            </w:r>
            <w:r w:rsidR="008F2261" w:rsidRPr="0086113F">
              <w:t>0</w:t>
            </w:r>
          </w:p>
        </w:tc>
        <w:tc>
          <w:tcPr>
            <w:tcW w:w="1275" w:type="dxa"/>
            <w:shd w:val="clear" w:color="auto" w:fill="D0CECE" w:themeFill="background2" w:themeFillShade="E6"/>
          </w:tcPr>
          <w:p w:rsidR="008F2261" w:rsidRPr="0086113F" w:rsidRDefault="00081058" w:rsidP="00C471E4">
            <w:pPr>
              <w:tabs>
                <w:tab w:val="decimal" w:pos="626"/>
              </w:tabs>
              <w:spacing w:before="60" w:after="60"/>
              <w:ind w:right="522"/>
              <w:jc w:val="center"/>
            </w:pPr>
            <w:r>
              <w:t>-</w:t>
            </w:r>
          </w:p>
        </w:tc>
      </w:tr>
      <w:tr w:rsidR="008F2261" w:rsidRPr="00405CAA" w:rsidTr="00C471E4">
        <w:trPr>
          <w:cantSplit/>
        </w:trPr>
        <w:tc>
          <w:tcPr>
            <w:tcW w:w="6062" w:type="dxa"/>
          </w:tcPr>
          <w:p w:rsidR="008F2261" w:rsidRPr="00405CAA" w:rsidDel="006B4C7A" w:rsidRDefault="008F2261" w:rsidP="00CC0813">
            <w:pPr>
              <w:pStyle w:val="ListParagraph"/>
              <w:numPr>
                <w:ilvl w:val="0"/>
                <w:numId w:val="56"/>
              </w:numPr>
              <w:spacing w:before="60" w:after="60"/>
              <w:ind w:left="426"/>
            </w:pPr>
            <w:r w:rsidRPr="00405CAA">
              <w:t>Non-productive time (h</w:t>
            </w:r>
            <w:r>
              <w:t>ours</w:t>
            </w:r>
            <w:r w:rsidRPr="00405CAA">
              <w:t>/day)</w:t>
            </w:r>
            <w:r w:rsidRPr="00405CAA">
              <w:tab/>
              <w:t>(C</w:t>
            </w:r>
            <w:r>
              <w:t xml:space="preserve"> </w:t>
            </w:r>
            <w:r w:rsidRPr="00405CAA">
              <w:t>–</w:t>
            </w:r>
            <w:r>
              <w:t xml:space="preserve"> </w:t>
            </w:r>
            <w:r w:rsidRPr="00405CAA">
              <w:t>F)</w:t>
            </w:r>
          </w:p>
        </w:tc>
        <w:tc>
          <w:tcPr>
            <w:tcW w:w="1559" w:type="dxa"/>
            <w:vAlign w:val="center"/>
          </w:tcPr>
          <w:p w:rsidR="008F2261" w:rsidRPr="00405CAA" w:rsidDel="006B4C7A" w:rsidRDefault="008F2261" w:rsidP="00C471E4">
            <w:pPr>
              <w:tabs>
                <w:tab w:val="decimal" w:pos="626"/>
              </w:tabs>
              <w:spacing w:before="60" w:after="60"/>
              <w:jc w:val="center"/>
            </w:pPr>
            <w:r w:rsidRPr="00405CAA">
              <w:t>1.60</w:t>
            </w:r>
          </w:p>
        </w:tc>
        <w:tc>
          <w:tcPr>
            <w:tcW w:w="1418" w:type="dxa"/>
            <w:vAlign w:val="center"/>
          </w:tcPr>
          <w:p w:rsidR="008F2261" w:rsidRPr="00405CAA" w:rsidDel="006B4C7A" w:rsidRDefault="00081058" w:rsidP="00C471E4">
            <w:pPr>
              <w:tabs>
                <w:tab w:val="decimal" w:pos="626"/>
              </w:tabs>
              <w:spacing w:before="60" w:after="60"/>
              <w:jc w:val="center"/>
            </w:pPr>
            <w:r>
              <w:t>2</w:t>
            </w:r>
            <w:r w:rsidR="008F2261" w:rsidRPr="00405CAA">
              <w:t>.</w:t>
            </w:r>
            <w:r>
              <w:t>44</w:t>
            </w:r>
          </w:p>
        </w:tc>
        <w:tc>
          <w:tcPr>
            <w:tcW w:w="1275" w:type="dxa"/>
          </w:tcPr>
          <w:p w:rsidR="008F2261" w:rsidRPr="00405CAA" w:rsidRDefault="00081058" w:rsidP="00C471E4">
            <w:pPr>
              <w:tabs>
                <w:tab w:val="decimal" w:pos="626"/>
              </w:tabs>
              <w:spacing w:before="60" w:after="60"/>
              <w:ind w:right="522"/>
              <w:jc w:val="center"/>
            </w:pPr>
            <w:r>
              <w:t>0.84</w:t>
            </w:r>
          </w:p>
        </w:tc>
      </w:tr>
      <w:tr w:rsidR="008F2261" w:rsidRPr="00405CAA" w:rsidTr="00C471E4">
        <w:trPr>
          <w:cantSplit/>
        </w:trPr>
        <w:tc>
          <w:tcPr>
            <w:tcW w:w="6062" w:type="dxa"/>
            <w:tcBorders>
              <w:bottom w:val="single" w:sz="4" w:space="0" w:color="auto"/>
            </w:tcBorders>
          </w:tcPr>
          <w:p w:rsidR="008F2261" w:rsidRPr="00405CAA" w:rsidRDefault="008F2261" w:rsidP="001D2EA0">
            <w:pPr>
              <w:pStyle w:val="ListParagraph"/>
              <w:numPr>
                <w:ilvl w:val="0"/>
                <w:numId w:val="56"/>
              </w:numPr>
              <w:spacing w:before="60" w:after="60"/>
              <w:ind w:left="426"/>
            </w:pPr>
            <w:r w:rsidRPr="00405CAA">
              <w:t>Non-billable time (h</w:t>
            </w:r>
            <w:r>
              <w:t>ours</w:t>
            </w:r>
            <w:r w:rsidRPr="00405CAA">
              <w:t>/day)</w:t>
            </w:r>
            <w:r w:rsidRPr="00405CAA">
              <w:tab/>
            </w:r>
            <w:r w:rsidRPr="00405CAA">
              <w:tab/>
              <w:t>(E</w:t>
            </w:r>
            <w:r>
              <w:t xml:space="preserve"> </w:t>
            </w:r>
            <w:r w:rsidRPr="00405CAA">
              <w:t>x</w:t>
            </w:r>
            <w:r>
              <w:t xml:space="preserve"> </w:t>
            </w:r>
            <w:r w:rsidRPr="00405CAA">
              <w:t>50%)</w:t>
            </w:r>
          </w:p>
        </w:tc>
        <w:tc>
          <w:tcPr>
            <w:tcW w:w="1559" w:type="dxa"/>
            <w:tcBorders>
              <w:bottom w:val="single" w:sz="4" w:space="0" w:color="auto"/>
            </w:tcBorders>
            <w:vAlign w:val="center"/>
          </w:tcPr>
          <w:p w:rsidR="008F2261" w:rsidRPr="00405CAA" w:rsidRDefault="008F2261" w:rsidP="00C471E4">
            <w:pPr>
              <w:tabs>
                <w:tab w:val="decimal" w:pos="626"/>
              </w:tabs>
              <w:spacing w:before="60" w:after="60"/>
              <w:jc w:val="center"/>
            </w:pPr>
            <w:r w:rsidRPr="00405CAA">
              <w:t>1.00</w:t>
            </w:r>
          </w:p>
        </w:tc>
        <w:tc>
          <w:tcPr>
            <w:tcW w:w="1418" w:type="dxa"/>
            <w:tcBorders>
              <w:bottom w:val="single" w:sz="4" w:space="0" w:color="auto"/>
            </w:tcBorders>
            <w:vAlign w:val="center"/>
          </w:tcPr>
          <w:p w:rsidR="008F2261" w:rsidRPr="00405CAA" w:rsidRDefault="008F2261" w:rsidP="00C471E4">
            <w:pPr>
              <w:tabs>
                <w:tab w:val="decimal" w:pos="626"/>
              </w:tabs>
              <w:spacing w:before="60" w:after="60"/>
              <w:jc w:val="center"/>
            </w:pPr>
            <w:r w:rsidRPr="00405CAA">
              <w:t>1.</w:t>
            </w:r>
            <w:r w:rsidR="00081058">
              <w:t>00</w:t>
            </w:r>
          </w:p>
        </w:tc>
        <w:tc>
          <w:tcPr>
            <w:tcW w:w="1275" w:type="dxa"/>
            <w:tcBorders>
              <w:bottom w:val="single" w:sz="4" w:space="0" w:color="auto"/>
            </w:tcBorders>
          </w:tcPr>
          <w:p w:rsidR="008F2261" w:rsidRPr="00405CAA" w:rsidRDefault="00081058" w:rsidP="00C471E4">
            <w:pPr>
              <w:tabs>
                <w:tab w:val="decimal" w:pos="626"/>
              </w:tabs>
              <w:spacing w:before="60" w:after="60"/>
              <w:ind w:right="522"/>
              <w:jc w:val="center"/>
            </w:pPr>
            <w:r>
              <w:t>-</w:t>
            </w:r>
          </w:p>
        </w:tc>
      </w:tr>
      <w:tr w:rsidR="008F2261" w:rsidRPr="00405CAA" w:rsidTr="00C471E4">
        <w:trPr>
          <w:cantSplit/>
        </w:trPr>
        <w:tc>
          <w:tcPr>
            <w:tcW w:w="6062" w:type="dxa"/>
            <w:shd w:val="clear" w:color="auto" w:fill="D0CECE" w:themeFill="background2" w:themeFillShade="E6"/>
          </w:tcPr>
          <w:p w:rsidR="008F2261" w:rsidRPr="0086113F" w:rsidRDefault="008F2261" w:rsidP="00081058">
            <w:pPr>
              <w:pStyle w:val="ListParagraph"/>
              <w:numPr>
                <w:ilvl w:val="0"/>
                <w:numId w:val="56"/>
              </w:numPr>
              <w:spacing w:before="60" w:after="60"/>
              <w:ind w:left="426"/>
            </w:pPr>
            <w:r w:rsidRPr="0086113F">
              <w:t>Billable time (h</w:t>
            </w:r>
            <w:r>
              <w:t>ours</w:t>
            </w:r>
            <w:r w:rsidRPr="0086113F">
              <w:t>/day)</w:t>
            </w:r>
            <w:r w:rsidRPr="0086113F">
              <w:tab/>
            </w:r>
            <w:r w:rsidRPr="0086113F">
              <w:tab/>
              <w:t>(F</w:t>
            </w:r>
            <w:r>
              <w:t xml:space="preserve"> </w:t>
            </w:r>
            <w:r w:rsidRPr="0086113F">
              <w:t>–</w:t>
            </w:r>
            <w:r>
              <w:t xml:space="preserve"> </w:t>
            </w:r>
            <w:r w:rsidRPr="0086113F">
              <w:t>H)</w:t>
            </w:r>
          </w:p>
        </w:tc>
        <w:tc>
          <w:tcPr>
            <w:tcW w:w="1559" w:type="dxa"/>
            <w:shd w:val="clear" w:color="auto" w:fill="D0CECE" w:themeFill="background2" w:themeFillShade="E6"/>
            <w:vAlign w:val="center"/>
          </w:tcPr>
          <w:p w:rsidR="008F2261" w:rsidRPr="0086113F" w:rsidRDefault="008F2261" w:rsidP="00C471E4">
            <w:pPr>
              <w:tabs>
                <w:tab w:val="decimal" w:pos="626"/>
              </w:tabs>
              <w:spacing w:before="60" w:after="60"/>
              <w:jc w:val="center"/>
            </w:pPr>
            <w:r w:rsidRPr="0086113F">
              <w:t>5.00</w:t>
            </w:r>
          </w:p>
        </w:tc>
        <w:tc>
          <w:tcPr>
            <w:tcW w:w="1418" w:type="dxa"/>
            <w:shd w:val="clear" w:color="auto" w:fill="D0CECE" w:themeFill="background2" w:themeFillShade="E6"/>
            <w:vAlign w:val="center"/>
          </w:tcPr>
          <w:p w:rsidR="008F2261" w:rsidRPr="0086113F" w:rsidRDefault="00081058" w:rsidP="00C471E4">
            <w:pPr>
              <w:tabs>
                <w:tab w:val="decimal" w:pos="626"/>
              </w:tabs>
              <w:spacing w:before="60" w:after="60"/>
              <w:jc w:val="center"/>
            </w:pPr>
            <w:r>
              <w:t>5</w:t>
            </w:r>
            <w:r w:rsidR="008F2261" w:rsidRPr="0086113F">
              <w:t>.</w:t>
            </w:r>
            <w:r>
              <w:t>00</w:t>
            </w:r>
          </w:p>
        </w:tc>
        <w:tc>
          <w:tcPr>
            <w:tcW w:w="1275" w:type="dxa"/>
            <w:shd w:val="clear" w:color="auto" w:fill="D0CECE" w:themeFill="background2" w:themeFillShade="E6"/>
          </w:tcPr>
          <w:p w:rsidR="008F2261" w:rsidRPr="0086113F" w:rsidRDefault="00081058" w:rsidP="00C471E4">
            <w:pPr>
              <w:tabs>
                <w:tab w:val="decimal" w:pos="626"/>
              </w:tabs>
              <w:spacing w:before="60" w:after="60"/>
              <w:ind w:right="522"/>
              <w:jc w:val="center"/>
            </w:pPr>
            <w:r>
              <w:t>-</w:t>
            </w:r>
          </w:p>
        </w:tc>
      </w:tr>
      <w:tr w:rsidR="00215B8D" w:rsidRPr="00405CAA" w:rsidTr="00C471E4">
        <w:trPr>
          <w:cantSplit/>
        </w:trPr>
        <w:tc>
          <w:tcPr>
            <w:tcW w:w="6062" w:type="dxa"/>
            <w:shd w:val="clear" w:color="auto" w:fill="D0CECE" w:themeFill="background2" w:themeFillShade="E6"/>
          </w:tcPr>
          <w:p w:rsidR="00215B8D" w:rsidRPr="0086113F" w:rsidRDefault="00215B8D" w:rsidP="00CC0813">
            <w:pPr>
              <w:pStyle w:val="ListParagraph"/>
              <w:numPr>
                <w:ilvl w:val="0"/>
                <w:numId w:val="56"/>
              </w:numPr>
              <w:spacing w:before="60" w:after="60"/>
              <w:ind w:left="426"/>
            </w:pPr>
            <w:r>
              <w:t>Billable time per fortnight</w:t>
            </w:r>
            <w:r w:rsidRPr="0086113F">
              <w:tab/>
            </w:r>
            <w:r w:rsidRPr="0086113F">
              <w:tab/>
            </w:r>
            <w:r>
              <w:t>(I x B</w:t>
            </w:r>
            <w:r w:rsidRPr="0086113F">
              <w:t>)</w:t>
            </w:r>
          </w:p>
        </w:tc>
        <w:tc>
          <w:tcPr>
            <w:tcW w:w="1559" w:type="dxa"/>
            <w:shd w:val="clear" w:color="auto" w:fill="D0CECE" w:themeFill="background2" w:themeFillShade="E6"/>
            <w:vAlign w:val="center"/>
          </w:tcPr>
          <w:p w:rsidR="00215B8D" w:rsidRPr="0086113F" w:rsidRDefault="00215B8D" w:rsidP="002554E9">
            <w:pPr>
              <w:tabs>
                <w:tab w:val="decimal" w:pos="626"/>
              </w:tabs>
              <w:spacing w:before="60" w:after="60"/>
              <w:jc w:val="center"/>
            </w:pPr>
            <w:r>
              <w:t>50.00</w:t>
            </w:r>
          </w:p>
        </w:tc>
        <w:tc>
          <w:tcPr>
            <w:tcW w:w="1418" w:type="dxa"/>
            <w:shd w:val="clear" w:color="auto" w:fill="D0CECE" w:themeFill="background2" w:themeFillShade="E6"/>
            <w:vAlign w:val="center"/>
          </w:tcPr>
          <w:p w:rsidR="00215B8D" w:rsidRDefault="00215B8D" w:rsidP="00081058">
            <w:pPr>
              <w:tabs>
                <w:tab w:val="decimal" w:pos="626"/>
              </w:tabs>
              <w:spacing w:before="60" w:after="60"/>
              <w:jc w:val="center"/>
            </w:pPr>
            <w:r>
              <w:t>45.00</w:t>
            </w:r>
          </w:p>
        </w:tc>
        <w:tc>
          <w:tcPr>
            <w:tcW w:w="1275" w:type="dxa"/>
            <w:shd w:val="clear" w:color="auto" w:fill="D0CECE" w:themeFill="background2" w:themeFillShade="E6"/>
          </w:tcPr>
          <w:p w:rsidR="00215B8D" w:rsidRDefault="00215B8D" w:rsidP="008F2261">
            <w:pPr>
              <w:tabs>
                <w:tab w:val="decimal" w:pos="626"/>
              </w:tabs>
              <w:spacing w:before="60" w:after="60"/>
              <w:ind w:right="522"/>
              <w:jc w:val="center"/>
            </w:pPr>
            <w:r>
              <w:t>-5</w:t>
            </w:r>
          </w:p>
        </w:tc>
      </w:tr>
    </w:tbl>
    <w:p w:rsidR="0038549B" w:rsidRPr="00405CAA" w:rsidRDefault="0038549B">
      <w:pPr>
        <w:spacing w:after="0" w:line="240" w:lineRule="auto"/>
        <w:rPr>
          <w:b/>
        </w:rPr>
      </w:pPr>
    </w:p>
    <w:p w:rsidR="00872E8D" w:rsidRPr="00405CAA" w:rsidRDefault="00872E8D" w:rsidP="00872E8D">
      <w:pPr>
        <w:pStyle w:val="Strongheadingsmall"/>
        <w:rPr>
          <w:rFonts w:ascii="Arial" w:hAnsi="Arial" w:cs="Arial"/>
        </w:rPr>
      </w:pPr>
      <w:r w:rsidRPr="00405CAA">
        <w:rPr>
          <w:rFonts w:ascii="Arial" w:hAnsi="Arial" w:cs="Arial"/>
        </w:rPr>
        <w:t>The response options available</w:t>
      </w:r>
    </w:p>
    <w:p w:rsidR="00490905" w:rsidRPr="00405CAA" w:rsidRDefault="00490905" w:rsidP="001D2EA0">
      <w:r w:rsidRPr="00405CAA">
        <w:t xml:space="preserve">The </w:t>
      </w:r>
      <w:r w:rsidR="001D672E">
        <w:t>following</w:t>
      </w:r>
      <w:r w:rsidR="001D672E" w:rsidRPr="00405CAA">
        <w:t xml:space="preserve"> </w:t>
      </w:r>
      <w:r w:rsidRPr="00405CAA">
        <w:t xml:space="preserve">response options </w:t>
      </w:r>
      <w:r w:rsidR="001D672E">
        <w:t>vary in</w:t>
      </w:r>
      <w:r w:rsidRPr="00405CAA">
        <w:t xml:space="preserve"> what type of time is </w:t>
      </w:r>
      <w:r w:rsidR="001D672E">
        <w:t>reduc</w:t>
      </w:r>
      <w:r w:rsidR="001D672E" w:rsidRPr="00405CAA">
        <w:t xml:space="preserve">ed </w:t>
      </w:r>
      <w:r w:rsidRPr="00405CAA">
        <w:t>to accommodate the additional appointments:</w:t>
      </w:r>
    </w:p>
    <w:p w:rsidR="00872E8D" w:rsidRPr="00405CAA" w:rsidRDefault="001D672E" w:rsidP="001D2EA0">
      <w:pPr>
        <w:pStyle w:val="ListParagraph"/>
        <w:numPr>
          <w:ilvl w:val="0"/>
          <w:numId w:val="58"/>
        </w:numPr>
        <w:spacing w:after="60"/>
        <w:ind w:left="425" w:hanging="425"/>
        <w:contextualSpacing w:val="0"/>
      </w:pPr>
      <w:r>
        <w:t>R</w:t>
      </w:r>
      <w:r w:rsidR="00872E8D" w:rsidRPr="00405CAA">
        <w:t xml:space="preserve">educe non-productive time </w:t>
      </w:r>
      <w:r w:rsidR="00CD6BD0" w:rsidRPr="00405CAA">
        <w:t xml:space="preserve">by </w:t>
      </w:r>
      <w:r w:rsidR="00872E8D" w:rsidRPr="00405CAA">
        <w:t>0.66 hours</w:t>
      </w:r>
      <w:r w:rsidR="0058756A" w:rsidRPr="00405CAA">
        <w:t xml:space="preserve"> a day</w:t>
      </w:r>
      <w:r w:rsidR="00CD6BD0" w:rsidRPr="00405CAA">
        <w:t xml:space="preserve"> </w:t>
      </w:r>
      <w:r w:rsidR="0077473E">
        <w:t xml:space="preserve">(0.16 + 0.5 hours) </w:t>
      </w:r>
      <w:r w:rsidR="00CD6BD0" w:rsidRPr="00405CAA">
        <w:t>to accommodate the additional 1-hour appointment</w:t>
      </w:r>
      <w:r>
        <w:t xml:space="preserve"> and half an hour associated service time</w:t>
      </w:r>
      <w:r w:rsidR="00CD6BD0" w:rsidRPr="00405CAA">
        <w:t>.</w:t>
      </w:r>
    </w:p>
    <w:p w:rsidR="00872E8D" w:rsidRPr="00405CAA" w:rsidRDefault="001D672E" w:rsidP="001D2EA0">
      <w:pPr>
        <w:pStyle w:val="ListParagraph"/>
        <w:numPr>
          <w:ilvl w:val="0"/>
          <w:numId w:val="58"/>
        </w:numPr>
        <w:spacing w:after="60"/>
        <w:ind w:left="425" w:hanging="425"/>
        <w:contextualSpacing w:val="0"/>
      </w:pPr>
      <w:r>
        <w:t>R</w:t>
      </w:r>
      <w:r w:rsidR="00583C7C" w:rsidRPr="00405CAA">
        <w:t>educ</w:t>
      </w:r>
      <w:r>
        <w:t>e</w:t>
      </w:r>
      <w:r w:rsidR="00583C7C" w:rsidRPr="00405CAA">
        <w:t xml:space="preserve"> associated service time </w:t>
      </w:r>
      <w:r w:rsidR="00583C7C" w:rsidRPr="00CC0813">
        <w:t>by 0.</w:t>
      </w:r>
      <w:r w:rsidR="009B5578" w:rsidRPr="00C471E4">
        <w:t>1</w:t>
      </w:r>
      <w:r w:rsidR="00583C7C" w:rsidRPr="00CC0813">
        <w:t>6 hours</w:t>
      </w:r>
      <w:r w:rsidR="00583C7C" w:rsidRPr="002E2F31" w:rsidDel="00753D31">
        <w:t xml:space="preserve"> </w:t>
      </w:r>
      <w:r w:rsidR="00E73436" w:rsidRPr="002E2F31">
        <w:t xml:space="preserve">a </w:t>
      </w:r>
      <w:r w:rsidR="00E73436" w:rsidRPr="00405CAA">
        <w:t>day to accommodate the additional 1-hour appointment</w:t>
      </w:r>
      <w:r w:rsidR="002E2F31">
        <w:t xml:space="preserve"> and divide the remaining associated service time by five instead of four appointments</w:t>
      </w:r>
      <w:r w:rsidR="009B5578">
        <w:t xml:space="preserve">. This results in </w:t>
      </w:r>
      <w:r w:rsidR="008A477B" w:rsidRPr="00405CAA">
        <w:t>reduce</w:t>
      </w:r>
      <w:r w:rsidR="009B5578">
        <w:t>d</w:t>
      </w:r>
      <w:r w:rsidR="008A477B" w:rsidRPr="00405CAA">
        <w:t xml:space="preserve"> associated service time per 1-hour appointment from 30 minutes to 22 minute</w:t>
      </w:r>
      <w:r w:rsidR="009B5578">
        <w:t>s</w:t>
      </w:r>
      <w:r w:rsidR="000F3586" w:rsidRPr="00405CAA">
        <w:t>.</w:t>
      </w:r>
    </w:p>
    <w:p w:rsidR="000577AF" w:rsidRPr="00405CAA" w:rsidRDefault="000577AF" w:rsidP="000577AF">
      <w:pPr>
        <w:pStyle w:val="ListParagraph"/>
        <w:numPr>
          <w:ilvl w:val="0"/>
          <w:numId w:val="58"/>
        </w:numPr>
        <w:spacing w:after="60"/>
        <w:ind w:left="425" w:hanging="425"/>
        <w:contextualSpacing w:val="0"/>
      </w:pPr>
      <w:r w:rsidRPr="00405CAA">
        <w:t xml:space="preserve">Only add an extra appointment every </w:t>
      </w:r>
      <w:r w:rsidR="00CB7852" w:rsidRPr="00405CAA">
        <w:t>2</w:t>
      </w:r>
      <w:r w:rsidR="00CB7852" w:rsidRPr="00405CAA">
        <w:rPr>
          <w:vertAlign w:val="superscript"/>
        </w:rPr>
        <w:t>nd</w:t>
      </w:r>
      <w:r w:rsidR="00CB7852" w:rsidRPr="00405CAA">
        <w:t xml:space="preserve"> </w:t>
      </w:r>
      <w:r w:rsidRPr="00405CAA">
        <w:t>day, by reducing non-productive time on those days.</w:t>
      </w:r>
    </w:p>
    <w:p w:rsidR="005478D6" w:rsidRDefault="0058756A" w:rsidP="00CC0813">
      <w:pPr>
        <w:pStyle w:val="ListParagraph"/>
        <w:numPr>
          <w:ilvl w:val="0"/>
          <w:numId w:val="58"/>
        </w:numPr>
        <w:spacing w:after="60"/>
        <w:ind w:left="425" w:hanging="425"/>
        <w:contextualSpacing w:val="0"/>
      </w:pPr>
      <w:r w:rsidRPr="00405CAA">
        <w:t>Reduce both non-productive and associated service time to a</w:t>
      </w:r>
      <w:r w:rsidR="002E2F31">
        <w:t>llow for an extra appointment a day including associated service time less than 30 minutes e.g. 24 minutes</w:t>
      </w:r>
      <w:r w:rsidR="000F3586" w:rsidRPr="00405CAA">
        <w:t>.</w:t>
      </w:r>
    </w:p>
    <w:p w:rsidR="005478D6" w:rsidRPr="00405CAA" w:rsidRDefault="005478D6" w:rsidP="00C471E4">
      <w:pPr>
        <w:spacing w:after="60"/>
      </w:pPr>
    </w:p>
    <w:p w:rsidR="006F6B8E" w:rsidRPr="00405CAA" w:rsidRDefault="0058756A" w:rsidP="0058756A">
      <w:pPr>
        <w:pStyle w:val="Strongheadingsmall"/>
        <w:rPr>
          <w:rFonts w:ascii="Arial" w:hAnsi="Arial" w:cs="Arial"/>
        </w:rPr>
      </w:pPr>
      <w:r w:rsidRPr="00405CAA">
        <w:rPr>
          <w:rFonts w:ascii="Arial" w:hAnsi="Arial" w:cs="Arial"/>
        </w:rPr>
        <w:t>Calculating the options</w:t>
      </w:r>
    </w:p>
    <w:p w:rsidR="00F447DE" w:rsidRPr="00405CAA" w:rsidRDefault="00D77E20" w:rsidP="00E17548">
      <w:r w:rsidRPr="00405CAA">
        <w:t xml:space="preserve">There is some complexity to the calculations required to analyse these options. To begin with, </w:t>
      </w:r>
      <w:r w:rsidR="007D785D" w:rsidRPr="00405CAA">
        <w:t>O</w:t>
      </w:r>
      <w:r w:rsidRPr="00405CAA">
        <w:t xml:space="preserve">ption </w:t>
      </w:r>
      <w:r w:rsidR="005478D6">
        <w:t>3</w:t>
      </w:r>
      <w:r w:rsidRPr="00405CAA">
        <w:t xml:space="preserve"> cannot be analysed over a single </w:t>
      </w:r>
      <w:r w:rsidR="005478D6">
        <w:t>day</w:t>
      </w:r>
      <w:r w:rsidR="005478D6" w:rsidRPr="00405CAA">
        <w:t xml:space="preserve"> </w:t>
      </w:r>
      <w:r w:rsidRPr="00405CAA">
        <w:t>because the pattern takes t</w:t>
      </w:r>
      <w:r w:rsidR="005478D6">
        <w:t>wo</w:t>
      </w:r>
      <w:r w:rsidRPr="00405CAA">
        <w:t xml:space="preserve"> </w:t>
      </w:r>
      <w:r w:rsidR="005478D6">
        <w:t>day</w:t>
      </w:r>
      <w:r w:rsidR="00B67C2D" w:rsidRPr="00405CAA">
        <w:t xml:space="preserve">s </w:t>
      </w:r>
      <w:r w:rsidRPr="00405CAA">
        <w:t>to complete</w:t>
      </w:r>
      <w:r w:rsidR="00B67C2D" w:rsidRPr="00405CAA">
        <w:t xml:space="preserve">, so all the options need to be considered over two </w:t>
      </w:r>
      <w:r w:rsidR="005478D6">
        <w:t>day</w:t>
      </w:r>
      <w:r w:rsidR="005478D6" w:rsidRPr="00405CAA">
        <w:t>s</w:t>
      </w:r>
      <w:r w:rsidR="00B67C2D" w:rsidRPr="00405CAA">
        <w:t xml:space="preserve">. It is also critical to acknowledge the characteristics of each option in relation to the type of time (either </w:t>
      </w:r>
      <w:r w:rsidR="00B67C2D" w:rsidRPr="00405CAA">
        <w:lastRenderedPageBreak/>
        <w:t xml:space="preserve">associated service time or non-productive time) that is </w:t>
      </w:r>
      <w:r w:rsidR="00D20913" w:rsidRPr="00405CAA">
        <w:t xml:space="preserve">compromised to </w:t>
      </w:r>
      <w:r w:rsidR="00583C7C" w:rsidRPr="00405CAA">
        <w:t>accommodate</w:t>
      </w:r>
      <w:r w:rsidR="00D20913" w:rsidRPr="00405CAA">
        <w:t xml:space="preserve"> additional </w:t>
      </w:r>
      <w:r w:rsidR="00583C7C" w:rsidRPr="00405CAA">
        <w:t>appointments</w:t>
      </w:r>
      <w:r w:rsidR="00D20913" w:rsidRPr="00405CAA">
        <w:t>.</w:t>
      </w:r>
    </w:p>
    <w:p w:rsidR="00D20913" w:rsidRPr="00405CAA" w:rsidRDefault="00D20913" w:rsidP="00E17548">
      <w:r w:rsidRPr="00405CAA">
        <w:t xml:space="preserve">The summary results for </w:t>
      </w:r>
      <w:r w:rsidR="007D785D" w:rsidRPr="00405CAA">
        <w:t>O</w:t>
      </w:r>
      <w:r w:rsidRPr="00405CAA">
        <w:t xml:space="preserve">ptions 1 to </w:t>
      </w:r>
      <w:r w:rsidR="009728D7">
        <w:t>4</w:t>
      </w:r>
      <w:r w:rsidRPr="00405CAA">
        <w:t xml:space="preserve"> are presented in Table 6. </w:t>
      </w:r>
      <w:r w:rsidR="009728D7">
        <w:t>In the case of O</w:t>
      </w:r>
      <w:r w:rsidRPr="00405CAA">
        <w:t xml:space="preserve">ption </w:t>
      </w:r>
      <w:r w:rsidR="005478D6">
        <w:t>4</w:t>
      </w:r>
      <w:r w:rsidRPr="00405CAA">
        <w:t xml:space="preserve"> </w:t>
      </w:r>
      <w:r w:rsidR="009728D7">
        <w:t>we decided to reduce</w:t>
      </w:r>
      <w:r w:rsidRPr="00405CAA">
        <w:t xml:space="preserve"> associated service time </w:t>
      </w:r>
      <w:r w:rsidR="009728D7">
        <w:t xml:space="preserve">per appointment to 24 minutes </w:t>
      </w:r>
      <w:r w:rsidRPr="00405CAA">
        <w:t xml:space="preserve">and non-productive time </w:t>
      </w:r>
      <w:r w:rsidR="009728D7">
        <w:t>as required to allow for an extra appointment per day</w:t>
      </w:r>
      <w:r w:rsidRPr="00405CAA">
        <w:t xml:space="preserve">, but </w:t>
      </w:r>
      <w:r w:rsidR="009728D7">
        <w:t>numerous combinations for reducing non-productive and associated time are possible. In any case</w:t>
      </w:r>
      <w:r w:rsidRPr="00405CAA">
        <w:t xml:space="preserve"> </w:t>
      </w:r>
      <w:r w:rsidR="007D785D" w:rsidRPr="00405CAA">
        <w:t>O</w:t>
      </w:r>
      <w:r w:rsidRPr="00405CAA">
        <w:t xml:space="preserve">ptions </w:t>
      </w:r>
      <w:r w:rsidR="005478D6">
        <w:t>2</w:t>
      </w:r>
      <w:r w:rsidRPr="00405CAA">
        <w:t xml:space="preserve"> and </w:t>
      </w:r>
      <w:r w:rsidR="005478D6">
        <w:t>3</w:t>
      </w:r>
      <w:r w:rsidRPr="00405CAA">
        <w:t xml:space="preserve"> represent the extremes of the range of results that could be expected.</w:t>
      </w:r>
    </w:p>
    <w:p w:rsidR="00B165ED" w:rsidRPr="00405CAA" w:rsidRDefault="00B165ED" w:rsidP="001D2EA0">
      <w:r w:rsidRPr="00405CAA">
        <w:br w:type="page"/>
      </w:r>
    </w:p>
    <w:p w:rsidR="00775E0C" w:rsidRPr="00405CAA" w:rsidRDefault="00490905" w:rsidP="00E17548">
      <w:r w:rsidRPr="00405CAA">
        <w:rPr>
          <w:b/>
        </w:rPr>
        <w:lastRenderedPageBreak/>
        <w:t>Table 6: Summary results of analysing scenario options 1 to 4</w:t>
      </w:r>
    </w:p>
    <w:tbl>
      <w:tblPr>
        <w:tblStyle w:val="TableGrid"/>
        <w:tblW w:w="10031" w:type="dxa"/>
        <w:tblLayout w:type="fixed"/>
        <w:tblLook w:val="04A0" w:firstRow="1" w:lastRow="0" w:firstColumn="1" w:lastColumn="0" w:noHBand="0" w:noVBand="1"/>
        <w:tblCaption w:val="Summary results of analysing scenario options 1 to 4"/>
        <w:tblDescription w:val="Day 1: Data: Number of 1 hour appoinments, Option 1: Current service delivery model: 4, Option 2: Proposed service delivery model, compromising non-productive time: 5, Option 3: Proposed service delivery model, compromising non-productive time: 4. Day 1: Associated service time per appointment, Option 1: Current service delivery model: 0.50, Option 2: Proposed service delivery model, compromising non-productive time:0.50, Option 3: Proposed service delivery model, compromising associated service time: 0.37 and Option 4: Proposed service delivery model every 2nd day, compromising non-productive time: 0.50. Day 2: Number of 1 hour appointments, Option 1: Current service delivery model: 4, Option 2: Proposed service delivery model, compromising non-productivr time: 5, Option 3: Proposed service delivery model, compromising associated service time: 5 and Option 4: Proposed service delivery model second day compromising non-productive time: 5. Day 2&quot; Associated service time per appointment, Option 1: Current service delivery model: 0.50, Option 2: Proposed service delivery model,compromising non-productive time:0.50, Option 3:proposed service delivery model, compromising associated service time: 0.37 and option 4: proposed service delivery model every second day, compromising non-productive time: 0.50. Available time for option 1: Current service delivery model: 76, Available time for option 2: Service delivery model, compromising non-productive time: 76, Available time for option 3: Service delivery model, compromising associated service time: 76 and available time for option 4: Service delivery second day, compromising non-productive time: 76. Number of appointments for option 1: Current service delivery model: 40, Number of appointments for option 2: Service delivery model, compromising \ non-productive time: 45, Number of appointments for option 3: service delivery model, compromising associalted service time: 45 and Number of appointments for option 4: Service delievery 2nd day compromising non-productive time: 40.50. Client-facing service time. Option 1: 40.00,  and 52.6% Client-facing service time Option 2: 45.00 and 59.2%. Client-facing service time. Option 3: 45.00 and 59.0%, Option 4:40.50 and 53.3%. Associated service time: Option 1: 20.00 and 26.3%, Associated service time for option 2: 22.50 and 29.6%. Associated service time for option 3: 16.60 and 21.8%. Associated service time for option 4:20.25 and 26.6%. Non-productive time for option 1: 16.00 and 21.1%, Non-productive time for option 2: 21.1% and 8.50, Non-productive time for option 3: 11.2% and 14.40. Non-productive time for option 4: 15.25 and 20.1%. Billable time for option 1: 50.00 and 65.8%. Billable time for option 2: 56.25 and 74.0%. Billable time for Option 3: 53.30 and 70.1. Billable time for option 4: 50.63 and 66.6"/>
      </w:tblPr>
      <w:tblGrid>
        <w:gridCol w:w="539"/>
        <w:gridCol w:w="2268"/>
        <w:gridCol w:w="1129"/>
        <w:gridCol w:w="1559"/>
        <w:gridCol w:w="1559"/>
        <w:gridCol w:w="1453"/>
        <w:gridCol w:w="1524"/>
      </w:tblGrid>
      <w:tr w:rsidR="00AC4882" w:rsidRPr="00405CAA" w:rsidTr="00C471E4">
        <w:trPr>
          <w:cantSplit/>
          <w:tblHeader/>
        </w:trPr>
        <w:tc>
          <w:tcPr>
            <w:tcW w:w="2807" w:type="dxa"/>
            <w:gridSpan w:val="2"/>
            <w:shd w:val="clear" w:color="auto" w:fill="auto"/>
            <w:vAlign w:val="bottom"/>
          </w:tcPr>
          <w:p w:rsidR="00AC4882" w:rsidRPr="00405CAA" w:rsidRDefault="00AC4882" w:rsidP="001D2EA0">
            <w:pPr>
              <w:spacing w:before="60" w:after="60"/>
              <w:jc w:val="center"/>
              <w:rPr>
                <w:b/>
              </w:rPr>
            </w:pPr>
            <w:r w:rsidRPr="00405CAA">
              <w:rPr>
                <w:b/>
              </w:rPr>
              <w:t>Data</w:t>
            </w:r>
          </w:p>
        </w:tc>
        <w:tc>
          <w:tcPr>
            <w:tcW w:w="1129" w:type="dxa"/>
            <w:tcBorders>
              <w:bottom w:val="single" w:sz="4" w:space="0" w:color="auto"/>
            </w:tcBorders>
            <w:shd w:val="clear" w:color="auto" w:fill="auto"/>
            <w:vAlign w:val="bottom"/>
          </w:tcPr>
          <w:p w:rsidR="00AC4882" w:rsidRPr="00405CAA" w:rsidRDefault="00AC4882" w:rsidP="00CC0813">
            <w:pPr>
              <w:spacing w:before="60" w:after="60"/>
              <w:jc w:val="center"/>
              <w:rPr>
                <w:b/>
              </w:rPr>
            </w:pPr>
            <w:r w:rsidRPr="00405CAA">
              <w:rPr>
                <w:b/>
              </w:rPr>
              <w:t>Current service delivery model</w:t>
            </w:r>
          </w:p>
        </w:tc>
        <w:tc>
          <w:tcPr>
            <w:tcW w:w="1559" w:type="dxa"/>
            <w:shd w:val="clear" w:color="auto" w:fill="auto"/>
            <w:vAlign w:val="bottom"/>
          </w:tcPr>
          <w:p w:rsidR="00AC4882" w:rsidRPr="00405CAA" w:rsidRDefault="00AC4882" w:rsidP="00A25D68">
            <w:pPr>
              <w:spacing w:before="60" w:after="60"/>
              <w:jc w:val="center"/>
              <w:rPr>
                <w:b/>
              </w:rPr>
            </w:pPr>
            <w:r w:rsidRPr="00405CAA">
              <w:rPr>
                <w:b/>
              </w:rPr>
              <w:t xml:space="preserve">Option </w:t>
            </w:r>
            <w:r>
              <w:rPr>
                <w:b/>
              </w:rPr>
              <w:t>1</w:t>
            </w:r>
            <w:r w:rsidRPr="00405CAA">
              <w:rPr>
                <w:b/>
              </w:rPr>
              <w:t>:</w:t>
            </w:r>
            <w:r w:rsidRPr="00405CAA">
              <w:rPr>
                <w:b/>
              </w:rPr>
              <w:br/>
            </w:r>
            <w:r w:rsidR="001D672E">
              <w:rPr>
                <w:b/>
              </w:rPr>
              <w:t xml:space="preserve">Add an </w:t>
            </w:r>
            <w:r w:rsidR="00C471E4">
              <w:rPr>
                <w:b/>
              </w:rPr>
              <w:t xml:space="preserve">appointm’t per day </w:t>
            </w:r>
            <w:r w:rsidR="00476583">
              <w:rPr>
                <w:b/>
              </w:rPr>
              <w:t>by</w:t>
            </w:r>
            <w:r w:rsidRPr="00405CAA">
              <w:rPr>
                <w:b/>
              </w:rPr>
              <w:t xml:space="preserve"> </w:t>
            </w:r>
            <w:r>
              <w:rPr>
                <w:b/>
              </w:rPr>
              <w:t>reduc</w:t>
            </w:r>
            <w:r w:rsidRPr="00405CAA">
              <w:rPr>
                <w:b/>
              </w:rPr>
              <w:t>ing non-productive time</w:t>
            </w:r>
          </w:p>
        </w:tc>
        <w:tc>
          <w:tcPr>
            <w:tcW w:w="1559" w:type="dxa"/>
            <w:tcBorders>
              <w:bottom w:val="single" w:sz="4" w:space="0" w:color="auto"/>
            </w:tcBorders>
            <w:shd w:val="clear" w:color="auto" w:fill="auto"/>
            <w:vAlign w:val="bottom"/>
          </w:tcPr>
          <w:p w:rsidR="00AC4882" w:rsidRPr="00405CAA" w:rsidRDefault="00AC4882" w:rsidP="00C46413">
            <w:pPr>
              <w:spacing w:before="60" w:after="60"/>
              <w:rPr>
                <w:b/>
              </w:rPr>
            </w:pPr>
            <w:r w:rsidRPr="00405CAA">
              <w:rPr>
                <w:b/>
              </w:rPr>
              <w:t xml:space="preserve">Option </w:t>
            </w:r>
            <w:r>
              <w:rPr>
                <w:b/>
              </w:rPr>
              <w:t>2</w:t>
            </w:r>
            <w:r w:rsidRPr="00405CAA">
              <w:rPr>
                <w:b/>
              </w:rPr>
              <w:t>:</w:t>
            </w:r>
            <w:r w:rsidRPr="00405CAA">
              <w:rPr>
                <w:b/>
              </w:rPr>
              <w:br/>
            </w:r>
            <w:r w:rsidR="00476583">
              <w:rPr>
                <w:b/>
              </w:rPr>
              <w:t xml:space="preserve"> Add an </w:t>
            </w:r>
            <w:r w:rsidR="00C471E4">
              <w:rPr>
                <w:b/>
              </w:rPr>
              <w:t xml:space="preserve">appointm’t per day </w:t>
            </w:r>
            <w:r w:rsidR="00476583">
              <w:rPr>
                <w:b/>
              </w:rPr>
              <w:t>by</w:t>
            </w:r>
            <w:r w:rsidR="00476583" w:rsidRPr="00405CAA">
              <w:rPr>
                <w:b/>
              </w:rPr>
              <w:t xml:space="preserve"> </w:t>
            </w:r>
            <w:r>
              <w:rPr>
                <w:b/>
              </w:rPr>
              <w:t>reducing</w:t>
            </w:r>
            <w:r w:rsidRPr="00405CAA">
              <w:rPr>
                <w:b/>
              </w:rPr>
              <w:t xml:space="preserve"> associated service time</w:t>
            </w:r>
          </w:p>
        </w:tc>
        <w:tc>
          <w:tcPr>
            <w:tcW w:w="1453" w:type="dxa"/>
            <w:shd w:val="clear" w:color="auto" w:fill="auto"/>
            <w:vAlign w:val="bottom"/>
          </w:tcPr>
          <w:p w:rsidR="00AC4882" w:rsidRPr="00405CAA" w:rsidRDefault="00AC4882" w:rsidP="00C471E4">
            <w:pPr>
              <w:spacing w:before="60" w:after="60"/>
              <w:jc w:val="center"/>
              <w:rPr>
                <w:b/>
              </w:rPr>
            </w:pPr>
            <w:r w:rsidRPr="00405CAA">
              <w:rPr>
                <w:b/>
              </w:rPr>
              <w:t xml:space="preserve">Option </w:t>
            </w:r>
            <w:r>
              <w:rPr>
                <w:b/>
              </w:rPr>
              <w:t>3</w:t>
            </w:r>
            <w:r w:rsidRPr="00405CAA">
              <w:rPr>
                <w:b/>
              </w:rPr>
              <w:t>:</w:t>
            </w:r>
            <w:r w:rsidRPr="00405CAA">
              <w:rPr>
                <w:b/>
              </w:rPr>
              <w:br/>
            </w:r>
            <w:r w:rsidR="00476583">
              <w:rPr>
                <w:b/>
              </w:rPr>
              <w:t xml:space="preserve"> Add an </w:t>
            </w:r>
            <w:r w:rsidR="00C471E4">
              <w:rPr>
                <w:b/>
              </w:rPr>
              <w:t xml:space="preserve">appointm’t </w:t>
            </w:r>
            <w:r w:rsidRPr="00405CAA">
              <w:rPr>
                <w:b/>
              </w:rPr>
              <w:t>every 2</w:t>
            </w:r>
            <w:r w:rsidRPr="00405CAA">
              <w:rPr>
                <w:b/>
                <w:vertAlign w:val="superscript"/>
              </w:rPr>
              <w:t>nd</w:t>
            </w:r>
            <w:r w:rsidRPr="00405CAA">
              <w:rPr>
                <w:b/>
              </w:rPr>
              <w:t xml:space="preserve"> day </w:t>
            </w:r>
            <w:r w:rsidR="00476583">
              <w:rPr>
                <w:b/>
              </w:rPr>
              <w:t xml:space="preserve">by </w:t>
            </w:r>
            <w:r>
              <w:rPr>
                <w:b/>
              </w:rPr>
              <w:t>reduc</w:t>
            </w:r>
            <w:r w:rsidRPr="00405CAA">
              <w:rPr>
                <w:b/>
              </w:rPr>
              <w:t>ing non-productive time</w:t>
            </w:r>
          </w:p>
        </w:tc>
        <w:tc>
          <w:tcPr>
            <w:tcW w:w="1524" w:type="dxa"/>
          </w:tcPr>
          <w:p w:rsidR="00AC4882" w:rsidRDefault="00AC4882" w:rsidP="00C471E4">
            <w:pPr>
              <w:spacing w:before="60" w:after="60"/>
              <w:ind w:right="34"/>
              <w:jc w:val="center"/>
              <w:rPr>
                <w:b/>
              </w:rPr>
            </w:pPr>
            <w:r>
              <w:rPr>
                <w:b/>
              </w:rPr>
              <w:t>Option 4:</w:t>
            </w:r>
          </w:p>
          <w:p w:rsidR="00AC4882" w:rsidRPr="00405CAA" w:rsidRDefault="00476583" w:rsidP="00C471E4">
            <w:pPr>
              <w:spacing w:before="60" w:after="60"/>
              <w:ind w:right="34"/>
              <w:jc w:val="center"/>
              <w:rPr>
                <w:b/>
              </w:rPr>
            </w:pPr>
            <w:r>
              <w:rPr>
                <w:b/>
              </w:rPr>
              <w:t>Add an appoin</w:t>
            </w:r>
            <w:r w:rsidR="00C471E4">
              <w:rPr>
                <w:b/>
              </w:rPr>
              <w:t>tm</w:t>
            </w:r>
            <w:r>
              <w:rPr>
                <w:b/>
              </w:rPr>
              <w:t xml:space="preserve">’t </w:t>
            </w:r>
            <w:r w:rsidR="00C471E4">
              <w:rPr>
                <w:b/>
              </w:rPr>
              <w:t>per</w:t>
            </w:r>
            <w:r>
              <w:rPr>
                <w:b/>
              </w:rPr>
              <w:t xml:space="preserve"> day by</w:t>
            </w:r>
            <w:r w:rsidRPr="00405CAA">
              <w:rPr>
                <w:b/>
              </w:rPr>
              <w:t xml:space="preserve"> </w:t>
            </w:r>
            <w:r w:rsidR="00AC4882">
              <w:rPr>
                <w:b/>
              </w:rPr>
              <w:t>reducing non</w:t>
            </w:r>
            <w:r w:rsidR="00C471E4">
              <w:rPr>
                <w:b/>
              </w:rPr>
              <w:t>-</w:t>
            </w:r>
            <w:r w:rsidR="00AC4882">
              <w:rPr>
                <w:b/>
              </w:rPr>
              <w:t xml:space="preserve"> productive and associated service time</w:t>
            </w:r>
          </w:p>
        </w:tc>
      </w:tr>
      <w:tr w:rsidR="00AC4882" w:rsidRPr="00405CAA" w:rsidTr="00C471E4">
        <w:trPr>
          <w:cantSplit/>
        </w:trPr>
        <w:tc>
          <w:tcPr>
            <w:tcW w:w="539" w:type="dxa"/>
            <w:vMerge w:val="restart"/>
            <w:textDirection w:val="btLr"/>
          </w:tcPr>
          <w:p w:rsidR="00AC4882" w:rsidRPr="00405CAA" w:rsidRDefault="00AC4882" w:rsidP="001D2EA0">
            <w:pPr>
              <w:spacing w:after="0"/>
              <w:ind w:left="113" w:right="113"/>
              <w:jc w:val="center"/>
            </w:pPr>
            <w:r w:rsidRPr="00405CAA">
              <w:t>Day 1</w:t>
            </w:r>
          </w:p>
        </w:tc>
        <w:tc>
          <w:tcPr>
            <w:tcW w:w="2268" w:type="dxa"/>
          </w:tcPr>
          <w:p w:rsidR="00AC4882" w:rsidRPr="00405CAA" w:rsidRDefault="00AC4882" w:rsidP="001D2EA0">
            <w:pPr>
              <w:spacing w:before="60" w:after="60"/>
            </w:pPr>
            <w:r w:rsidRPr="00405CAA">
              <w:t>Number of 1-hour appointments</w:t>
            </w:r>
          </w:p>
        </w:tc>
        <w:tc>
          <w:tcPr>
            <w:tcW w:w="1129" w:type="dxa"/>
            <w:shd w:val="clear" w:color="auto" w:fill="auto"/>
            <w:vAlign w:val="center"/>
          </w:tcPr>
          <w:p w:rsidR="00AC4882" w:rsidRPr="00405CAA" w:rsidRDefault="00AC4882" w:rsidP="00C471E4">
            <w:pPr>
              <w:tabs>
                <w:tab w:val="decimal" w:pos="913"/>
              </w:tabs>
              <w:spacing w:before="60" w:after="60"/>
              <w:jc w:val="right"/>
            </w:pPr>
            <w:r w:rsidRPr="00405CAA">
              <w:t>4</w:t>
            </w:r>
          </w:p>
        </w:tc>
        <w:tc>
          <w:tcPr>
            <w:tcW w:w="1559" w:type="dxa"/>
            <w:vAlign w:val="center"/>
          </w:tcPr>
          <w:p w:rsidR="00AC4882" w:rsidRPr="00405CAA" w:rsidRDefault="00AC4882" w:rsidP="00C471E4">
            <w:pPr>
              <w:tabs>
                <w:tab w:val="decimal" w:pos="1021"/>
              </w:tabs>
              <w:spacing w:before="60" w:after="60"/>
              <w:jc w:val="right"/>
            </w:pPr>
            <w:r w:rsidRPr="00405CAA">
              <w:t>5</w:t>
            </w:r>
          </w:p>
        </w:tc>
        <w:tc>
          <w:tcPr>
            <w:tcW w:w="1559" w:type="dxa"/>
            <w:shd w:val="clear" w:color="auto" w:fill="auto"/>
            <w:vAlign w:val="center"/>
          </w:tcPr>
          <w:p w:rsidR="00AC4882" w:rsidRPr="00405CAA" w:rsidRDefault="00AC4882" w:rsidP="00C471E4">
            <w:pPr>
              <w:tabs>
                <w:tab w:val="decimal" w:pos="1021"/>
              </w:tabs>
              <w:spacing w:before="60" w:after="60"/>
              <w:jc w:val="right"/>
            </w:pPr>
            <w:r w:rsidRPr="00405CAA">
              <w:t>5</w:t>
            </w:r>
          </w:p>
        </w:tc>
        <w:tc>
          <w:tcPr>
            <w:tcW w:w="1453" w:type="dxa"/>
            <w:vAlign w:val="center"/>
          </w:tcPr>
          <w:p w:rsidR="00AC4882" w:rsidRPr="00405CAA" w:rsidRDefault="00AC4882" w:rsidP="00C471E4">
            <w:pPr>
              <w:tabs>
                <w:tab w:val="decimal" w:pos="1021"/>
              </w:tabs>
              <w:spacing w:before="60" w:after="60"/>
              <w:jc w:val="right"/>
            </w:pPr>
            <w:r w:rsidRPr="00405CAA">
              <w:t>4</w:t>
            </w:r>
          </w:p>
        </w:tc>
        <w:tc>
          <w:tcPr>
            <w:tcW w:w="1524" w:type="dxa"/>
            <w:vAlign w:val="center"/>
          </w:tcPr>
          <w:p w:rsidR="00AC4882" w:rsidRPr="00405CAA" w:rsidRDefault="00AC4882" w:rsidP="00C471E4">
            <w:pPr>
              <w:tabs>
                <w:tab w:val="decimal" w:pos="1021"/>
              </w:tabs>
              <w:spacing w:before="60" w:after="60"/>
              <w:jc w:val="right"/>
            </w:pPr>
            <w:r>
              <w:t>5</w:t>
            </w:r>
          </w:p>
        </w:tc>
      </w:tr>
      <w:tr w:rsidR="00AC4882" w:rsidRPr="00405CAA" w:rsidTr="00C471E4">
        <w:trPr>
          <w:cantSplit/>
        </w:trPr>
        <w:tc>
          <w:tcPr>
            <w:tcW w:w="539" w:type="dxa"/>
            <w:vMerge/>
          </w:tcPr>
          <w:p w:rsidR="00AC4882" w:rsidRPr="00405CAA" w:rsidRDefault="00AC4882" w:rsidP="001D2EA0">
            <w:pPr>
              <w:spacing w:after="0"/>
              <w:jc w:val="center"/>
            </w:pPr>
          </w:p>
        </w:tc>
        <w:tc>
          <w:tcPr>
            <w:tcW w:w="2268" w:type="dxa"/>
          </w:tcPr>
          <w:p w:rsidR="00AC4882" w:rsidRPr="00C471E4" w:rsidRDefault="00AC4882" w:rsidP="001D2EA0">
            <w:pPr>
              <w:spacing w:before="60" w:after="60"/>
            </w:pPr>
            <w:r w:rsidRPr="00C471E4">
              <w:t xml:space="preserve">Associated service time per </w:t>
            </w:r>
            <w:r w:rsidR="00C471E4" w:rsidRPr="00C471E4">
              <w:t>appointm’t</w:t>
            </w:r>
          </w:p>
        </w:tc>
        <w:tc>
          <w:tcPr>
            <w:tcW w:w="1129" w:type="dxa"/>
            <w:shd w:val="clear" w:color="auto" w:fill="auto"/>
            <w:vAlign w:val="center"/>
          </w:tcPr>
          <w:p w:rsidR="00AC4882" w:rsidRPr="00405CAA" w:rsidRDefault="00AC4882" w:rsidP="00C471E4">
            <w:pPr>
              <w:tabs>
                <w:tab w:val="decimal" w:pos="879"/>
              </w:tabs>
              <w:spacing w:before="60" w:after="60"/>
              <w:jc w:val="right"/>
            </w:pPr>
            <w:r w:rsidRPr="00405CAA">
              <w:t>0.50</w:t>
            </w:r>
          </w:p>
        </w:tc>
        <w:tc>
          <w:tcPr>
            <w:tcW w:w="1559" w:type="dxa"/>
            <w:vAlign w:val="center"/>
          </w:tcPr>
          <w:p w:rsidR="00AC4882" w:rsidRPr="00405CAA" w:rsidRDefault="00AC4882" w:rsidP="00C471E4">
            <w:pPr>
              <w:tabs>
                <w:tab w:val="decimal" w:pos="1021"/>
              </w:tabs>
              <w:spacing w:before="60" w:after="60"/>
              <w:jc w:val="right"/>
            </w:pPr>
            <w:r w:rsidRPr="00405CAA">
              <w:t>0.50</w:t>
            </w:r>
          </w:p>
        </w:tc>
        <w:tc>
          <w:tcPr>
            <w:tcW w:w="1559" w:type="dxa"/>
            <w:shd w:val="clear" w:color="auto" w:fill="auto"/>
            <w:vAlign w:val="center"/>
          </w:tcPr>
          <w:p w:rsidR="00AC4882" w:rsidRPr="00405CAA" w:rsidRDefault="00AC4882" w:rsidP="00C471E4">
            <w:pPr>
              <w:tabs>
                <w:tab w:val="decimal" w:pos="1021"/>
              </w:tabs>
              <w:spacing w:before="60" w:after="60"/>
              <w:jc w:val="right"/>
            </w:pPr>
            <w:r w:rsidRPr="00405CAA">
              <w:t>0.37</w:t>
            </w:r>
          </w:p>
        </w:tc>
        <w:tc>
          <w:tcPr>
            <w:tcW w:w="1453" w:type="dxa"/>
            <w:vAlign w:val="center"/>
          </w:tcPr>
          <w:p w:rsidR="00AC4882" w:rsidRPr="00405CAA" w:rsidRDefault="00AC4882" w:rsidP="00C471E4">
            <w:pPr>
              <w:tabs>
                <w:tab w:val="decimal" w:pos="1021"/>
              </w:tabs>
              <w:spacing w:before="60" w:after="60"/>
              <w:jc w:val="right"/>
            </w:pPr>
            <w:r w:rsidRPr="00405CAA">
              <w:t>0.50</w:t>
            </w:r>
          </w:p>
        </w:tc>
        <w:tc>
          <w:tcPr>
            <w:tcW w:w="1524" w:type="dxa"/>
            <w:vAlign w:val="center"/>
          </w:tcPr>
          <w:p w:rsidR="00AC4882" w:rsidRPr="00405CAA" w:rsidRDefault="00AC4882" w:rsidP="00C471E4">
            <w:pPr>
              <w:tabs>
                <w:tab w:val="decimal" w:pos="1021"/>
              </w:tabs>
              <w:spacing w:before="60" w:after="60"/>
              <w:jc w:val="right"/>
            </w:pPr>
            <w:r>
              <w:t>0.40</w:t>
            </w:r>
          </w:p>
        </w:tc>
      </w:tr>
      <w:tr w:rsidR="00AC4882" w:rsidRPr="00405CAA" w:rsidTr="00C471E4">
        <w:trPr>
          <w:cantSplit/>
        </w:trPr>
        <w:tc>
          <w:tcPr>
            <w:tcW w:w="539" w:type="dxa"/>
            <w:vMerge w:val="restart"/>
            <w:textDirection w:val="btLr"/>
          </w:tcPr>
          <w:p w:rsidR="00AC4882" w:rsidRPr="00405CAA" w:rsidRDefault="00AC4882" w:rsidP="001D2EA0">
            <w:pPr>
              <w:spacing w:after="0"/>
              <w:ind w:left="113" w:right="113"/>
              <w:jc w:val="center"/>
            </w:pPr>
            <w:r w:rsidRPr="00405CAA">
              <w:t>Day 2</w:t>
            </w:r>
          </w:p>
        </w:tc>
        <w:tc>
          <w:tcPr>
            <w:tcW w:w="2268" w:type="dxa"/>
          </w:tcPr>
          <w:p w:rsidR="00AC4882" w:rsidRPr="00C471E4" w:rsidRDefault="00AC4882" w:rsidP="001D2EA0">
            <w:pPr>
              <w:spacing w:before="60" w:after="60"/>
            </w:pPr>
            <w:r w:rsidRPr="00C471E4">
              <w:t>Number of 1-hour appointments</w:t>
            </w:r>
          </w:p>
        </w:tc>
        <w:tc>
          <w:tcPr>
            <w:tcW w:w="1129" w:type="dxa"/>
            <w:shd w:val="clear" w:color="auto" w:fill="auto"/>
            <w:vAlign w:val="center"/>
          </w:tcPr>
          <w:p w:rsidR="00AC4882" w:rsidRPr="00405CAA" w:rsidRDefault="00AC4882" w:rsidP="00C471E4">
            <w:pPr>
              <w:tabs>
                <w:tab w:val="decimal" w:pos="913"/>
              </w:tabs>
              <w:spacing w:before="60" w:after="60"/>
              <w:jc w:val="right"/>
            </w:pPr>
            <w:r w:rsidRPr="00405CAA">
              <w:t>4</w:t>
            </w:r>
          </w:p>
        </w:tc>
        <w:tc>
          <w:tcPr>
            <w:tcW w:w="1559" w:type="dxa"/>
            <w:vAlign w:val="center"/>
          </w:tcPr>
          <w:p w:rsidR="00AC4882" w:rsidRPr="00405CAA" w:rsidRDefault="00AC4882" w:rsidP="00C471E4">
            <w:pPr>
              <w:tabs>
                <w:tab w:val="decimal" w:pos="1021"/>
              </w:tabs>
              <w:spacing w:before="60" w:after="60"/>
              <w:jc w:val="right"/>
            </w:pPr>
            <w:r w:rsidRPr="00405CAA">
              <w:t>5</w:t>
            </w:r>
          </w:p>
        </w:tc>
        <w:tc>
          <w:tcPr>
            <w:tcW w:w="1559" w:type="dxa"/>
            <w:shd w:val="clear" w:color="auto" w:fill="auto"/>
            <w:vAlign w:val="center"/>
          </w:tcPr>
          <w:p w:rsidR="00AC4882" w:rsidRPr="00405CAA" w:rsidRDefault="00AC4882" w:rsidP="00C471E4">
            <w:pPr>
              <w:tabs>
                <w:tab w:val="decimal" w:pos="1021"/>
              </w:tabs>
              <w:spacing w:before="60" w:after="60"/>
              <w:jc w:val="right"/>
            </w:pPr>
            <w:r w:rsidRPr="00405CAA">
              <w:t>5</w:t>
            </w:r>
          </w:p>
        </w:tc>
        <w:tc>
          <w:tcPr>
            <w:tcW w:w="1453" w:type="dxa"/>
            <w:vAlign w:val="center"/>
          </w:tcPr>
          <w:p w:rsidR="00AC4882" w:rsidRPr="00405CAA" w:rsidRDefault="00AC4882" w:rsidP="00C471E4">
            <w:pPr>
              <w:tabs>
                <w:tab w:val="decimal" w:pos="1021"/>
              </w:tabs>
              <w:spacing w:before="60" w:after="60"/>
              <w:jc w:val="right"/>
            </w:pPr>
            <w:r w:rsidRPr="00405CAA">
              <w:t>5</w:t>
            </w:r>
          </w:p>
        </w:tc>
        <w:tc>
          <w:tcPr>
            <w:tcW w:w="1524" w:type="dxa"/>
            <w:vAlign w:val="center"/>
          </w:tcPr>
          <w:p w:rsidR="00AC4882" w:rsidRPr="00405CAA" w:rsidRDefault="00AC4882" w:rsidP="00C471E4">
            <w:pPr>
              <w:tabs>
                <w:tab w:val="decimal" w:pos="1021"/>
              </w:tabs>
              <w:spacing w:before="60" w:after="60"/>
              <w:jc w:val="right"/>
            </w:pPr>
            <w:r>
              <w:t>5</w:t>
            </w:r>
          </w:p>
        </w:tc>
      </w:tr>
      <w:tr w:rsidR="00AC4882" w:rsidRPr="00405CAA" w:rsidTr="00C471E4">
        <w:trPr>
          <w:cantSplit/>
        </w:trPr>
        <w:tc>
          <w:tcPr>
            <w:tcW w:w="539" w:type="dxa"/>
            <w:vMerge/>
          </w:tcPr>
          <w:p w:rsidR="00AC4882" w:rsidRPr="00405CAA" w:rsidRDefault="00AC4882" w:rsidP="001D2EA0">
            <w:pPr>
              <w:spacing w:before="60" w:after="60"/>
            </w:pPr>
          </w:p>
        </w:tc>
        <w:tc>
          <w:tcPr>
            <w:tcW w:w="2268" w:type="dxa"/>
          </w:tcPr>
          <w:p w:rsidR="00AC4882" w:rsidRPr="00C471E4" w:rsidRDefault="00AC4882" w:rsidP="001D2EA0">
            <w:pPr>
              <w:spacing w:before="60" w:after="60"/>
            </w:pPr>
            <w:r w:rsidRPr="00C471E4">
              <w:t xml:space="preserve">Associated service time per </w:t>
            </w:r>
            <w:r w:rsidR="00C471E4" w:rsidRPr="00C471E4">
              <w:t>appointm’t</w:t>
            </w:r>
          </w:p>
        </w:tc>
        <w:tc>
          <w:tcPr>
            <w:tcW w:w="1129" w:type="dxa"/>
            <w:shd w:val="clear" w:color="auto" w:fill="auto"/>
            <w:vAlign w:val="center"/>
          </w:tcPr>
          <w:p w:rsidR="00AC4882" w:rsidRPr="00405CAA" w:rsidRDefault="00AC4882" w:rsidP="00C471E4">
            <w:pPr>
              <w:tabs>
                <w:tab w:val="decimal" w:pos="879"/>
              </w:tabs>
              <w:spacing w:before="60" w:after="60"/>
              <w:jc w:val="right"/>
            </w:pPr>
            <w:r w:rsidRPr="00405CAA">
              <w:t>0.50</w:t>
            </w:r>
          </w:p>
        </w:tc>
        <w:tc>
          <w:tcPr>
            <w:tcW w:w="1559" w:type="dxa"/>
            <w:vAlign w:val="center"/>
          </w:tcPr>
          <w:p w:rsidR="00AC4882" w:rsidRPr="00405CAA" w:rsidRDefault="00AC4882" w:rsidP="00C471E4">
            <w:pPr>
              <w:tabs>
                <w:tab w:val="decimal" w:pos="1021"/>
              </w:tabs>
              <w:spacing w:before="60" w:after="60"/>
              <w:jc w:val="right"/>
            </w:pPr>
            <w:r w:rsidRPr="00405CAA">
              <w:t>0.50</w:t>
            </w:r>
          </w:p>
        </w:tc>
        <w:tc>
          <w:tcPr>
            <w:tcW w:w="1559" w:type="dxa"/>
            <w:shd w:val="clear" w:color="auto" w:fill="auto"/>
            <w:vAlign w:val="center"/>
          </w:tcPr>
          <w:p w:rsidR="00AC4882" w:rsidRPr="00405CAA" w:rsidRDefault="00AC4882" w:rsidP="00C471E4">
            <w:pPr>
              <w:tabs>
                <w:tab w:val="decimal" w:pos="1021"/>
              </w:tabs>
              <w:spacing w:before="60" w:after="60"/>
              <w:jc w:val="right"/>
            </w:pPr>
            <w:r w:rsidRPr="00405CAA">
              <w:t>0.37</w:t>
            </w:r>
          </w:p>
        </w:tc>
        <w:tc>
          <w:tcPr>
            <w:tcW w:w="1453" w:type="dxa"/>
            <w:vAlign w:val="center"/>
          </w:tcPr>
          <w:p w:rsidR="00AC4882" w:rsidRPr="00405CAA" w:rsidRDefault="00AC4882" w:rsidP="00C471E4">
            <w:pPr>
              <w:tabs>
                <w:tab w:val="decimal" w:pos="1021"/>
              </w:tabs>
              <w:spacing w:before="60" w:after="60"/>
              <w:jc w:val="right"/>
            </w:pPr>
            <w:r w:rsidRPr="00405CAA">
              <w:t>0.50</w:t>
            </w:r>
          </w:p>
        </w:tc>
        <w:tc>
          <w:tcPr>
            <w:tcW w:w="1524" w:type="dxa"/>
            <w:vAlign w:val="center"/>
          </w:tcPr>
          <w:p w:rsidR="00AC4882" w:rsidRPr="00405CAA" w:rsidRDefault="00AC4882" w:rsidP="00C471E4">
            <w:pPr>
              <w:tabs>
                <w:tab w:val="decimal" w:pos="1021"/>
              </w:tabs>
              <w:spacing w:before="60" w:after="60"/>
              <w:jc w:val="right"/>
            </w:pPr>
            <w:r>
              <w:t>0.40</w:t>
            </w:r>
          </w:p>
        </w:tc>
      </w:tr>
      <w:tr w:rsidR="00AC4882" w:rsidRPr="00405CAA" w:rsidTr="00C471E4">
        <w:trPr>
          <w:cantSplit/>
        </w:trPr>
        <w:tc>
          <w:tcPr>
            <w:tcW w:w="2807" w:type="dxa"/>
            <w:gridSpan w:val="2"/>
          </w:tcPr>
          <w:p w:rsidR="00AC4882" w:rsidRPr="00405CAA" w:rsidRDefault="00AC4882" w:rsidP="00CC0813">
            <w:pPr>
              <w:spacing w:before="60" w:after="60"/>
            </w:pPr>
            <w:r w:rsidRPr="00405CAA">
              <w:t>Available time*</w:t>
            </w:r>
          </w:p>
        </w:tc>
        <w:tc>
          <w:tcPr>
            <w:tcW w:w="1129" w:type="dxa"/>
            <w:shd w:val="clear" w:color="auto" w:fill="auto"/>
            <w:vAlign w:val="center"/>
          </w:tcPr>
          <w:p w:rsidR="00AC4882" w:rsidRPr="00C471E4" w:rsidRDefault="00AC4882" w:rsidP="00CC0813">
            <w:pPr>
              <w:spacing w:before="60" w:after="60"/>
              <w:jc w:val="right"/>
              <w:rPr>
                <w:b/>
              </w:rPr>
            </w:pPr>
            <w:r w:rsidRPr="00405CAA">
              <w:t>76</w:t>
            </w:r>
          </w:p>
        </w:tc>
        <w:tc>
          <w:tcPr>
            <w:tcW w:w="1559" w:type="dxa"/>
            <w:vAlign w:val="center"/>
          </w:tcPr>
          <w:p w:rsidR="00AC4882" w:rsidRPr="00405CAA" w:rsidRDefault="00AC4882">
            <w:pPr>
              <w:spacing w:before="60" w:after="60"/>
              <w:jc w:val="right"/>
            </w:pPr>
            <w:r w:rsidRPr="00405CAA">
              <w:t>76</w:t>
            </w:r>
          </w:p>
        </w:tc>
        <w:tc>
          <w:tcPr>
            <w:tcW w:w="1559" w:type="dxa"/>
            <w:shd w:val="clear" w:color="auto" w:fill="auto"/>
            <w:vAlign w:val="center"/>
          </w:tcPr>
          <w:p w:rsidR="00AC4882" w:rsidRPr="00405CAA" w:rsidRDefault="00AC4882">
            <w:pPr>
              <w:spacing w:before="60" w:after="60"/>
              <w:jc w:val="right"/>
            </w:pPr>
            <w:r w:rsidRPr="00405CAA">
              <w:t>76</w:t>
            </w:r>
          </w:p>
        </w:tc>
        <w:tc>
          <w:tcPr>
            <w:tcW w:w="1453" w:type="dxa"/>
            <w:vAlign w:val="center"/>
          </w:tcPr>
          <w:p w:rsidR="00AC4882" w:rsidRPr="00405CAA" w:rsidRDefault="00AC4882">
            <w:pPr>
              <w:spacing w:before="60" w:after="60"/>
              <w:jc w:val="right"/>
            </w:pPr>
            <w:r w:rsidRPr="00405CAA">
              <w:t>76</w:t>
            </w:r>
          </w:p>
        </w:tc>
        <w:tc>
          <w:tcPr>
            <w:tcW w:w="1524" w:type="dxa"/>
            <w:vAlign w:val="center"/>
          </w:tcPr>
          <w:p w:rsidR="00AC4882" w:rsidRPr="00405CAA" w:rsidRDefault="00AC4882" w:rsidP="00C471E4">
            <w:pPr>
              <w:tabs>
                <w:tab w:val="decimal" w:pos="735"/>
              </w:tabs>
              <w:spacing w:before="60" w:after="60"/>
              <w:jc w:val="right"/>
            </w:pPr>
            <w:r>
              <w:t>76</w:t>
            </w:r>
          </w:p>
        </w:tc>
      </w:tr>
      <w:tr w:rsidR="00AC4882" w:rsidRPr="00405CAA" w:rsidTr="00C471E4">
        <w:trPr>
          <w:cantSplit/>
        </w:trPr>
        <w:tc>
          <w:tcPr>
            <w:tcW w:w="2807" w:type="dxa"/>
            <w:gridSpan w:val="2"/>
          </w:tcPr>
          <w:p w:rsidR="00AC4882" w:rsidRPr="00405CAA" w:rsidRDefault="00AC4882" w:rsidP="00CC0813">
            <w:pPr>
              <w:spacing w:before="60" w:after="60"/>
            </w:pPr>
            <w:r w:rsidRPr="00405CAA">
              <w:t>Client-facing service time*</w:t>
            </w:r>
          </w:p>
        </w:tc>
        <w:tc>
          <w:tcPr>
            <w:tcW w:w="1129" w:type="dxa"/>
            <w:shd w:val="clear" w:color="auto" w:fill="auto"/>
            <w:vAlign w:val="center"/>
          </w:tcPr>
          <w:p w:rsidR="00AC4882" w:rsidRPr="00405CAA" w:rsidRDefault="00AC4882">
            <w:pPr>
              <w:spacing w:before="60" w:after="60"/>
              <w:jc w:val="right"/>
            </w:pPr>
            <w:r w:rsidRPr="00405CAA">
              <w:t>40.00</w:t>
            </w:r>
          </w:p>
        </w:tc>
        <w:tc>
          <w:tcPr>
            <w:tcW w:w="1559" w:type="dxa"/>
            <w:vAlign w:val="center"/>
          </w:tcPr>
          <w:p w:rsidR="00AC4882" w:rsidRPr="00405CAA" w:rsidRDefault="00AC4882">
            <w:pPr>
              <w:spacing w:before="60" w:after="60"/>
              <w:jc w:val="right"/>
            </w:pPr>
            <w:r w:rsidRPr="00405CAA">
              <w:t>45.00</w:t>
            </w:r>
          </w:p>
        </w:tc>
        <w:tc>
          <w:tcPr>
            <w:tcW w:w="1559" w:type="dxa"/>
            <w:shd w:val="clear" w:color="auto" w:fill="auto"/>
            <w:vAlign w:val="center"/>
          </w:tcPr>
          <w:p w:rsidR="00AC4882" w:rsidRPr="00405CAA" w:rsidRDefault="00AC4882">
            <w:pPr>
              <w:spacing w:before="60" w:after="60"/>
              <w:jc w:val="right"/>
            </w:pPr>
            <w:r w:rsidRPr="00405CAA">
              <w:t>45.00</w:t>
            </w:r>
          </w:p>
        </w:tc>
        <w:tc>
          <w:tcPr>
            <w:tcW w:w="1453" w:type="dxa"/>
            <w:vAlign w:val="center"/>
          </w:tcPr>
          <w:p w:rsidR="00AC4882" w:rsidRPr="00405CAA" w:rsidRDefault="00AC4882">
            <w:pPr>
              <w:spacing w:before="60" w:after="60"/>
              <w:jc w:val="right"/>
            </w:pPr>
            <w:r w:rsidRPr="00405CAA">
              <w:t>40.50</w:t>
            </w:r>
          </w:p>
        </w:tc>
        <w:tc>
          <w:tcPr>
            <w:tcW w:w="1524" w:type="dxa"/>
            <w:vAlign w:val="center"/>
          </w:tcPr>
          <w:p w:rsidR="00AC4882" w:rsidRPr="00405CAA" w:rsidRDefault="00AC4882" w:rsidP="00C471E4">
            <w:pPr>
              <w:tabs>
                <w:tab w:val="decimal" w:pos="735"/>
              </w:tabs>
              <w:spacing w:before="60" w:after="60"/>
              <w:jc w:val="right"/>
            </w:pPr>
            <w:r>
              <w:t>45</w:t>
            </w:r>
          </w:p>
        </w:tc>
      </w:tr>
      <w:tr w:rsidR="00AC4882" w:rsidRPr="00405CAA" w:rsidTr="00C471E4">
        <w:trPr>
          <w:cantSplit/>
        </w:trPr>
        <w:tc>
          <w:tcPr>
            <w:tcW w:w="2807" w:type="dxa"/>
            <w:gridSpan w:val="2"/>
          </w:tcPr>
          <w:p w:rsidR="00AC4882" w:rsidRPr="00405CAA" w:rsidRDefault="00AC4882" w:rsidP="00CC0813">
            <w:pPr>
              <w:spacing w:before="60" w:after="60"/>
            </w:pPr>
            <w:r w:rsidRPr="00405CAA">
              <w:t>Associated service time*</w:t>
            </w:r>
          </w:p>
        </w:tc>
        <w:tc>
          <w:tcPr>
            <w:tcW w:w="1129" w:type="dxa"/>
            <w:shd w:val="clear" w:color="auto" w:fill="auto"/>
            <w:vAlign w:val="center"/>
          </w:tcPr>
          <w:p w:rsidR="00AC4882" w:rsidRPr="00405CAA" w:rsidRDefault="00AC4882">
            <w:pPr>
              <w:spacing w:before="60" w:after="60"/>
              <w:jc w:val="right"/>
            </w:pPr>
            <w:r w:rsidRPr="00405CAA">
              <w:t>20.00</w:t>
            </w:r>
          </w:p>
        </w:tc>
        <w:tc>
          <w:tcPr>
            <w:tcW w:w="1559" w:type="dxa"/>
            <w:vAlign w:val="center"/>
          </w:tcPr>
          <w:p w:rsidR="00AC4882" w:rsidRPr="00405CAA" w:rsidRDefault="00AC4882">
            <w:pPr>
              <w:spacing w:before="60" w:after="60"/>
              <w:jc w:val="right"/>
            </w:pPr>
            <w:r w:rsidRPr="00405CAA">
              <w:t>22.50</w:t>
            </w:r>
          </w:p>
        </w:tc>
        <w:tc>
          <w:tcPr>
            <w:tcW w:w="1559" w:type="dxa"/>
            <w:shd w:val="clear" w:color="auto" w:fill="auto"/>
            <w:vAlign w:val="center"/>
          </w:tcPr>
          <w:p w:rsidR="00AC4882" w:rsidRPr="00405CAA" w:rsidRDefault="00AC4882">
            <w:pPr>
              <w:spacing w:before="60" w:after="60"/>
              <w:jc w:val="right"/>
            </w:pPr>
            <w:r w:rsidRPr="00405CAA">
              <w:t>16.60</w:t>
            </w:r>
          </w:p>
        </w:tc>
        <w:tc>
          <w:tcPr>
            <w:tcW w:w="1453" w:type="dxa"/>
            <w:vAlign w:val="center"/>
          </w:tcPr>
          <w:p w:rsidR="00AC4882" w:rsidRPr="00405CAA" w:rsidRDefault="00AC4882">
            <w:pPr>
              <w:spacing w:before="60" w:after="60"/>
              <w:jc w:val="right"/>
            </w:pPr>
            <w:r w:rsidRPr="00405CAA">
              <w:t>20.25</w:t>
            </w:r>
          </w:p>
        </w:tc>
        <w:tc>
          <w:tcPr>
            <w:tcW w:w="1524" w:type="dxa"/>
            <w:vAlign w:val="center"/>
          </w:tcPr>
          <w:p w:rsidR="00AC4882" w:rsidRPr="00405CAA" w:rsidRDefault="00AC4882" w:rsidP="00C471E4">
            <w:pPr>
              <w:tabs>
                <w:tab w:val="decimal" w:pos="735"/>
              </w:tabs>
              <w:spacing w:before="60" w:after="60"/>
              <w:jc w:val="right"/>
            </w:pPr>
            <w:r>
              <w:t>18</w:t>
            </w:r>
          </w:p>
        </w:tc>
      </w:tr>
      <w:tr w:rsidR="00AC4882" w:rsidRPr="00405CAA" w:rsidTr="00C471E4">
        <w:trPr>
          <w:cantSplit/>
        </w:trPr>
        <w:tc>
          <w:tcPr>
            <w:tcW w:w="2807" w:type="dxa"/>
            <w:gridSpan w:val="2"/>
          </w:tcPr>
          <w:p w:rsidR="00AC4882" w:rsidRPr="00405CAA" w:rsidRDefault="00AC4882" w:rsidP="00CC0813">
            <w:pPr>
              <w:spacing w:before="60" w:after="60"/>
            </w:pPr>
            <w:r w:rsidRPr="00405CAA">
              <w:t>Non-productive time*</w:t>
            </w:r>
          </w:p>
        </w:tc>
        <w:tc>
          <w:tcPr>
            <w:tcW w:w="1129" w:type="dxa"/>
            <w:shd w:val="clear" w:color="auto" w:fill="auto"/>
            <w:vAlign w:val="center"/>
          </w:tcPr>
          <w:p w:rsidR="00AC4882" w:rsidRPr="00405CAA" w:rsidRDefault="00AC4882">
            <w:pPr>
              <w:spacing w:before="60" w:after="60"/>
              <w:jc w:val="right"/>
            </w:pPr>
            <w:r w:rsidRPr="00405CAA">
              <w:t>16.00</w:t>
            </w:r>
          </w:p>
        </w:tc>
        <w:tc>
          <w:tcPr>
            <w:tcW w:w="1559" w:type="dxa"/>
            <w:vAlign w:val="center"/>
          </w:tcPr>
          <w:p w:rsidR="00AC4882" w:rsidRPr="00405CAA" w:rsidRDefault="00AC4882">
            <w:pPr>
              <w:spacing w:before="60" w:after="60"/>
              <w:jc w:val="right"/>
            </w:pPr>
            <w:r w:rsidRPr="00405CAA">
              <w:t>8.50</w:t>
            </w:r>
          </w:p>
        </w:tc>
        <w:tc>
          <w:tcPr>
            <w:tcW w:w="1559" w:type="dxa"/>
            <w:shd w:val="clear" w:color="auto" w:fill="auto"/>
            <w:vAlign w:val="center"/>
          </w:tcPr>
          <w:p w:rsidR="00AC4882" w:rsidRPr="00405CAA" w:rsidRDefault="00AC4882">
            <w:pPr>
              <w:spacing w:before="60" w:after="60"/>
              <w:jc w:val="right"/>
            </w:pPr>
            <w:r w:rsidRPr="00405CAA">
              <w:t>14.40</w:t>
            </w:r>
          </w:p>
        </w:tc>
        <w:tc>
          <w:tcPr>
            <w:tcW w:w="1453" w:type="dxa"/>
            <w:vAlign w:val="center"/>
          </w:tcPr>
          <w:p w:rsidR="00AC4882" w:rsidRPr="00405CAA" w:rsidRDefault="00AC4882">
            <w:pPr>
              <w:spacing w:before="60" w:after="60"/>
              <w:jc w:val="right"/>
            </w:pPr>
            <w:r w:rsidRPr="00405CAA">
              <w:t>15.25</w:t>
            </w:r>
          </w:p>
        </w:tc>
        <w:tc>
          <w:tcPr>
            <w:tcW w:w="1524" w:type="dxa"/>
            <w:vAlign w:val="center"/>
          </w:tcPr>
          <w:p w:rsidR="00AC4882" w:rsidRPr="00405CAA" w:rsidRDefault="00AC4882" w:rsidP="00C471E4">
            <w:pPr>
              <w:tabs>
                <w:tab w:val="decimal" w:pos="735"/>
              </w:tabs>
              <w:spacing w:before="60" w:after="60"/>
              <w:jc w:val="right"/>
            </w:pPr>
            <w:r>
              <w:t>12.96</w:t>
            </w:r>
          </w:p>
        </w:tc>
      </w:tr>
      <w:tr w:rsidR="00AC4882" w:rsidRPr="00405CAA" w:rsidTr="00C471E4">
        <w:trPr>
          <w:cantSplit/>
        </w:trPr>
        <w:tc>
          <w:tcPr>
            <w:tcW w:w="2807" w:type="dxa"/>
            <w:gridSpan w:val="2"/>
          </w:tcPr>
          <w:p w:rsidR="00AC4882" w:rsidRPr="00405CAA" w:rsidRDefault="00AC4882" w:rsidP="00CC0813">
            <w:pPr>
              <w:spacing w:before="60" w:after="60"/>
              <w:rPr>
                <w:b/>
              </w:rPr>
            </w:pPr>
            <w:r w:rsidRPr="00405CAA">
              <w:rPr>
                <w:b/>
              </w:rPr>
              <w:t>Billable time*</w:t>
            </w:r>
          </w:p>
        </w:tc>
        <w:tc>
          <w:tcPr>
            <w:tcW w:w="1129" w:type="dxa"/>
            <w:shd w:val="clear" w:color="auto" w:fill="auto"/>
            <w:vAlign w:val="center"/>
          </w:tcPr>
          <w:p w:rsidR="00AC4882" w:rsidRPr="00405CAA" w:rsidRDefault="00AC4882">
            <w:pPr>
              <w:spacing w:before="60" w:after="60"/>
              <w:jc w:val="right"/>
              <w:rPr>
                <w:b/>
              </w:rPr>
            </w:pPr>
            <w:r w:rsidRPr="00405CAA">
              <w:t>50.00</w:t>
            </w:r>
          </w:p>
        </w:tc>
        <w:tc>
          <w:tcPr>
            <w:tcW w:w="1559" w:type="dxa"/>
            <w:vAlign w:val="center"/>
          </w:tcPr>
          <w:p w:rsidR="00AC4882" w:rsidRPr="00405CAA" w:rsidRDefault="00AC4882">
            <w:pPr>
              <w:spacing w:before="60" w:after="60"/>
              <w:jc w:val="right"/>
              <w:rPr>
                <w:b/>
              </w:rPr>
            </w:pPr>
            <w:r w:rsidRPr="00405CAA">
              <w:t>56.25</w:t>
            </w:r>
          </w:p>
        </w:tc>
        <w:tc>
          <w:tcPr>
            <w:tcW w:w="1559" w:type="dxa"/>
            <w:shd w:val="clear" w:color="auto" w:fill="auto"/>
            <w:vAlign w:val="center"/>
          </w:tcPr>
          <w:p w:rsidR="00AC4882" w:rsidRPr="00405CAA" w:rsidRDefault="00AC4882">
            <w:pPr>
              <w:spacing w:before="60" w:after="60"/>
              <w:jc w:val="right"/>
              <w:rPr>
                <w:b/>
              </w:rPr>
            </w:pPr>
            <w:r w:rsidRPr="00405CAA">
              <w:t>53.30</w:t>
            </w:r>
          </w:p>
        </w:tc>
        <w:tc>
          <w:tcPr>
            <w:tcW w:w="1453" w:type="dxa"/>
            <w:vAlign w:val="center"/>
          </w:tcPr>
          <w:p w:rsidR="00AC4882" w:rsidRPr="00405CAA" w:rsidRDefault="00AC4882">
            <w:pPr>
              <w:spacing w:before="60" w:after="60"/>
              <w:jc w:val="right"/>
              <w:rPr>
                <w:b/>
              </w:rPr>
            </w:pPr>
            <w:r w:rsidRPr="00405CAA">
              <w:t>50.63</w:t>
            </w:r>
          </w:p>
        </w:tc>
        <w:tc>
          <w:tcPr>
            <w:tcW w:w="1524" w:type="dxa"/>
            <w:vAlign w:val="center"/>
          </w:tcPr>
          <w:p w:rsidR="00AC4882" w:rsidRPr="00405CAA" w:rsidRDefault="00AC4882" w:rsidP="00C471E4">
            <w:pPr>
              <w:tabs>
                <w:tab w:val="decimal" w:pos="735"/>
              </w:tabs>
              <w:spacing w:before="60" w:after="60"/>
              <w:jc w:val="right"/>
            </w:pPr>
            <w:r>
              <w:t>54.04</w:t>
            </w:r>
          </w:p>
        </w:tc>
      </w:tr>
    </w:tbl>
    <w:p w:rsidR="00490905" w:rsidRPr="00405CAA" w:rsidRDefault="00CB7852" w:rsidP="00490905">
      <w:r w:rsidRPr="00405CAA">
        <w:br/>
        <w:t xml:space="preserve">* All time expressed as hours per average fortnight.  </w:t>
      </w:r>
    </w:p>
    <w:p w:rsidR="00E17548" w:rsidRPr="00405CAA" w:rsidRDefault="00E17548" w:rsidP="00E17548">
      <w:pPr>
        <w:pStyle w:val="Strongheadingsmall"/>
        <w:rPr>
          <w:rFonts w:ascii="Arial" w:hAnsi="Arial" w:cs="Arial"/>
        </w:rPr>
      </w:pPr>
      <w:r w:rsidRPr="00405CAA">
        <w:rPr>
          <w:rFonts w:ascii="Arial" w:hAnsi="Arial" w:cs="Arial"/>
        </w:rPr>
        <w:t>The implications (both positive and negative) of the possible responses</w:t>
      </w:r>
    </w:p>
    <w:p w:rsidR="00E17548" w:rsidRPr="00405CAA" w:rsidRDefault="00E17548" w:rsidP="00E17548">
      <w:pPr>
        <w:pStyle w:val="ListParagraph"/>
        <w:numPr>
          <w:ilvl w:val="0"/>
          <w:numId w:val="53"/>
        </w:numPr>
      </w:pPr>
      <w:r w:rsidRPr="00405CAA">
        <w:t xml:space="preserve">All other things being equal, if </w:t>
      </w:r>
      <w:r w:rsidR="009E75C1">
        <w:t>billable time</w:t>
      </w:r>
      <w:r w:rsidRPr="00405CAA">
        <w:t xml:space="preserve"> in a</w:t>
      </w:r>
      <w:r w:rsidR="00304F3A" w:rsidRPr="00405CAA">
        <w:t>n average</w:t>
      </w:r>
      <w:r w:rsidRPr="00405CAA">
        <w:t xml:space="preserve"> fortnight </w:t>
      </w:r>
      <w:r w:rsidR="0058756A" w:rsidRPr="00405CAA">
        <w:t>decreases</w:t>
      </w:r>
      <w:r w:rsidR="009E75C1">
        <w:t xml:space="preserve"> as in the </w:t>
      </w:r>
      <w:r w:rsidR="002D600E">
        <w:t>nine-day</w:t>
      </w:r>
      <w:r w:rsidR="009E75C1">
        <w:t xml:space="preserve"> fortnight in Table 5</w:t>
      </w:r>
      <w:r w:rsidR="0058756A" w:rsidRPr="00405CAA">
        <w:t xml:space="preserve"> </w:t>
      </w:r>
      <w:r w:rsidRPr="00405CAA">
        <w:t>then the change is probably not financially</w:t>
      </w:r>
      <w:r w:rsidR="00304F3A" w:rsidRPr="00405CAA">
        <w:t xml:space="preserve"> viable</w:t>
      </w:r>
      <w:r w:rsidRPr="00405CAA">
        <w:t>.</w:t>
      </w:r>
    </w:p>
    <w:p w:rsidR="000E292F" w:rsidRPr="00405CAA" w:rsidRDefault="000E292F" w:rsidP="00B3232F">
      <w:pPr>
        <w:pStyle w:val="ListParagraph"/>
        <w:numPr>
          <w:ilvl w:val="0"/>
          <w:numId w:val="53"/>
        </w:numPr>
      </w:pPr>
      <w:r w:rsidRPr="00405CAA">
        <w:t xml:space="preserve">Reducing the non-productive time to </w:t>
      </w:r>
      <w:r w:rsidR="00323694" w:rsidRPr="00405CAA">
        <w:t>the</w:t>
      </w:r>
      <w:r w:rsidRPr="00405CAA">
        <w:t xml:space="preserve"> level </w:t>
      </w:r>
      <w:r w:rsidR="00323694" w:rsidRPr="00405CAA">
        <w:t xml:space="preserve">necessary </w:t>
      </w:r>
      <w:r w:rsidRPr="00405CAA">
        <w:t xml:space="preserve">to </w:t>
      </w:r>
      <w:r w:rsidR="00323694" w:rsidRPr="00405CAA">
        <w:t xml:space="preserve">accommodate </w:t>
      </w:r>
      <w:r w:rsidRPr="00405CAA">
        <w:t xml:space="preserve">an extra appointment </w:t>
      </w:r>
      <w:r w:rsidR="00323694" w:rsidRPr="00405CAA">
        <w:t>(</w:t>
      </w:r>
      <w:r w:rsidRPr="00405CAA">
        <w:t>including the associated service time</w:t>
      </w:r>
      <w:r w:rsidR="00323694" w:rsidRPr="00405CAA">
        <w:t>)—Option</w:t>
      </w:r>
      <w:r w:rsidR="007D785D" w:rsidRPr="00405CAA">
        <w:t xml:space="preserve"> </w:t>
      </w:r>
      <w:r w:rsidR="009E75C1">
        <w:t>1</w:t>
      </w:r>
      <w:r w:rsidR="00323694" w:rsidRPr="00405CAA">
        <w:t>—</w:t>
      </w:r>
      <w:r w:rsidRPr="00405CAA">
        <w:t xml:space="preserve">leaves less than an hour of non-productive time a day. This is potentially not enough to keep professional </w:t>
      </w:r>
      <w:r w:rsidRPr="00405CAA">
        <w:lastRenderedPageBreak/>
        <w:t>development, supervision, team meetings etc. at a level needed to keep up the quality of service and the wellbeing of staff.</w:t>
      </w:r>
    </w:p>
    <w:p w:rsidR="000E292F" w:rsidRPr="00405CAA" w:rsidRDefault="000E292F" w:rsidP="00E17548">
      <w:pPr>
        <w:pStyle w:val="ListParagraph"/>
        <w:numPr>
          <w:ilvl w:val="0"/>
          <w:numId w:val="53"/>
        </w:numPr>
      </w:pPr>
      <w:r w:rsidRPr="00405CAA">
        <w:t>Reducing associated service time and consequently non-billable time</w:t>
      </w:r>
      <w:r w:rsidR="00A44BE9" w:rsidRPr="00405CAA">
        <w:t>—Option</w:t>
      </w:r>
      <w:r w:rsidR="007D785D" w:rsidRPr="00405CAA">
        <w:t xml:space="preserve"> </w:t>
      </w:r>
      <w:r w:rsidR="009E75C1">
        <w:t>2</w:t>
      </w:r>
      <w:r w:rsidR="00A44BE9" w:rsidRPr="00405CAA">
        <w:t>—</w:t>
      </w:r>
      <w:r w:rsidRPr="00405CAA">
        <w:t xml:space="preserve">could also negatively impact service quality and leave very little time for structural and behavioural utilisation constraints. </w:t>
      </w:r>
    </w:p>
    <w:p w:rsidR="00A44BE9" w:rsidRPr="00405CAA" w:rsidRDefault="00A44BE9" w:rsidP="00A44BE9">
      <w:pPr>
        <w:pStyle w:val="ListParagraph"/>
        <w:numPr>
          <w:ilvl w:val="0"/>
          <w:numId w:val="53"/>
        </w:numPr>
      </w:pPr>
      <w:r w:rsidRPr="00405CAA">
        <w:t>An extra appointment every 2</w:t>
      </w:r>
      <w:r w:rsidRPr="00405CAA">
        <w:rPr>
          <w:vertAlign w:val="superscript"/>
        </w:rPr>
        <w:t>nd</w:t>
      </w:r>
      <w:r w:rsidRPr="00405CAA">
        <w:t xml:space="preserve"> day—Option</w:t>
      </w:r>
      <w:r w:rsidR="007D785D" w:rsidRPr="00405CAA">
        <w:t xml:space="preserve"> </w:t>
      </w:r>
      <w:r w:rsidR="009E75C1">
        <w:t>3</w:t>
      </w:r>
      <w:r w:rsidRPr="00405CAA">
        <w:t>—</w:t>
      </w:r>
      <w:r w:rsidR="007D785D" w:rsidRPr="00405CAA">
        <w:t xml:space="preserve">would deliver slightly better billability than the current service </w:t>
      </w:r>
      <w:r w:rsidR="00565CA9" w:rsidRPr="00405CAA">
        <w:t xml:space="preserve">delivery </w:t>
      </w:r>
      <w:r w:rsidR="007D785D" w:rsidRPr="00405CAA">
        <w:t xml:space="preserve">model via a slight reduction in non-productive time, however this analysis does not consider the costs of transitioning to the </w:t>
      </w:r>
      <w:r w:rsidR="002D600E">
        <w:t>nine-day</w:t>
      </w:r>
      <w:r w:rsidR="007D785D" w:rsidRPr="00405CAA">
        <w:t xml:space="preserve"> fortnight or managing the more complex client scheduling.</w:t>
      </w:r>
    </w:p>
    <w:p w:rsidR="0058756A" w:rsidRPr="00405CAA" w:rsidRDefault="0058756A" w:rsidP="00E17548">
      <w:pPr>
        <w:pStyle w:val="ListParagraph"/>
        <w:numPr>
          <w:ilvl w:val="0"/>
          <w:numId w:val="53"/>
        </w:numPr>
      </w:pPr>
      <w:r w:rsidRPr="00405CAA">
        <w:t xml:space="preserve">It is </w:t>
      </w:r>
      <w:r w:rsidR="009728D7">
        <w:t xml:space="preserve">potentially </w:t>
      </w:r>
      <w:r w:rsidRPr="00405CAA">
        <w:t xml:space="preserve">possible to </w:t>
      </w:r>
      <w:r w:rsidR="000E292F" w:rsidRPr="00405CAA">
        <w:t xml:space="preserve">reduce productive time and associated service time </w:t>
      </w:r>
      <w:r w:rsidR="00981132" w:rsidRPr="00405CAA">
        <w:t xml:space="preserve">in such a mix that </w:t>
      </w:r>
      <w:r w:rsidR="007D785D" w:rsidRPr="00405CAA">
        <w:t>maintains both sufficient non-productive time and service quality</w:t>
      </w:r>
      <w:r w:rsidR="009728D7">
        <w:t>. The proposed changes to the service model in Option 4 should be discussed with staff and tested before introducing th</w:t>
      </w:r>
      <w:r w:rsidR="00A25D68">
        <w:t>ese or any other kind of change</w:t>
      </w:r>
      <w:r w:rsidR="009728D7">
        <w:t xml:space="preserve"> to non-productive and associated service time. If reasonable adjustments can be found </w:t>
      </w:r>
      <w:r w:rsidR="007D785D" w:rsidRPr="00405CAA">
        <w:t xml:space="preserve">then </w:t>
      </w:r>
      <w:r w:rsidR="000E292F" w:rsidRPr="00405CAA">
        <w:t xml:space="preserve">there is a chance to make the change to a </w:t>
      </w:r>
      <w:r w:rsidR="002D600E">
        <w:t>nine-day</w:t>
      </w:r>
      <w:r w:rsidR="000E292F" w:rsidRPr="00405CAA">
        <w:t xml:space="preserve"> fortnight a viable option. </w:t>
      </w:r>
    </w:p>
    <w:p w:rsidR="00E17548" w:rsidRPr="00405CAA" w:rsidRDefault="00E17548" w:rsidP="00E17548">
      <w:pPr>
        <w:pStyle w:val="Strongheadingsmall"/>
        <w:rPr>
          <w:rFonts w:ascii="Arial" w:hAnsi="Arial" w:cs="Arial"/>
        </w:rPr>
      </w:pPr>
      <w:r w:rsidRPr="00405CAA">
        <w:rPr>
          <w:rFonts w:ascii="Arial" w:hAnsi="Arial" w:cs="Arial"/>
        </w:rPr>
        <w:t>How to measure performance</w:t>
      </w:r>
    </w:p>
    <w:p w:rsidR="0058756A" w:rsidRDefault="00E17548" w:rsidP="00376FC7">
      <w:r w:rsidRPr="00405CAA">
        <w:t xml:space="preserve">There will be non-financial and financial benefits of putting flexible working arrangements in place (for instance, higher retention could improve service quality as well as decrease recruitment costs).  </w:t>
      </w:r>
      <w:r w:rsidR="00A25D68">
        <w:t>However,</w:t>
      </w:r>
      <w:r w:rsidR="00A25D68" w:rsidRPr="00405CAA">
        <w:t xml:space="preserve"> </w:t>
      </w:r>
      <w:r w:rsidRPr="00405CAA">
        <w:t xml:space="preserve">these benefits should not be considered </w:t>
      </w:r>
      <w:r w:rsidR="007D785D" w:rsidRPr="00405CAA">
        <w:t xml:space="preserve">without first </w:t>
      </w:r>
      <w:r w:rsidRPr="00405CAA">
        <w:t xml:space="preserve">undertaking a thorough analysis of the productivity and utilisation considerations, in the context of the </w:t>
      </w:r>
      <w:r w:rsidR="007D785D" w:rsidRPr="00405CAA">
        <w:t xml:space="preserve">relevant service </w:t>
      </w:r>
      <w:r w:rsidR="00565CA9" w:rsidRPr="00405CAA">
        <w:t xml:space="preserve">delivery </w:t>
      </w:r>
      <w:r w:rsidR="007D785D" w:rsidRPr="00405CAA">
        <w:t>model</w:t>
      </w:r>
      <w:bookmarkEnd w:id="14"/>
      <w:r w:rsidR="007D785D" w:rsidRPr="00405CAA">
        <w:t>.</w:t>
      </w:r>
    </w:p>
    <w:p w:rsidR="007D785D" w:rsidRPr="00405CAA" w:rsidRDefault="009728D7" w:rsidP="001D2EA0">
      <w:r>
        <w:t xml:space="preserve">Key performance indicators </w:t>
      </w:r>
      <w:r w:rsidR="00A25D68">
        <w:t>for tracking the impact of the shift to a nine-day fortnight could be</w:t>
      </w:r>
      <w:r>
        <w:t xml:space="preserve"> </w:t>
      </w:r>
      <w:r w:rsidR="00CC0813">
        <w:t xml:space="preserve">e.g. </w:t>
      </w:r>
      <w:r w:rsidR="00A25D68">
        <w:t xml:space="preserve">take-up of appointments outside of regular business hours by current and new clients, client satisfaction, take-up of nine-day fortnight by staff, staff satisfaction, retention rates, </w:t>
      </w:r>
      <w:r w:rsidR="00CC0813">
        <w:t>actual non-productive and associated service time, billable time.</w:t>
      </w:r>
      <w:r w:rsidR="007D785D" w:rsidRPr="00405CAA">
        <w:br w:type="page"/>
      </w:r>
    </w:p>
    <w:p w:rsidR="009A4ECA" w:rsidRPr="00F555AE" w:rsidRDefault="004F082F" w:rsidP="007E2744">
      <w:pPr>
        <w:pStyle w:val="Appendixheading"/>
        <w:rPr>
          <w:rFonts w:ascii="Arial" w:hAnsi="Arial" w:cs="Arial"/>
          <w:color w:val="auto"/>
          <w:sz w:val="24"/>
          <w:szCs w:val="24"/>
        </w:rPr>
      </w:pPr>
      <w:bookmarkStart w:id="15" w:name="_Toc488912244"/>
      <w:r w:rsidRPr="00F555AE">
        <w:rPr>
          <w:rFonts w:ascii="Arial" w:hAnsi="Arial" w:cs="Arial"/>
          <w:color w:val="auto"/>
          <w:sz w:val="24"/>
          <w:szCs w:val="24"/>
        </w:rPr>
        <w:lastRenderedPageBreak/>
        <w:t xml:space="preserve">Appendix A: </w:t>
      </w:r>
      <w:r w:rsidR="00C85C0E" w:rsidRPr="00F555AE">
        <w:rPr>
          <w:rFonts w:ascii="Arial" w:hAnsi="Arial" w:cs="Arial"/>
          <w:color w:val="auto"/>
          <w:sz w:val="24"/>
          <w:szCs w:val="24"/>
        </w:rPr>
        <w:t>Tools</w:t>
      </w:r>
      <w:bookmarkEnd w:id="15"/>
    </w:p>
    <w:p w:rsidR="004B5BEC" w:rsidRPr="00405CAA" w:rsidRDefault="00C22A72">
      <w:r w:rsidRPr="00405CAA">
        <w:t xml:space="preserve">New information requirements—in this case, information to support decision-making in relation to the workforce—inevitably </w:t>
      </w:r>
      <w:r w:rsidR="00EA2C5F" w:rsidRPr="00405CAA">
        <w:t>require</w:t>
      </w:r>
      <w:r w:rsidRPr="00405CAA">
        <w:t xml:space="preserve"> new or revised systems and processes</w:t>
      </w:r>
      <w:r w:rsidR="00AB7EFA" w:rsidRPr="00405CAA">
        <w:t xml:space="preserve"> (f</w:t>
      </w:r>
      <w:r w:rsidR="00077A49" w:rsidRPr="00405CAA">
        <w:t>or instance, in earlier sections there has been discussion about timekeeping</w:t>
      </w:r>
      <w:r w:rsidR="00AB7EFA" w:rsidRPr="00405CAA">
        <w:t>)</w:t>
      </w:r>
      <w:r w:rsidR="00077A49" w:rsidRPr="00405CAA">
        <w:t>.</w:t>
      </w:r>
      <w:r w:rsidR="00AB7EFA" w:rsidRPr="00405CAA">
        <w:t xml:space="preserve"> </w:t>
      </w:r>
      <w:r w:rsidR="007F2780" w:rsidRPr="00405CAA">
        <w:t xml:space="preserve">The specific changes that may be required to an </w:t>
      </w:r>
      <w:r w:rsidR="009A4ECA" w:rsidRPr="00405CAA">
        <w:t xml:space="preserve">organisation’s </w:t>
      </w:r>
      <w:r w:rsidR="007F2780" w:rsidRPr="00405CAA">
        <w:t>primary systems</w:t>
      </w:r>
      <w:r w:rsidR="001B1F73" w:rsidRPr="00405CAA">
        <w:rPr>
          <w:rStyle w:val="FootnoteReference"/>
        </w:rPr>
        <w:footnoteReference w:id="11"/>
      </w:r>
      <w:r w:rsidR="007F2780" w:rsidRPr="00405CAA">
        <w:t xml:space="preserve"> and processes are beyond the remit of this </w:t>
      </w:r>
      <w:r w:rsidR="00581A2D" w:rsidRPr="00405CAA">
        <w:t>g</w:t>
      </w:r>
      <w:r w:rsidR="007F2780" w:rsidRPr="00405CAA">
        <w:t xml:space="preserve">uide, but </w:t>
      </w:r>
      <w:r w:rsidR="001B1F73" w:rsidRPr="00405CAA">
        <w:t xml:space="preserve">a valid generalisation for small and medium sized </w:t>
      </w:r>
      <w:r w:rsidR="00BD4EAA" w:rsidRPr="00405CAA">
        <w:t>organisations</w:t>
      </w:r>
      <w:r w:rsidR="009A4ECA" w:rsidRPr="00405CAA">
        <w:t xml:space="preserve"> </w:t>
      </w:r>
      <w:r w:rsidR="001B1F73" w:rsidRPr="00405CAA">
        <w:t xml:space="preserve">might be that </w:t>
      </w:r>
      <w:r w:rsidR="007F2780" w:rsidRPr="00405CAA">
        <w:t>th</w:t>
      </w:r>
      <w:r w:rsidR="001B1F73" w:rsidRPr="00405CAA">
        <w:t>ey will benefit from having some additional tools available outside of the primary systems</w:t>
      </w:r>
      <w:r w:rsidR="00E851BB" w:rsidRPr="00405CAA">
        <w:t xml:space="preserve">, at least until such time as there is investment in those primary systems to </w:t>
      </w:r>
      <w:r w:rsidR="00E530BF" w:rsidRPr="00405CAA">
        <w:t xml:space="preserve">‘mainstream’ the new </w:t>
      </w:r>
      <w:r w:rsidR="00F74E83" w:rsidRPr="00405CAA">
        <w:t>requirements.</w:t>
      </w:r>
    </w:p>
    <w:p w:rsidR="00BD4EAA" w:rsidRPr="00F555AE" w:rsidRDefault="00922F08" w:rsidP="00BD23E0">
      <w:pPr>
        <w:pStyle w:val="AppendixL2"/>
        <w:rPr>
          <w:rFonts w:ascii="Arial" w:hAnsi="Arial" w:cs="Arial"/>
          <w:color w:val="auto"/>
          <w:sz w:val="24"/>
          <w:szCs w:val="24"/>
        </w:rPr>
      </w:pPr>
      <w:r w:rsidRPr="00F555AE">
        <w:rPr>
          <w:rFonts w:ascii="Arial" w:hAnsi="Arial" w:cs="Arial"/>
          <w:color w:val="auto"/>
          <w:sz w:val="24"/>
          <w:szCs w:val="24"/>
        </w:rPr>
        <w:t xml:space="preserve">NDS </w:t>
      </w:r>
      <w:r w:rsidR="00BD4EAA" w:rsidRPr="00F555AE">
        <w:rPr>
          <w:rFonts w:ascii="Arial" w:hAnsi="Arial" w:cs="Arial"/>
          <w:color w:val="auto"/>
          <w:sz w:val="24"/>
          <w:szCs w:val="24"/>
        </w:rPr>
        <w:t>Costing and Pricing Tool</w:t>
      </w:r>
    </w:p>
    <w:p w:rsidR="00BD4EAA" w:rsidRPr="00405CAA" w:rsidRDefault="00BD4EAA" w:rsidP="00BD4EAA">
      <w:r w:rsidRPr="00405CAA">
        <w:t>The Costing &amp; Pricing Learning Program website</w:t>
      </w:r>
      <w:r w:rsidR="00CA197B" w:rsidRPr="00405CAA">
        <w:t xml:space="preserve"> (http://www.cplp.nds.org.au) </w:t>
      </w:r>
      <w:r w:rsidRPr="00405CAA">
        <w:t>contains several tools, guides and resources to assist organisations undertake activity-based costing under the NDIS.</w:t>
      </w:r>
    </w:p>
    <w:p w:rsidR="00BD4EAA" w:rsidRPr="00405CAA" w:rsidRDefault="00BD4EAA" w:rsidP="00BD4EAA">
      <w:r w:rsidRPr="00405CAA">
        <w:t xml:space="preserve">Version 4.0 of the </w:t>
      </w:r>
      <w:r w:rsidR="00922F08" w:rsidRPr="00405CAA">
        <w:t xml:space="preserve">NDS </w:t>
      </w:r>
      <w:r w:rsidRPr="00405CAA">
        <w:t>Costing and Pricing Tool contains additional functionality specifically designed to reflect some of the key concepts discussed here:</w:t>
      </w:r>
    </w:p>
    <w:p w:rsidR="00BD4EAA" w:rsidRPr="00405CAA" w:rsidRDefault="00565CA9" w:rsidP="00BD4EAA">
      <w:pPr>
        <w:pStyle w:val="ListParagraph"/>
        <w:numPr>
          <w:ilvl w:val="0"/>
          <w:numId w:val="25"/>
        </w:numPr>
      </w:pPr>
      <w:r w:rsidRPr="00405CAA">
        <w:t>Service delivery model</w:t>
      </w:r>
      <w:r w:rsidR="00BD4EAA" w:rsidRPr="00405CAA">
        <w:t>—absolute clarity around the Services being offered and their labour requirements</w:t>
      </w:r>
    </w:p>
    <w:p w:rsidR="00BD4EAA" w:rsidRPr="00405CAA" w:rsidRDefault="00BD4EAA" w:rsidP="00BD4EAA">
      <w:pPr>
        <w:pStyle w:val="ListParagraph"/>
        <w:numPr>
          <w:ilvl w:val="0"/>
          <w:numId w:val="25"/>
        </w:numPr>
      </w:pPr>
      <w:r w:rsidRPr="00405CAA">
        <w:t>Productivity—the extent to which Available Time is applied to delivering Services</w:t>
      </w:r>
    </w:p>
    <w:p w:rsidR="00BD4EAA" w:rsidRPr="00405CAA" w:rsidRDefault="00BD4EAA" w:rsidP="00BD4EAA">
      <w:pPr>
        <w:pStyle w:val="ListParagraph"/>
        <w:numPr>
          <w:ilvl w:val="0"/>
          <w:numId w:val="25"/>
        </w:numPr>
      </w:pPr>
      <w:r w:rsidRPr="00405CAA">
        <w:t>Utilisation—the extent to which Productive Time is converted to Billable Time.</w:t>
      </w:r>
    </w:p>
    <w:p w:rsidR="00BD4EAA" w:rsidRPr="00405CAA" w:rsidRDefault="00BD4EAA" w:rsidP="009761B3">
      <w:r w:rsidRPr="00405CAA">
        <w:t xml:space="preserve">This Tool can be used </w:t>
      </w:r>
      <w:r w:rsidR="00642AD9" w:rsidRPr="00405CAA">
        <w:t>by</w:t>
      </w:r>
      <w:r w:rsidR="001411E5" w:rsidRPr="00405CAA">
        <w:t xml:space="preserve"> any human services organisation</w:t>
      </w:r>
      <w:r w:rsidR="00642AD9" w:rsidRPr="00405CAA">
        <w:t xml:space="preserve"> to</w:t>
      </w:r>
      <w:r w:rsidRPr="00405CAA">
        <w:t>:</w:t>
      </w:r>
    </w:p>
    <w:p w:rsidR="00642AD9" w:rsidRPr="00405CAA" w:rsidRDefault="00642AD9" w:rsidP="009761B3">
      <w:pPr>
        <w:pStyle w:val="ListParagraph"/>
        <w:numPr>
          <w:ilvl w:val="0"/>
          <w:numId w:val="50"/>
        </w:numPr>
      </w:pPr>
      <w:r w:rsidRPr="00405CAA">
        <w:t>Calculate unit costs for services;</w:t>
      </w:r>
    </w:p>
    <w:p w:rsidR="00642AD9" w:rsidRPr="00405CAA" w:rsidRDefault="00642AD9" w:rsidP="009761B3">
      <w:pPr>
        <w:pStyle w:val="ListParagraph"/>
        <w:numPr>
          <w:ilvl w:val="0"/>
          <w:numId w:val="50"/>
        </w:numPr>
      </w:pPr>
      <w:r w:rsidRPr="00405CAA">
        <w:t>Calculate target unit prices for services; and</w:t>
      </w:r>
    </w:p>
    <w:p w:rsidR="00642AD9" w:rsidRPr="00405CAA" w:rsidRDefault="00642AD9" w:rsidP="009761B3">
      <w:pPr>
        <w:pStyle w:val="ListParagraph"/>
        <w:numPr>
          <w:ilvl w:val="0"/>
          <w:numId w:val="50"/>
        </w:numPr>
      </w:pPr>
      <w:r w:rsidRPr="00405CAA">
        <w:t>Calculate the gaps between target unit prices and achievable unit prices, and the impact on the organisation’s overall financial performance.</w:t>
      </w:r>
    </w:p>
    <w:p w:rsidR="00BD4EAA" w:rsidRPr="00F555AE" w:rsidRDefault="00C85C0E" w:rsidP="00BD23E0">
      <w:pPr>
        <w:pStyle w:val="AppendixL2"/>
        <w:rPr>
          <w:rFonts w:ascii="Arial" w:hAnsi="Arial" w:cs="Arial"/>
          <w:color w:val="auto"/>
          <w:sz w:val="24"/>
          <w:szCs w:val="24"/>
        </w:rPr>
      </w:pPr>
      <w:r w:rsidRPr="00F555AE">
        <w:rPr>
          <w:rFonts w:ascii="Arial" w:hAnsi="Arial" w:cs="Arial"/>
          <w:color w:val="auto"/>
          <w:sz w:val="24"/>
          <w:szCs w:val="24"/>
        </w:rPr>
        <w:t>Dashboard</w:t>
      </w:r>
      <w:r w:rsidR="00893FBF" w:rsidRPr="00F555AE">
        <w:rPr>
          <w:rFonts w:ascii="Arial" w:hAnsi="Arial" w:cs="Arial"/>
          <w:color w:val="auto"/>
          <w:sz w:val="24"/>
          <w:szCs w:val="24"/>
        </w:rPr>
        <w:t xml:space="preserve"> </w:t>
      </w:r>
      <w:r w:rsidR="008462E8" w:rsidRPr="00F555AE">
        <w:rPr>
          <w:rFonts w:ascii="Arial" w:hAnsi="Arial" w:cs="Arial"/>
          <w:color w:val="auto"/>
          <w:sz w:val="24"/>
          <w:szCs w:val="24"/>
        </w:rPr>
        <w:t>Report</w:t>
      </w:r>
    </w:p>
    <w:p w:rsidR="008462E8" w:rsidRPr="00405CAA" w:rsidRDefault="008462E8">
      <w:r w:rsidRPr="00405CAA">
        <w:t xml:space="preserve">In environments where customer responsiveness is crucial, the performance of frontline teams is instrumental to the competitive advantage of the organisation. Tracking this performance and reporting it back to these teams in such a way that the team’s performance can be discussed in quite explicit terms (that is, recognising the unique individuals in the team) in team meetings enables teams to reflect on their practice and consider improvements.  An aid to such discussions is the dashboard report—a highly </w:t>
      </w:r>
      <w:r w:rsidRPr="00405CAA">
        <w:lastRenderedPageBreak/>
        <w:t>visual single-page report illustrating the performance of team on a small number of key metrics.</w:t>
      </w:r>
    </w:p>
    <w:p w:rsidR="008462E8" w:rsidRPr="00405CAA" w:rsidRDefault="00FF6A8D" w:rsidP="008462E8">
      <w:r w:rsidRPr="00405CAA">
        <w:t xml:space="preserve">This </w:t>
      </w:r>
      <w:r w:rsidR="008462E8" w:rsidRPr="00405CAA">
        <w:t>G</w:t>
      </w:r>
      <w:r w:rsidRPr="00405CAA">
        <w:t xml:space="preserve">uide is accompanied online by an Excel Template that produces </w:t>
      </w:r>
      <w:r w:rsidR="008462E8" w:rsidRPr="00405CAA">
        <w:t xml:space="preserve">a </w:t>
      </w:r>
      <w:r w:rsidRPr="00405CAA">
        <w:t>dashboard report</w:t>
      </w:r>
      <w:r w:rsidR="008462E8" w:rsidRPr="00405CAA">
        <w:t>, an example of which is</w:t>
      </w:r>
      <w:r w:rsidRPr="00405CAA">
        <w:t xml:space="preserve"> </w:t>
      </w:r>
      <w:r w:rsidR="005B0EBC" w:rsidRPr="00405CAA">
        <w:t xml:space="preserve">shown </w:t>
      </w:r>
      <w:r w:rsidRPr="00405CAA">
        <w:t>in</w:t>
      </w:r>
      <w:r w:rsidR="005B0EBC" w:rsidRPr="00405CAA">
        <w:t xml:space="preserve"> Figure 5</w:t>
      </w:r>
      <w:r w:rsidR="008462E8" w:rsidRPr="00405CAA">
        <w:t>: a weekly style report designed to focus on just three performance areas considered key for the team.</w:t>
      </w:r>
    </w:p>
    <w:p w:rsidR="00FF6A8D" w:rsidRPr="00405CAA" w:rsidRDefault="00FF6A8D">
      <w:r w:rsidRPr="00405CAA">
        <w:t>While the style of the charts is fixed, the data being represented can be customised. If not fit for purpose as is, the Template at least provides a structure and some chart styles that can be emulated by an organisation keen to build its own templates.</w:t>
      </w:r>
    </w:p>
    <w:p w:rsidR="001B1F73" w:rsidRPr="00405CAA" w:rsidRDefault="001B1F73" w:rsidP="00FD5B49">
      <w:pPr>
        <w:spacing w:after="0" w:line="240" w:lineRule="auto"/>
        <w:rPr>
          <w:b/>
        </w:rPr>
      </w:pPr>
      <w:bookmarkStart w:id="16" w:name="_Ref477528659"/>
      <w:bookmarkStart w:id="17" w:name="_Ref482867865"/>
      <w:r w:rsidRPr="00405CAA">
        <w:rPr>
          <w:b/>
        </w:rPr>
        <w:t>Figure</w:t>
      </w:r>
      <w:bookmarkEnd w:id="16"/>
      <w:bookmarkEnd w:id="17"/>
      <w:r w:rsidR="005B0EBC" w:rsidRPr="00405CAA">
        <w:rPr>
          <w:b/>
        </w:rPr>
        <w:t xml:space="preserve"> 5</w:t>
      </w:r>
      <w:r w:rsidRPr="00405CAA">
        <w:rPr>
          <w:b/>
        </w:rPr>
        <w:t>: Example dashboard report</w:t>
      </w:r>
    </w:p>
    <w:p w:rsidR="001B1F73" w:rsidRPr="00405CAA" w:rsidRDefault="00734BEA">
      <w:r w:rsidRPr="00405CAA">
        <w:rPr>
          <w:noProof/>
          <w:lang w:val="en-US" w:eastAsia="en-US"/>
        </w:rPr>
        <w:drawing>
          <wp:inline distT="0" distB="0" distL="0" distR="0" wp14:anchorId="5E50AA05" wp14:editId="57976A57">
            <wp:extent cx="6068982" cy="4291511"/>
            <wp:effectExtent l="133350" t="114300" r="122555" b="166370"/>
            <wp:docPr id="7" name="Picture 7" descr="ACME DSO A TEAM: Dashboard report for week 3 of 2018: &#10;&#10;A weekly style report designed to focus on just three performance areas considered key for the team. These are Team hours per week. Support worker Capacity and Service Quality." title="Figure 5: Example of dashboard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17-07-15 17.49.47.png"/>
                    <pic:cNvPicPr/>
                  </pic:nvPicPr>
                  <pic:blipFill>
                    <a:blip r:embed="rId15">
                      <a:extLst>
                        <a:ext uri="{28A0092B-C50C-407E-A947-70E740481C1C}">
                          <a14:useLocalDpi xmlns:a14="http://schemas.microsoft.com/office/drawing/2010/main" val="0"/>
                        </a:ext>
                      </a:extLst>
                    </a:blip>
                    <a:stretch>
                      <a:fillRect/>
                    </a:stretch>
                  </pic:blipFill>
                  <pic:spPr>
                    <a:xfrm>
                      <a:off x="0" y="0"/>
                      <a:ext cx="6087137" cy="430434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462E8" w:rsidRPr="00405CAA" w:rsidRDefault="008462E8">
      <w:pPr>
        <w:spacing w:after="0" w:line="240" w:lineRule="auto"/>
      </w:pPr>
      <w:r w:rsidRPr="00405CAA">
        <w:br w:type="page"/>
      </w:r>
    </w:p>
    <w:p w:rsidR="001B1F73" w:rsidRPr="00405CAA" w:rsidRDefault="00F3692F">
      <w:pPr>
        <w:pStyle w:val="Normalprelist"/>
      </w:pPr>
      <w:r w:rsidRPr="00405CAA">
        <w:lastRenderedPageBreak/>
        <w:t>In this example, the performance areas are:</w:t>
      </w:r>
    </w:p>
    <w:p w:rsidR="008462E8" w:rsidRPr="00405CAA" w:rsidRDefault="008462E8" w:rsidP="008462E8">
      <w:pPr>
        <w:pStyle w:val="ListParagraph"/>
        <w:numPr>
          <w:ilvl w:val="0"/>
          <w:numId w:val="19"/>
        </w:numPr>
      </w:pPr>
      <w:r w:rsidRPr="00405CAA">
        <w:t xml:space="preserve">Team hours per week—actual service hours delivered by all support workers in the team compared to target service hours. This is a key indicator for the financial viability of the team. </w:t>
      </w:r>
    </w:p>
    <w:p w:rsidR="008462E8" w:rsidRPr="00405CAA" w:rsidRDefault="008462E8" w:rsidP="008462E8">
      <w:pPr>
        <w:pStyle w:val="ListParagraph"/>
        <w:numPr>
          <w:ilvl w:val="0"/>
          <w:numId w:val="19"/>
        </w:numPr>
      </w:pPr>
      <w:r w:rsidRPr="00405CAA">
        <w:t xml:space="preserve">Support worker capacity—the average hours worked per support worker (indicated by the needle) against the average preferred number of working hours (indicated by the coloured bars).  The preferred number of working hours is information that would be obtained from a periodic survey of the team members. This is an important indicator for tracking team well-being and utilisation. </w:t>
      </w:r>
    </w:p>
    <w:p w:rsidR="008462E8" w:rsidRPr="00405CAA" w:rsidRDefault="008462E8" w:rsidP="008462E8">
      <w:pPr>
        <w:pStyle w:val="ListParagraph"/>
        <w:numPr>
          <w:ilvl w:val="0"/>
          <w:numId w:val="19"/>
        </w:numPr>
      </w:pPr>
      <w:r w:rsidRPr="00405CAA">
        <w:t xml:space="preserve">Service quality—actual service quality achieved, where the metrics of ‘quality’ and the definitions of green (high), amber (moderate) and red (low) performance will be those used across the whole organisation. This key indicator should capture the client perspective of the team’s performance. </w:t>
      </w:r>
    </w:p>
    <w:p w:rsidR="002B4A75" w:rsidRPr="00405CAA" w:rsidRDefault="0034256A" w:rsidP="00FD5B49">
      <w:r w:rsidRPr="00405CAA">
        <w:t>This dashboard has been reconstructed, with permission, following tools used by Care and Share Associates (CASA) in the UK. CASA does not work on the basis of self-directed teams, but is a worker cooperative where the staff make a range of financial and operational decisions about the organisation. For this reason it was felt that transparent, simple communication about key operational indicators was critical to staff participation and sound decision-making.</w:t>
      </w:r>
      <w:bookmarkStart w:id="18" w:name="_GoBack"/>
      <w:bookmarkEnd w:id="18"/>
    </w:p>
    <w:sectPr w:rsidR="002B4A75" w:rsidRPr="00405CAA" w:rsidSect="00D97DAE">
      <w:headerReference w:type="even" r:id="rId16"/>
      <w:footerReference w:type="default" r:id="rId17"/>
      <w:headerReference w:type="first" r:id="rId18"/>
      <w:pgSz w:w="11900" w:h="16840"/>
      <w:pgMar w:top="1890"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F11" w:rsidRDefault="001A2F11" w:rsidP="002323CB">
      <w:r>
        <w:separator/>
      </w:r>
    </w:p>
  </w:endnote>
  <w:endnote w:type="continuationSeparator" w:id="0">
    <w:p w:rsidR="001A2F11" w:rsidRDefault="001A2F11" w:rsidP="0023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583" w:rsidRDefault="00476583" w:rsidP="002323C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76583" w:rsidRDefault="00476583" w:rsidP="002323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583" w:rsidRDefault="00476583" w:rsidP="002323CB">
    <w:pPr>
      <w:pStyle w:val="Footer"/>
      <w:tabs>
        <w:tab w:val="clear" w:pos="9026"/>
        <w:tab w:val="right" w:pos="9632"/>
      </w:tabs>
    </w:pPr>
  </w:p>
  <w:p w:rsidR="00476583" w:rsidRDefault="00476583" w:rsidP="002323CB">
    <w:pPr>
      <w:pStyle w:val="Footer"/>
      <w:tabs>
        <w:tab w:val="clear" w:pos="9026"/>
        <w:tab w:val="right" w:pos="9632"/>
      </w:tabs>
    </w:pPr>
    <w:r>
      <w:tab/>
    </w:r>
    <w:r>
      <w:rPr>
        <w:rStyle w:val="PageNumber"/>
      </w:rPr>
      <w:fldChar w:fldCharType="begin"/>
    </w:r>
    <w:r>
      <w:rPr>
        <w:rStyle w:val="PageNumber"/>
      </w:rPr>
      <w:instrText xml:space="preserve">PAGE  </w:instrText>
    </w:r>
    <w:r>
      <w:rPr>
        <w:rStyle w:val="PageNumber"/>
      </w:rPr>
      <w:fldChar w:fldCharType="separate"/>
    </w:r>
    <w:r w:rsidR="00DA465E">
      <w:rPr>
        <w:rStyle w:val="PageNumber"/>
        <w:noProof/>
      </w:rPr>
      <w:t>ii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583" w:rsidRDefault="00476583">
    <w:pPr>
      <w:pStyle w:val="Footer"/>
    </w:pPr>
  </w:p>
  <w:p w:rsidR="00476583" w:rsidRDefault="00476583" w:rsidP="007E3CBC">
    <w:pPr>
      <w:pStyle w:val="Footer"/>
      <w:tabs>
        <w:tab w:val="clear" w:pos="9026"/>
        <w:tab w:val="right" w:pos="9632"/>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583" w:rsidRDefault="00476583" w:rsidP="007E3CBC">
    <w:pPr>
      <w:pStyle w:val="Footer"/>
      <w:tabs>
        <w:tab w:val="clear" w:pos="9026"/>
        <w:tab w:val="right" w:pos="9632"/>
      </w:tabs>
    </w:pPr>
  </w:p>
  <w:p w:rsidR="00476583" w:rsidRDefault="00476583" w:rsidP="00490863">
    <w:pPr>
      <w:pStyle w:val="Footer"/>
      <w:tabs>
        <w:tab w:val="right" w:pos="9632"/>
      </w:tabs>
    </w:pPr>
    <w:r>
      <w:t>National Disability Services</w:t>
    </w:r>
    <w:r>
      <w:br/>
    </w:r>
    <w:r w:rsidRPr="004B7785">
      <w:t>A guide to understanding key elements of workforce costs under the NDIS</w:t>
    </w:r>
    <w:r>
      <w:tab/>
    </w: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583" w:rsidRDefault="00476583" w:rsidP="002323CB">
    <w:pPr>
      <w:pStyle w:val="Footer"/>
      <w:tabs>
        <w:tab w:val="clear" w:pos="9026"/>
        <w:tab w:val="right" w:pos="9632"/>
      </w:tabs>
    </w:pPr>
    <w:r>
      <w:tab/>
    </w:r>
    <w:r>
      <w:rPr>
        <w:rStyle w:val="PageNumber"/>
      </w:rPr>
      <w:fldChar w:fldCharType="begin"/>
    </w:r>
    <w:r>
      <w:rPr>
        <w:rStyle w:val="PageNumber"/>
      </w:rPr>
      <w:instrText xml:space="preserve">PAGE  </w:instrText>
    </w:r>
    <w:r>
      <w:rPr>
        <w:rStyle w:val="PageNumber"/>
      </w:rPr>
      <w:fldChar w:fldCharType="separate"/>
    </w:r>
    <w:r w:rsidR="00DA465E">
      <w:rPr>
        <w:rStyle w:val="PageNumber"/>
        <w:noProof/>
      </w:rPr>
      <w:t>25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F11" w:rsidRDefault="001A2F11" w:rsidP="002323CB">
      <w:r>
        <w:separator/>
      </w:r>
    </w:p>
  </w:footnote>
  <w:footnote w:type="continuationSeparator" w:id="0">
    <w:p w:rsidR="001A2F11" w:rsidRDefault="001A2F11" w:rsidP="002323CB">
      <w:r>
        <w:continuationSeparator/>
      </w:r>
    </w:p>
  </w:footnote>
  <w:footnote w:id="1">
    <w:p w:rsidR="00476583" w:rsidRDefault="00476583">
      <w:pPr>
        <w:pStyle w:val="FootnoteText"/>
      </w:pPr>
      <w:r>
        <w:rPr>
          <w:rStyle w:val="FootnoteReference"/>
        </w:rPr>
        <w:footnoteRef/>
      </w:r>
    </w:p>
    <w:p w:rsidR="00476583" w:rsidRDefault="00476583">
      <w:pPr>
        <w:pStyle w:val="FootnoteText"/>
      </w:pPr>
      <w:r>
        <w:t xml:space="preserve"> </w:t>
      </w:r>
    </w:p>
    <w:p w:rsidR="00476583" w:rsidRDefault="00476583">
      <w:pPr>
        <w:pStyle w:val="FootnoteText"/>
      </w:pPr>
      <w:r w:rsidRPr="00C66D7A">
        <w:t>http://www.baxterlawley.com.au/</w:t>
      </w:r>
    </w:p>
  </w:footnote>
  <w:footnote w:id="2">
    <w:p w:rsidR="00476583" w:rsidRPr="00C156EB" w:rsidRDefault="00476583" w:rsidP="0099634A">
      <w:pPr>
        <w:pStyle w:val="FootnoteText"/>
        <w:rPr>
          <w:rFonts w:ascii="Arial" w:hAnsi="Arial" w:cs="Arial"/>
        </w:rPr>
      </w:pPr>
      <w:r w:rsidRPr="00C156EB">
        <w:rPr>
          <w:rStyle w:val="FootnoteReference"/>
          <w:rFonts w:ascii="Arial" w:hAnsi="Arial" w:cs="Arial"/>
        </w:rPr>
        <w:footnoteRef/>
      </w:r>
      <w:r w:rsidRPr="00C156EB">
        <w:rPr>
          <w:rFonts w:ascii="Arial" w:hAnsi="Arial" w:cs="Arial"/>
        </w:rPr>
        <w:t xml:space="preserve"> ‘Final Report of Pricing Joint Working Group’, NDIA and NDS joint publication, undated but circa 2014, and ‘NDIA report on the methodology of the efficient price’, NDIA, 18 July 2014.</w:t>
      </w:r>
    </w:p>
  </w:footnote>
  <w:footnote w:id="3">
    <w:p w:rsidR="00476583" w:rsidRPr="00C156EB" w:rsidRDefault="00476583">
      <w:pPr>
        <w:pStyle w:val="FootnoteText"/>
        <w:rPr>
          <w:rFonts w:ascii="Arial" w:hAnsi="Arial" w:cs="Arial"/>
        </w:rPr>
      </w:pPr>
      <w:r w:rsidRPr="00C156EB">
        <w:rPr>
          <w:rStyle w:val="FootnoteReference"/>
          <w:rFonts w:ascii="Arial" w:hAnsi="Arial" w:cs="Arial"/>
        </w:rPr>
        <w:footnoteRef/>
      </w:r>
      <w:r w:rsidRPr="00C156EB">
        <w:rPr>
          <w:rFonts w:ascii="Arial" w:hAnsi="Arial" w:cs="Arial"/>
        </w:rPr>
        <w:t xml:space="preserve"> </w:t>
      </w:r>
      <w:r w:rsidRPr="00C156EB">
        <w:rPr>
          <w:rFonts w:ascii="Arial" w:hAnsi="Arial" w:cs="Arial"/>
          <w:i/>
        </w:rPr>
        <w:t>NDIA report on the methodology of the efficient price</w:t>
      </w:r>
      <w:r w:rsidRPr="00C156EB">
        <w:rPr>
          <w:rFonts w:ascii="Arial" w:hAnsi="Arial" w:cs="Arial"/>
        </w:rPr>
        <w:t xml:space="preserve">, 18 July 2014, p. 3.  The report describes this formula as a “direct staff utilisation rate” rather than client-facing time ratio, however the results quoted tie with those so reported in </w:t>
      </w:r>
      <w:r w:rsidRPr="00C156EB">
        <w:rPr>
          <w:rFonts w:ascii="Arial" w:hAnsi="Arial" w:cs="Arial"/>
          <w:i/>
        </w:rPr>
        <w:t>NDIA/NDS Final Report of Pricing Joint Working Group</w:t>
      </w:r>
      <w:r w:rsidRPr="00C156EB">
        <w:rPr>
          <w:rFonts w:ascii="Arial" w:hAnsi="Arial" w:cs="Arial"/>
        </w:rPr>
        <w:t>.</w:t>
      </w:r>
    </w:p>
  </w:footnote>
  <w:footnote w:id="4">
    <w:p w:rsidR="00476583" w:rsidRPr="00C156EB" w:rsidRDefault="00476583" w:rsidP="00925A54">
      <w:pPr>
        <w:pStyle w:val="FootnoteText"/>
        <w:rPr>
          <w:rFonts w:ascii="Arial" w:hAnsi="Arial" w:cs="Arial"/>
        </w:rPr>
      </w:pPr>
      <w:r w:rsidRPr="00C156EB">
        <w:rPr>
          <w:rStyle w:val="FootnoteReference"/>
          <w:rFonts w:ascii="Arial" w:hAnsi="Arial" w:cs="Arial"/>
        </w:rPr>
        <w:footnoteRef/>
      </w:r>
      <w:r w:rsidRPr="00C156EB">
        <w:rPr>
          <w:rFonts w:ascii="Arial" w:hAnsi="Arial" w:cs="Arial"/>
        </w:rPr>
        <w:t xml:space="preserve"> </w:t>
      </w:r>
      <w:r w:rsidRPr="00C156EB">
        <w:rPr>
          <w:rFonts w:ascii="Arial" w:hAnsi="Arial" w:cs="Arial"/>
          <w:i/>
        </w:rPr>
        <w:t>NDIA/NDS Final Report of Pricing Joint Working G</w:t>
      </w:r>
      <w:r w:rsidRPr="00C156EB">
        <w:rPr>
          <w:rFonts w:ascii="Arial" w:hAnsi="Arial" w:cs="Arial"/>
        </w:rPr>
        <w:t>roup, pp. 12-15.</w:t>
      </w:r>
    </w:p>
  </w:footnote>
  <w:footnote w:id="5">
    <w:p w:rsidR="00476583" w:rsidRPr="00C156EB" w:rsidRDefault="00476583">
      <w:pPr>
        <w:pStyle w:val="FootnoteText"/>
        <w:rPr>
          <w:rFonts w:ascii="Arial" w:hAnsi="Arial" w:cs="Arial"/>
        </w:rPr>
      </w:pPr>
      <w:r w:rsidRPr="00C156EB">
        <w:rPr>
          <w:rStyle w:val="FootnoteReference"/>
          <w:rFonts w:ascii="Arial" w:hAnsi="Arial" w:cs="Arial"/>
        </w:rPr>
        <w:footnoteRef/>
      </w:r>
      <w:r w:rsidRPr="00C156EB">
        <w:rPr>
          <w:rFonts w:ascii="Arial" w:hAnsi="Arial" w:cs="Arial"/>
        </w:rPr>
        <w:t xml:space="preserve"> Only the data for ‘Assistance self-care – individual’ is presented.</w:t>
      </w:r>
    </w:p>
  </w:footnote>
  <w:footnote w:id="6">
    <w:p w:rsidR="00476583" w:rsidRDefault="00476583">
      <w:pPr>
        <w:pStyle w:val="FootnoteText"/>
      </w:pPr>
      <w:r w:rsidRPr="00C156EB">
        <w:rPr>
          <w:rStyle w:val="FootnoteReference"/>
          <w:rFonts w:ascii="Arial" w:hAnsi="Arial" w:cs="Arial"/>
        </w:rPr>
        <w:footnoteRef/>
      </w:r>
      <w:r w:rsidRPr="00C156EB">
        <w:rPr>
          <w:rFonts w:ascii="Arial" w:hAnsi="Arial" w:cs="Arial"/>
        </w:rPr>
        <w:t xml:space="preserve"> This presentation corrects for an error in the original report. </w:t>
      </w:r>
    </w:p>
  </w:footnote>
  <w:footnote w:id="7">
    <w:p w:rsidR="00476583" w:rsidRPr="00C156EB" w:rsidRDefault="00476583">
      <w:pPr>
        <w:pStyle w:val="FootnoteText"/>
        <w:rPr>
          <w:rFonts w:ascii="Arial" w:hAnsi="Arial" w:cs="Arial"/>
        </w:rPr>
      </w:pPr>
      <w:r w:rsidRPr="00C156EB">
        <w:rPr>
          <w:rStyle w:val="FootnoteReference"/>
          <w:rFonts w:ascii="Arial" w:hAnsi="Arial" w:cs="Arial"/>
        </w:rPr>
        <w:footnoteRef/>
      </w:r>
      <w:r w:rsidRPr="00C156EB">
        <w:rPr>
          <w:rFonts w:ascii="Arial" w:hAnsi="Arial" w:cs="Arial"/>
        </w:rPr>
        <w:t xml:space="preserve"> </w:t>
      </w:r>
      <w:r w:rsidRPr="00C156EB">
        <w:rPr>
          <w:rFonts w:ascii="Arial" w:hAnsi="Arial" w:cs="Arial"/>
          <w:i/>
        </w:rPr>
        <w:t>NDIA report on the methodology of the efficient price</w:t>
      </w:r>
      <w:r w:rsidRPr="00C156EB">
        <w:rPr>
          <w:rFonts w:ascii="Arial" w:hAnsi="Arial" w:cs="Arial"/>
        </w:rPr>
        <w:t>, 18 July 2014, p. 4.  Supervisor span of control, when referred to by a single number, typically represents the number of FTE the supervisor supervises so will generally be a number greater than 1.  When NDIA report the result as a ratio (e.g., “1:15”) this is to be read as “1:[result]” and not as a fractional result produced by the formula.</w:t>
      </w:r>
    </w:p>
  </w:footnote>
  <w:footnote w:id="8">
    <w:p w:rsidR="00476583" w:rsidRDefault="00476583" w:rsidP="00C653AC">
      <w:pPr>
        <w:pStyle w:val="FootnoteText"/>
      </w:pPr>
      <w:r w:rsidRPr="00C156EB">
        <w:rPr>
          <w:rStyle w:val="FootnoteReference"/>
          <w:rFonts w:ascii="Arial" w:hAnsi="Arial" w:cs="Arial"/>
        </w:rPr>
        <w:footnoteRef/>
      </w:r>
      <w:r w:rsidRPr="00C156EB">
        <w:rPr>
          <w:rFonts w:ascii="Arial" w:hAnsi="Arial" w:cs="Arial"/>
        </w:rPr>
        <w:t xml:space="preserve"> NDIA/NDS Final Report of Pricing Joint Working Group, pp. 14-15.</w:t>
      </w:r>
    </w:p>
  </w:footnote>
  <w:footnote w:id="9">
    <w:p w:rsidR="00476583" w:rsidRPr="00C156EB" w:rsidRDefault="00476583" w:rsidP="00166D80">
      <w:pPr>
        <w:pStyle w:val="FootnoteText"/>
        <w:rPr>
          <w:rFonts w:ascii="Arial" w:hAnsi="Arial" w:cs="Arial"/>
        </w:rPr>
      </w:pPr>
      <w:r w:rsidRPr="00C156EB">
        <w:rPr>
          <w:rStyle w:val="FootnoteReference"/>
          <w:rFonts w:ascii="Arial" w:hAnsi="Arial" w:cs="Arial"/>
        </w:rPr>
        <w:footnoteRef/>
      </w:r>
      <w:r w:rsidRPr="00C156EB">
        <w:rPr>
          <w:rFonts w:ascii="Arial" w:hAnsi="Arial" w:cs="Arial"/>
        </w:rPr>
        <w:t xml:space="preserve"> O'Gorman, Robert, "Upheavals in the Ministry of U.S. Catholic Education and the Effect on Catholic Identity: Models from the 19</w:t>
      </w:r>
      <w:r w:rsidRPr="00C156EB">
        <w:rPr>
          <w:rFonts w:ascii="Arial" w:hAnsi="Arial" w:cs="Arial"/>
          <w:vertAlign w:val="superscript"/>
        </w:rPr>
        <w:t>th</w:t>
      </w:r>
      <w:r w:rsidRPr="00C156EB">
        <w:rPr>
          <w:rFonts w:ascii="Arial" w:hAnsi="Arial" w:cs="Arial"/>
        </w:rPr>
        <w:t xml:space="preserve"> Century Catholic Schools and 21st Century Catholic Hospitals" (2013). Garaventa Conferences. Paper 2.</w:t>
      </w:r>
    </w:p>
  </w:footnote>
  <w:footnote w:id="10">
    <w:p w:rsidR="00476583" w:rsidRDefault="00476583">
      <w:pPr>
        <w:pStyle w:val="FootnoteText"/>
      </w:pPr>
      <w:r>
        <w:rPr>
          <w:rStyle w:val="FootnoteReference"/>
        </w:rPr>
        <w:footnoteRef/>
      </w:r>
      <w:r>
        <w:t xml:space="preserve"> </w:t>
      </w:r>
    </w:p>
  </w:footnote>
  <w:footnote w:id="11">
    <w:p w:rsidR="00476583" w:rsidRPr="00C156EB" w:rsidRDefault="00476583" w:rsidP="00C653AC">
      <w:pPr>
        <w:pStyle w:val="FootnoteText"/>
        <w:rPr>
          <w:rFonts w:ascii="Arial" w:hAnsi="Arial" w:cs="Arial"/>
        </w:rPr>
      </w:pPr>
      <w:r w:rsidRPr="00C156EB">
        <w:rPr>
          <w:rStyle w:val="FootnoteReference"/>
          <w:rFonts w:ascii="Arial" w:hAnsi="Arial" w:cs="Arial"/>
        </w:rPr>
        <w:footnoteRef/>
      </w:r>
      <w:r w:rsidRPr="00C156EB">
        <w:rPr>
          <w:rFonts w:ascii="Arial" w:hAnsi="Arial" w:cs="Arial"/>
        </w:rPr>
        <w:t xml:space="preserve"> Systems used to capture, manage and report the primary data types used in a service provider – financial data, payroll data, client schedules, staff rosters and the like.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583" w:rsidRDefault="00476583">
    <w:pPr>
      <w:pStyle w:val="Header"/>
    </w:pPr>
    <w:r>
      <w:rPr>
        <w:noProof/>
        <w:lang w:val="en-US" w:eastAsia="en-US"/>
      </w:rPr>
      <mc:AlternateContent>
        <mc:Choice Requires="wps">
          <w:drawing>
            <wp:anchor distT="0" distB="0" distL="114300" distR="114300" simplePos="0" relativeHeight="251671552" behindDoc="1" locked="0" layoutInCell="0" allowOverlap="1" wp14:anchorId="3CA6AA19" wp14:editId="60D85D51">
              <wp:simplePos x="0" y="0"/>
              <wp:positionH relativeFrom="margin">
                <wp:align>center</wp:align>
              </wp:positionH>
              <wp:positionV relativeFrom="margin">
                <wp:align>center</wp:align>
              </wp:positionV>
              <wp:extent cx="6467475" cy="106045"/>
              <wp:effectExtent l="0" t="1838325" r="0" b="1549400"/>
              <wp:wrapNone/>
              <wp:docPr id="5"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747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76583" w:rsidRDefault="00476583" w:rsidP="00627DA5">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A6AA19" id="_x0000_t202" coordsize="21600,21600" o:spt="202" path="m,l,21600r21600,l21600,xe">
              <v:stroke joinstyle="miter"/>
              <v:path gradientshapeok="t" o:connecttype="rect"/>
            </v:shapetype>
            <v:shape id="WordArt 9" o:spid="_x0000_s1026" type="#_x0000_t202" style="position:absolute;margin-left:0;margin-top:0;width:509.25pt;height:8.3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" o:allowincell="f" filled="f" stroked="f">
              <v:stroke joinstyle="round"/>
              <o:lock v:ext="edit" shapetype="t"/>
              <v:textbox style="mso-fit-shape-to-text:t">
                <w:txbxContent>
                  <w:p w:rsidR="00476583" w:rsidRDefault="00476583" w:rsidP="00627DA5">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67456" behindDoc="1" locked="0" layoutInCell="0" allowOverlap="1" wp14:anchorId="6780DD44" wp14:editId="55B568AC">
              <wp:simplePos x="0" y="0"/>
              <wp:positionH relativeFrom="margin">
                <wp:align>center</wp:align>
              </wp:positionH>
              <wp:positionV relativeFrom="margin">
                <wp:align>center</wp:align>
              </wp:positionV>
              <wp:extent cx="6467475" cy="106680"/>
              <wp:effectExtent l="0" t="1981200" r="0" b="19716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747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76583" w:rsidRDefault="00476583" w:rsidP="000F43DA">
                          <w:pPr>
                            <w:pStyle w:val="NormalWeb"/>
                            <w:spacing w:before="0" w:beforeAutospacing="0" w:after="0" w:afterAutospacing="0"/>
                            <w:jc w:val="center"/>
                          </w:pPr>
                          <w:r>
                            <w:rPr>
                              <w:rFonts w:ascii="Calibri" w:eastAsia="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80DD44" id="Text Box 19" o:spid="_x0000_s1027" type="#_x0000_t202" style="position:absolute;margin-left:0;margin-top:0;width:509.25pt;height:8.4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" o:allowincell="f" filled="f" stroked="f">
              <v:stroke joinstyle="round"/>
              <o:lock v:ext="edit" shapetype="t"/>
              <v:textbox style="mso-fit-shape-to-text:t">
                <w:txbxContent>
                  <w:p w:rsidR="00476583" w:rsidRDefault="00476583" w:rsidP="000F43DA">
                    <w:pPr>
                      <w:pStyle w:val="NormalWeb"/>
                      <w:spacing w:before="0" w:beforeAutospacing="0" w:after="0" w:afterAutospacing="0"/>
                      <w:jc w:val="center"/>
                    </w:pPr>
                    <w:r>
                      <w:rPr>
                        <w:rFonts w:ascii="Calibri" w:eastAsia="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583" w:rsidRDefault="00476583">
    <w:pPr>
      <w:pStyle w:val="Header"/>
    </w:pPr>
    <w:r>
      <w:rPr>
        <w:noProof/>
        <w:lang w:val="en-US" w:eastAsia="en-US"/>
      </w:rPr>
      <w:drawing>
        <wp:inline distT="0" distB="0" distL="0" distR="0" wp14:anchorId="2B7D68B3" wp14:editId="0526692E">
          <wp:extent cx="2089785" cy="547370"/>
          <wp:effectExtent l="0" t="0" r="0" b="11430"/>
          <wp:docPr id="3" name="Picture 3" descr="NDS_Ne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S_New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785" cy="54737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583" w:rsidRDefault="004765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583" w:rsidRDefault="00476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8F872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F4EE8"/>
    <w:multiLevelType w:val="hybridMultilevel"/>
    <w:tmpl w:val="CB18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62BAB"/>
    <w:multiLevelType w:val="hybridMultilevel"/>
    <w:tmpl w:val="40B4A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8F0125"/>
    <w:multiLevelType w:val="hybridMultilevel"/>
    <w:tmpl w:val="4BDEF2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59E22FA"/>
    <w:multiLevelType w:val="multilevel"/>
    <w:tmpl w:val="7230300E"/>
    <w:lvl w:ilvl="0">
      <w:start w:val="1"/>
      <w:numFmt w:val="decimal"/>
      <w:lvlText w:val="%1."/>
      <w:lvlJc w:val="left"/>
      <w:pPr>
        <w:ind w:left="360" w:hanging="360"/>
      </w:p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15:restartNumberingAfterBreak="0">
    <w:nsid w:val="06760C68"/>
    <w:multiLevelType w:val="hybridMultilevel"/>
    <w:tmpl w:val="3B8AA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E720A2"/>
    <w:multiLevelType w:val="hybridMultilevel"/>
    <w:tmpl w:val="4BD8F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F17C0"/>
    <w:multiLevelType w:val="multilevel"/>
    <w:tmpl w:val="E9C4990E"/>
    <w:lvl w:ilvl="0">
      <w:start w:val="1"/>
      <w:numFmt w:val="decimal"/>
      <w:pStyle w:val="Heading1"/>
      <w:lvlText w:val="%1."/>
      <w:lvlJc w:val="left"/>
      <w:pPr>
        <w:ind w:left="360" w:hanging="360"/>
      </w:pPr>
      <w:rPr>
        <w:color w:val="auto"/>
      </w:rPr>
    </w:lvl>
    <w:lvl w:ilvl="1">
      <w:start w:val="1"/>
      <w:numFmt w:val="decimal"/>
      <w:lvlText w:val="%1.%2"/>
      <w:lvlJc w:val="left"/>
      <w:pPr>
        <w:ind w:left="1144" w:hanging="576"/>
      </w:pPr>
      <w:rPr>
        <w:rFonts w:cs="Times New Roman"/>
      </w:rPr>
    </w:lvl>
    <w:lvl w:ilvl="2">
      <w:start w:val="1"/>
      <w:numFmt w:val="decimal"/>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8" w15:restartNumberingAfterBreak="0">
    <w:nsid w:val="12EB7B19"/>
    <w:multiLevelType w:val="hybridMultilevel"/>
    <w:tmpl w:val="8BFA8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9F5808"/>
    <w:multiLevelType w:val="hybridMultilevel"/>
    <w:tmpl w:val="B9A21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34A1F"/>
    <w:multiLevelType w:val="hybridMultilevel"/>
    <w:tmpl w:val="88EC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6076F1"/>
    <w:multiLevelType w:val="hybridMultilevel"/>
    <w:tmpl w:val="96A6E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7C454C"/>
    <w:multiLevelType w:val="hybridMultilevel"/>
    <w:tmpl w:val="2C88C7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E1D69C5"/>
    <w:multiLevelType w:val="hybridMultilevel"/>
    <w:tmpl w:val="64C0A6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D470E0"/>
    <w:multiLevelType w:val="hybridMultilevel"/>
    <w:tmpl w:val="390AB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4410F3"/>
    <w:multiLevelType w:val="hybridMultilevel"/>
    <w:tmpl w:val="C5AE4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1E4D62"/>
    <w:multiLevelType w:val="hybridMultilevel"/>
    <w:tmpl w:val="E92CCE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DE4924"/>
    <w:multiLevelType w:val="hybridMultilevel"/>
    <w:tmpl w:val="3E94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050FBD"/>
    <w:multiLevelType w:val="hybridMultilevel"/>
    <w:tmpl w:val="15304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A213CC"/>
    <w:multiLevelType w:val="hybridMultilevel"/>
    <w:tmpl w:val="805C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B91CE9"/>
    <w:multiLevelType w:val="hybridMultilevel"/>
    <w:tmpl w:val="B47A1E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FAB79E9"/>
    <w:multiLevelType w:val="hybridMultilevel"/>
    <w:tmpl w:val="7270A87A"/>
    <w:lvl w:ilvl="0" w:tplc="08090015">
      <w:start w:val="1"/>
      <w:numFmt w:val="upperLetter"/>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584F2F"/>
    <w:multiLevelType w:val="hybridMultilevel"/>
    <w:tmpl w:val="E8CEAD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4013929"/>
    <w:multiLevelType w:val="hybridMultilevel"/>
    <w:tmpl w:val="0E3E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F54939"/>
    <w:multiLevelType w:val="hybridMultilevel"/>
    <w:tmpl w:val="C55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8B2FB0"/>
    <w:multiLevelType w:val="hybridMultilevel"/>
    <w:tmpl w:val="5E4C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020CD2"/>
    <w:multiLevelType w:val="hybridMultilevel"/>
    <w:tmpl w:val="DEC23E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4D90E38"/>
    <w:multiLevelType w:val="hybridMultilevel"/>
    <w:tmpl w:val="45DEC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F0294A"/>
    <w:multiLevelType w:val="hybridMultilevel"/>
    <w:tmpl w:val="69E63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891692"/>
    <w:multiLevelType w:val="hybridMultilevel"/>
    <w:tmpl w:val="1EA046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79613FE"/>
    <w:multiLevelType w:val="hybridMultilevel"/>
    <w:tmpl w:val="63541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AA108E"/>
    <w:multiLevelType w:val="hybridMultilevel"/>
    <w:tmpl w:val="CEC01B5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1283CE2"/>
    <w:multiLevelType w:val="hybridMultilevel"/>
    <w:tmpl w:val="FAC4BF4C"/>
    <w:lvl w:ilvl="0" w:tplc="0C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26708C7"/>
    <w:multiLevelType w:val="hybridMultilevel"/>
    <w:tmpl w:val="C5AE4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E53524"/>
    <w:multiLevelType w:val="hybridMultilevel"/>
    <w:tmpl w:val="DB201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43D6974"/>
    <w:multiLevelType w:val="hybridMultilevel"/>
    <w:tmpl w:val="C1D0CB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47F4B89"/>
    <w:multiLevelType w:val="hybridMultilevel"/>
    <w:tmpl w:val="27FC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D40770"/>
    <w:multiLevelType w:val="hybridMultilevel"/>
    <w:tmpl w:val="25C8F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6CE5949"/>
    <w:multiLevelType w:val="hybridMultilevel"/>
    <w:tmpl w:val="345AED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C520BE6"/>
    <w:multiLevelType w:val="hybridMultilevel"/>
    <w:tmpl w:val="AE1CE2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F336252"/>
    <w:multiLevelType w:val="hybridMultilevel"/>
    <w:tmpl w:val="5BE27D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4962B04"/>
    <w:multiLevelType w:val="hybridMultilevel"/>
    <w:tmpl w:val="E2F0C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B3A6001"/>
    <w:multiLevelType w:val="hybridMultilevel"/>
    <w:tmpl w:val="9AD2FDB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C2E5F85"/>
    <w:multiLevelType w:val="hybridMultilevel"/>
    <w:tmpl w:val="988E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A5377A"/>
    <w:multiLevelType w:val="hybridMultilevel"/>
    <w:tmpl w:val="1BB08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D7618EB"/>
    <w:multiLevelType w:val="hybridMultilevel"/>
    <w:tmpl w:val="682836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2D810A5"/>
    <w:multiLevelType w:val="hybridMultilevel"/>
    <w:tmpl w:val="71D4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725E2A"/>
    <w:multiLevelType w:val="hybridMultilevel"/>
    <w:tmpl w:val="C6E01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7C9352D"/>
    <w:multiLevelType w:val="hybridMultilevel"/>
    <w:tmpl w:val="83CED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98544ED"/>
    <w:multiLevelType w:val="hybridMultilevel"/>
    <w:tmpl w:val="CACA5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A56751C"/>
    <w:multiLevelType w:val="hybridMultilevel"/>
    <w:tmpl w:val="0C5A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A43817"/>
    <w:multiLevelType w:val="hybridMultilevel"/>
    <w:tmpl w:val="2812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E434B2"/>
    <w:multiLevelType w:val="hybridMultilevel"/>
    <w:tmpl w:val="C1242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F401768"/>
    <w:multiLevelType w:val="hybridMultilevel"/>
    <w:tmpl w:val="4B60F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8"/>
  </w:num>
  <w:num w:numId="3">
    <w:abstractNumId w:val="13"/>
  </w:num>
  <w:num w:numId="4">
    <w:abstractNumId w:val="26"/>
  </w:num>
  <w:num w:numId="5">
    <w:abstractNumId w:val="51"/>
  </w:num>
  <w:num w:numId="6">
    <w:abstractNumId w:val="9"/>
  </w:num>
  <w:num w:numId="7">
    <w:abstractNumId w:val="23"/>
  </w:num>
  <w:num w:numId="8">
    <w:abstractNumId w:val="5"/>
  </w:num>
  <w:num w:numId="9">
    <w:abstractNumId w:val="7"/>
  </w:num>
  <w:num w:numId="10">
    <w:abstractNumId w:val="44"/>
  </w:num>
  <w:num w:numId="11">
    <w:abstractNumId w:val="27"/>
  </w:num>
  <w:num w:numId="12">
    <w:abstractNumId w:val="49"/>
  </w:num>
  <w:num w:numId="13">
    <w:abstractNumId w:val="37"/>
  </w:num>
  <w:num w:numId="14">
    <w:abstractNumId w:val="31"/>
  </w:num>
  <w:num w:numId="15">
    <w:abstractNumId w:val="42"/>
  </w:num>
  <w:num w:numId="16">
    <w:abstractNumId w:val="47"/>
  </w:num>
  <w:num w:numId="17">
    <w:abstractNumId w:val="12"/>
  </w:num>
  <w:num w:numId="18">
    <w:abstractNumId w:val="29"/>
  </w:num>
  <w:num w:numId="19">
    <w:abstractNumId w:val="45"/>
  </w:num>
  <w:num w:numId="20">
    <w:abstractNumId w:val="40"/>
  </w:num>
  <w:num w:numId="21">
    <w:abstractNumId w:val="2"/>
  </w:num>
  <w:num w:numId="22">
    <w:abstractNumId w:val="41"/>
  </w:num>
  <w:num w:numId="23">
    <w:abstractNumId w:val="34"/>
  </w:num>
  <w:num w:numId="24">
    <w:abstractNumId w:val="53"/>
  </w:num>
  <w:num w:numId="25">
    <w:abstractNumId w:val="18"/>
  </w:num>
  <w:num w:numId="26">
    <w:abstractNumId w:val="43"/>
  </w:num>
  <w:num w:numId="27">
    <w:abstractNumId w:val="28"/>
  </w:num>
  <w:num w:numId="28">
    <w:abstractNumId w:val="0"/>
  </w:num>
  <w:num w:numId="29">
    <w:abstractNumId w:val="14"/>
  </w:num>
  <w:num w:numId="30">
    <w:abstractNumId w:val="8"/>
  </w:num>
  <w:num w:numId="31">
    <w:abstractNumId w:val="25"/>
  </w:num>
  <w:num w:numId="32">
    <w:abstractNumId w:val="10"/>
  </w:num>
  <w:num w:numId="33">
    <w:abstractNumId w:val="36"/>
  </w:num>
  <w:num w:numId="34">
    <w:abstractNumId w:val="6"/>
  </w:num>
  <w:num w:numId="35">
    <w:abstractNumId w:val="24"/>
  </w:num>
  <w:num w:numId="36">
    <w:abstractNumId w:val="46"/>
  </w:num>
  <w:num w:numId="37">
    <w:abstractNumId w:val="50"/>
  </w:num>
  <w:num w:numId="38">
    <w:abstractNumId w:val="17"/>
  </w:num>
  <w:num w:numId="39">
    <w:abstractNumId w:val="1"/>
  </w:num>
  <w:num w:numId="40">
    <w:abstractNumId w:val="32"/>
  </w:num>
  <w:num w:numId="41">
    <w:abstractNumId w:val="22"/>
  </w:num>
  <w:num w:numId="42">
    <w:abstractNumId w:val="30"/>
  </w:num>
  <w:num w:numId="43">
    <w:abstractNumId w:val="11"/>
  </w:num>
  <w:num w:numId="44">
    <w:abstractNumId w:val="3"/>
  </w:num>
  <w:num w:numId="45">
    <w:abstractNumId w:val="4"/>
  </w:num>
  <w:num w:numId="46">
    <w:abstractNumId w:val="35"/>
  </w:num>
  <w:num w:numId="47">
    <w:abstractNumId w:val="52"/>
  </w:num>
  <w:num w:numId="48">
    <w:abstractNumId w:val="19"/>
  </w:num>
  <w:num w:numId="49">
    <w:abstractNumId w:val="20"/>
  </w:num>
  <w:num w:numId="50">
    <w:abstractNumId w:val="48"/>
  </w:num>
  <w:num w:numId="51">
    <w:abstractNumId w:val="7"/>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num>
  <w:num w:numId="54">
    <w:abstractNumId w:val="39"/>
  </w:num>
  <w:num w:numId="55">
    <w:abstractNumId w:val="33"/>
  </w:num>
  <w:num w:numId="56">
    <w:abstractNumId w:val="21"/>
  </w:num>
  <w:num w:numId="57">
    <w:abstractNumId w:val="16"/>
  </w:num>
  <w:num w:numId="58">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43"/>
    <w:rsid w:val="00000E32"/>
    <w:rsid w:val="0000144E"/>
    <w:rsid w:val="000019A6"/>
    <w:rsid w:val="00003840"/>
    <w:rsid w:val="00006D5B"/>
    <w:rsid w:val="000104BA"/>
    <w:rsid w:val="00013D77"/>
    <w:rsid w:val="000175E0"/>
    <w:rsid w:val="000205CD"/>
    <w:rsid w:val="00020676"/>
    <w:rsid w:val="00020DF4"/>
    <w:rsid w:val="00021F80"/>
    <w:rsid w:val="00022BDD"/>
    <w:rsid w:val="0002324A"/>
    <w:rsid w:val="000256B3"/>
    <w:rsid w:val="00025C85"/>
    <w:rsid w:val="00025CB3"/>
    <w:rsid w:val="00030E23"/>
    <w:rsid w:val="000327E0"/>
    <w:rsid w:val="00035480"/>
    <w:rsid w:val="00040A28"/>
    <w:rsid w:val="00042FAB"/>
    <w:rsid w:val="00044ED6"/>
    <w:rsid w:val="0005028A"/>
    <w:rsid w:val="0005256B"/>
    <w:rsid w:val="00054A7B"/>
    <w:rsid w:val="000577AF"/>
    <w:rsid w:val="00062565"/>
    <w:rsid w:val="000629C5"/>
    <w:rsid w:val="00064884"/>
    <w:rsid w:val="000654A5"/>
    <w:rsid w:val="000655E3"/>
    <w:rsid w:val="00075D3F"/>
    <w:rsid w:val="00077A49"/>
    <w:rsid w:val="00081058"/>
    <w:rsid w:val="0008269E"/>
    <w:rsid w:val="00085A5D"/>
    <w:rsid w:val="00085A77"/>
    <w:rsid w:val="00086C0E"/>
    <w:rsid w:val="00091FE6"/>
    <w:rsid w:val="0009514F"/>
    <w:rsid w:val="0009619B"/>
    <w:rsid w:val="000962B4"/>
    <w:rsid w:val="000A0BBE"/>
    <w:rsid w:val="000A14AF"/>
    <w:rsid w:val="000A2748"/>
    <w:rsid w:val="000A311E"/>
    <w:rsid w:val="000A6FD0"/>
    <w:rsid w:val="000A71F2"/>
    <w:rsid w:val="000B4700"/>
    <w:rsid w:val="000B5FED"/>
    <w:rsid w:val="000B6F73"/>
    <w:rsid w:val="000B7CB6"/>
    <w:rsid w:val="000C298E"/>
    <w:rsid w:val="000D6236"/>
    <w:rsid w:val="000E1068"/>
    <w:rsid w:val="000E1287"/>
    <w:rsid w:val="000E15FD"/>
    <w:rsid w:val="000E2394"/>
    <w:rsid w:val="000E292F"/>
    <w:rsid w:val="000E3603"/>
    <w:rsid w:val="000E4163"/>
    <w:rsid w:val="000E7B62"/>
    <w:rsid w:val="000E7E2A"/>
    <w:rsid w:val="000F01A4"/>
    <w:rsid w:val="000F2FAF"/>
    <w:rsid w:val="000F3586"/>
    <w:rsid w:val="000F3F5F"/>
    <w:rsid w:val="000F43DA"/>
    <w:rsid w:val="000F5A23"/>
    <w:rsid w:val="000F65F5"/>
    <w:rsid w:val="000F66EC"/>
    <w:rsid w:val="000F6810"/>
    <w:rsid w:val="000F6CD3"/>
    <w:rsid w:val="000F6E15"/>
    <w:rsid w:val="00100786"/>
    <w:rsid w:val="001015CF"/>
    <w:rsid w:val="00101CD5"/>
    <w:rsid w:val="00103E16"/>
    <w:rsid w:val="00110C98"/>
    <w:rsid w:val="00111000"/>
    <w:rsid w:val="00112346"/>
    <w:rsid w:val="001125E9"/>
    <w:rsid w:val="001129B5"/>
    <w:rsid w:val="001140BC"/>
    <w:rsid w:val="001177B8"/>
    <w:rsid w:val="001177FB"/>
    <w:rsid w:val="0012176A"/>
    <w:rsid w:val="00122202"/>
    <w:rsid w:val="00122AB5"/>
    <w:rsid w:val="001231BC"/>
    <w:rsid w:val="00124645"/>
    <w:rsid w:val="00124A6D"/>
    <w:rsid w:val="001261BF"/>
    <w:rsid w:val="001315F6"/>
    <w:rsid w:val="0013165D"/>
    <w:rsid w:val="001351C1"/>
    <w:rsid w:val="00140A8D"/>
    <w:rsid w:val="001411E5"/>
    <w:rsid w:val="00143272"/>
    <w:rsid w:val="001447DE"/>
    <w:rsid w:val="001449B2"/>
    <w:rsid w:val="00145D79"/>
    <w:rsid w:val="00151913"/>
    <w:rsid w:val="00151B29"/>
    <w:rsid w:val="001520F6"/>
    <w:rsid w:val="00154C3C"/>
    <w:rsid w:val="001562E5"/>
    <w:rsid w:val="0015781A"/>
    <w:rsid w:val="00163F6E"/>
    <w:rsid w:val="00166D80"/>
    <w:rsid w:val="00170687"/>
    <w:rsid w:val="0017125D"/>
    <w:rsid w:val="00174DAC"/>
    <w:rsid w:val="00175182"/>
    <w:rsid w:val="00176CCF"/>
    <w:rsid w:val="00181301"/>
    <w:rsid w:val="0018232F"/>
    <w:rsid w:val="0018437D"/>
    <w:rsid w:val="0018747F"/>
    <w:rsid w:val="00190519"/>
    <w:rsid w:val="00190C5D"/>
    <w:rsid w:val="00190EB4"/>
    <w:rsid w:val="001A1952"/>
    <w:rsid w:val="001A2F11"/>
    <w:rsid w:val="001A3BD8"/>
    <w:rsid w:val="001A5B42"/>
    <w:rsid w:val="001A7273"/>
    <w:rsid w:val="001B0AD5"/>
    <w:rsid w:val="001B1F73"/>
    <w:rsid w:val="001B2568"/>
    <w:rsid w:val="001B445F"/>
    <w:rsid w:val="001B7B39"/>
    <w:rsid w:val="001C0A66"/>
    <w:rsid w:val="001C2951"/>
    <w:rsid w:val="001C4784"/>
    <w:rsid w:val="001C6A55"/>
    <w:rsid w:val="001D0DCD"/>
    <w:rsid w:val="001D0F1D"/>
    <w:rsid w:val="001D2EA0"/>
    <w:rsid w:val="001D4E73"/>
    <w:rsid w:val="001D4F37"/>
    <w:rsid w:val="001D672E"/>
    <w:rsid w:val="001E1588"/>
    <w:rsid w:val="001E3A5A"/>
    <w:rsid w:val="001E4B43"/>
    <w:rsid w:val="001E573E"/>
    <w:rsid w:val="001E5803"/>
    <w:rsid w:val="001E683A"/>
    <w:rsid w:val="001E6C79"/>
    <w:rsid w:val="001F10AA"/>
    <w:rsid w:val="001F2BEF"/>
    <w:rsid w:val="001F3371"/>
    <w:rsid w:val="001F3587"/>
    <w:rsid w:val="001F6828"/>
    <w:rsid w:val="00201A20"/>
    <w:rsid w:val="002033F1"/>
    <w:rsid w:val="002111EB"/>
    <w:rsid w:val="00211C6C"/>
    <w:rsid w:val="00211CDD"/>
    <w:rsid w:val="00212586"/>
    <w:rsid w:val="0021390D"/>
    <w:rsid w:val="00215B8D"/>
    <w:rsid w:val="00220E10"/>
    <w:rsid w:val="00220F1E"/>
    <w:rsid w:val="002223C3"/>
    <w:rsid w:val="00223AA1"/>
    <w:rsid w:val="00223C0E"/>
    <w:rsid w:val="00226C26"/>
    <w:rsid w:val="00226C7B"/>
    <w:rsid w:val="00227880"/>
    <w:rsid w:val="00227A56"/>
    <w:rsid w:val="00227DCD"/>
    <w:rsid w:val="002323CB"/>
    <w:rsid w:val="00232889"/>
    <w:rsid w:val="00233FB7"/>
    <w:rsid w:val="0023587A"/>
    <w:rsid w:val="00237686"/>
    <w:rsid w:val="00237C73"/>
    <w:rsid w:val="002401A2"/>
    <w:rsid w:val="00242071"/>
    <w:rsid w:val="0024539B"/>
    <w:rsid w:val="002476E4"/>
    <w:rsid w:val="00251279"/>
    <w:rsid w:val="002554E9"/>
    <w:rsid w:val="002555A4"/>
    <w:rsid w:val="002602C8"/>
    <w:rsid w:val="00262FF4"/>
    <w:rsid w:val="00263C7E"/>
    <w:rsid w:val="002655A1"/>
    <w:rsid w:val="002667E3"/>
    <w:rsid w:val="00267388"/>
    <w:rsid w:val="002705E2"/>
    <w:rsid w:val="002723CB"/>
    <w:rsid w:val="00275D26"/>
    <w:rsid w:val="0028118E"/>
    <w:rsid w:val="00283CC6"/>
    <w:rsid w:val="00285BDA"/>
    <w:rsid w:val="00285D11"/>
    <w:rsid w:val="00291391"/>
    <w:rsid w:val="002928C4"/>
    <w:rsid w:val="002935E7"/>
    <w:rsid w:val="00293D38"/>
    <w:rsid w:val="0029564C"/>
    <w:rsid w:val="002A013D"/>
    <w:rsid w:val="002A215C"/>
    <w:rsid w:val="002A31DE"/>
    <w:rsid w:val="002A38B7"/>
    <w:rsid w:val="002A3952"/>
    <w:rsid w:val="002A5D5D"/>
    <w:rsid w:val="002A7B50"/>
    <w:rsid w:val="002B244C"/>
    <w:rsid w:val="002B35C6"/>
    <w:rsid w:val="002B478E"/>
    <w:rsid w:val="002B4A75"/>
    <w:rsid w:val="002B4F00"/>
    <w:rsid w:val="002C012B"/>
    <w:rsid w:val="002C0576"/>
    <w:rsid w:val="002C5C34"/>
    <w:rsid w:val="002C62BD"/>
    <w:rsid w:val="002C7B99"/>
    <w:rsid w:val="002C7EC0"/>
    <w:rsid w:val="002D17F1"/>
    <w:rsid w:val="002D2D16"/>
    <w:rsid w:val="002D600E"/>
    <w:rsid w:val="002D7253"/>
    <w:rsid w:val="002E1630"/>
    <w:rsid w:val="002E2F31"/>
    <w:rsid w:val="002E6634"/>
    <w:rsid w:val="002E6C4C"/>
    <w:rsid w:val="002E7B43"/>
    <w:rsid w:val="002F0126"/>
    <w:rsid w:val="002F2211"/>
    <w:rsid w:val="002F7971"/>
    <w:rsid w:val="002F7D4C"/>
    <w:rsid w:val="002F7FB3"/>
    <w:rsid w:val="00303A49"/>
    <w:rsid w:val="00304F3A"/>
    <w:rsid w:val="0030541C"/>
    <w:rsid w:val="00305D28"/>
    <w:rsid w:val="00305DF4"/>
    <w:rsid w:val="00310EF8"/>
    <w:rsid w:val="00311535"/>
    <w:rsid w:val="003124BA"/>
    <w:rsid w:val="00314A0C"/>
    <w:rsid w:val="00316EC0"/>
    <w:rsid w:val="00321254"/>
    <w:rsid w:val="003229A2"/>
    <w:rsid w:val="00323694"/>
    <w:rsid w:val="003302B2"/>
    <w:rsid w:val="0033038F"/>
    <w:rsid w:val="003321F9"/>
    <w:rsid w:val="003350C0"/>
    <w:rsid w:val="003370A1"/>
    <w:rsid w:val="00337667"/>
    <w:rsid w:val="00341A1B"/>
    <w:rsid w:val="0034256A"/>
    <w:rsid w:val="003428D7"/>
    <w:rsid w:val="00342D66"/>
    <w:rsid w:val="00345527"/>
    <w:rsid w:val="003509F9"/>
    <w:rsid w:val="00351E84"/>
    <w:rsid w:val="00352F72"/>
    <w:rsid w:val="00354C53"/>
    <w:rsid w:val="003569DF"/>
    <w:rsid w:val="003571DB"/>
    <w:rsid w:val="0036201F"/>
    <w:rsid w:val="003647B4"/>
    <w:rsid w:val="00371588"/>
    <w:rsid w:val="00373803"/>
    <w:rsid w:val="003738F4"/>
    <w:rsid w:val="00376FC7"/>
    <w:rsid w:val="00380174"/>
    <w:rsid w:val="00381FAA"/>
    <w:rsid w:val="003836E6"/>
    <w:rsid w:val="00385399"/>
    <w:rsid w:val="0038549B"/>
    <w:rsid w:val="00386BE7"/>
    <w:rsid w:val="00390325"/>
    <w:rsid w:val="00394072"/>
    <w:rsid w:val="00394623"/>
    <w:rsid w:val="00394C82"/>
    <w:rsid w:val="00396F95"/>
    <w:rsid w:val="003A2E34"/>
    <w:rsid w:val="003A2FF1"/>
    <w:rsid w:val="003A522A"/>
    <w:rsid w:val="003A72F6"/>
    <w:rsid w:val="003B014F"/>
    <w:rsid w:val="003B1B42"/>
    <w:rsid w:val="003B3E8A"/>
    <w:rsid w:val="003B48A2"/>
    <w:rsid w:val="003B55E3"/>
    <w:rsid w:val="003C1906"/>
    <w:rsid w:val="003C45C3"/>
    <w:rsid w:val="003C52B7"/>
    <w:rsid w:val="003C7642"/>
    <w:rsid w:val="003D0DC6"/>
    <w:rsid w:val="003D137C"/>
    <w:rsid w:val="003D1A4C"/>
    <w:rsid w:val="003D3046"/>
    <w:rsid w:val="003D3AD1"/>
    <w:rsid w:val="003D7897"/>
    <w:rsid w:val="003E05D3"/>
    <w:rsid w:val="003E2F8B"/>
    <w:rsid w:val="003E3DEF"/>
    <w:rsid w:val="003E4C84"/>
    <w:rsid w:val="003F070A"/>
    <w:rsid w:val="003F35C0"/>
    <w:rsid w:val="003F3FB3"/>
    <w:rsid w:val="003F43E2"/>
    <w:rsid w:val="003F50B2"/>
    <w:rsid w:val="0040444C"/>
    <w:rsid w:val="00405CAA"/>
    <w:rsid w:val="00410AF4"/>
    <w:rsid w:val="00412AA8"/>
    <w:rsid w:val="00415F56"/>
    <w:rsid w:val="00417FC6"/>
    <w:rsid w:val="00420507"/>
    <w:rsid w:val="004209BA"/>
    <w:rsid w:val="00421F2A"/>
    <w:rsid w:val="004224B4"/>
    <w:rsid w:val="00427733"/>
    <w:rsid w:val="0043378F"/>
    <w:rsid w:val="00433F82"/>
    <w:rsid w:val="00434E85"/>
    <w:rsid w:val="00440A91"/>
    <w:rsid w:val="00444074"/>
    <w:rsid w:val="00444C41"/>
    <w:rsid w:val="004454BC"/>
    <w:rsid w:val="00453A55"/>
    <w:rsid w:val="0046374B"/>
    <w:rsid w:val="00463E64"/>
    <w:rsid w:val="00471857"/>
    <w:rsid w:val="004744F6"/>
    <w:rsid w:val="00476583"/>
    <w:rsid w:val="004769BA"/>
    <w:rsid w:val="004816B2"/>
    <w:rsid w:val="00486047"/>
    <w:rsid w:val="00490863"/>
    <w:rsid w:val="00490905"/>
    <w:rsid w:val="00490D96"/>
    <w:rsid w:val="00493D54"/>
    <w:rsid w:val="00494978"/>
    <w:rsid w:val="004978E6"/>
    <w:rsid w:val="004A1178"/>
    <w:rsid w:val="004A1CC1"/>
    <w:rsid w:val="004A3867"/>
    <w:rsid w:val="004A3EAB"/>
    <w:rsid w:val="004A3EE3"/>
    <w:rsid w:val="004B1EFA"/>
    <w:rsid w:val="004B1F18"/>
    <w:rsid w:val="004B5BEC"/>
    <w:rsid w:val="004B7785"/>
    <w:rsid w:val="004C2BC6"/>
    <w:rsid w:val="004C5367"/>
    <w:rsid w:val="004C5467"/>
    <w:rsid w:val="004C5897"/>
    <w:rsid w:val="004C6B7A"/>
    <w:rsid w:val="004C75EE"/>
    <w:rsid w:val="004D02BB"/>
    <w:rsid w:val="004D0EC4"/>
    <w:rsid w:val="004D5EBB"/>
    <w:rsid w:val="004D7EBB"/>
    <w:rsid w:val="004E496B"/>
    <w:rsid w:val="004E4E0C"/>
    <w:rsid w:val="004E7F2C"/>
    <w:rsid w:val="004F01CB"/>
    <w:rsid w:val="004F082F"/>
    <w:rsid w:val="004F1222"/>
    <w:rsid w:val="004F5984"/>
    <w:rsid w:val="00501590"/>
    <w:rsid w:val="005017CE"/>
    <w:rsid w:val="00502E72"/>
    <w:rsid w:val="0050326A"/>
    <w:rsid w:val="005041EC"/>
    <w:rsid w:val="00507D31"/>
    <w:rsid w:val="00512245"/>
    <w:rsid w:val="005145A9"/>
    <w:rsid w:val="005153CA"/>
    <w:rsid w:val="0052195F"/>
    <w:rsid w:val="005228AB"/>
    <w:rsid w:val="00525B8C"/>
    <w:rsid w:val="00526D4F"/>
    <w:rsid w:val="00527F37"/>
    <w:rsid w:val="0053128E"/>
    <w:rsid w:val="0053276B"/>
    <w:rsid w:val="00533C06"/>
    <w:rsid w:val="00540C33"/>
    <w:rsid w:val="0054648F"/>
    <w:rsid w:val="0054669C"/>
    <w:rsid w:val="005478D6"/>
    <w:rsid w:val="0055211D"/>
    <w:rsid w:val="005549BC"/>
    <w:rsid w:val="00555242"/>
    <w:rsid w:val="005601C6"/>
    <w:rsid w:val="00565373"/>
    <w:rsid w:val="00565CA9"/>
    <w:rsid w:val="00565FE2"/>
    <w:rsid w:val="00567A4B"/>
    <w:rsid w:val="0057068E"/>
    <w:rsid w:val="00570831"/>
    <w:rsid w:val="00571475"/>
    <w:rsid w:val="00575602"/>
    <w:rsid w:val="0058044A"/>
    <w:rsid w:val="00581A2D"/>
    <w:rsid w:val="00581CEA"/>
    <w:rsid w:val="00582FE8"/>
    <w:rsid w:val="00583C7C"/>
    <w:rsid w:val="0058545D"/>
    <w:rsid w:val="0058756A"/>
    <w:rsid w:val="005875F4"/>
    <w:rsid w:val="00591FDB"/>
    <w:rsid w:val="005934F9"/>
    <w:rsid w:val="0059499B"/>
    <w:rsid w:val="00594ACF"/>
    <w:rsid w:val="00595208"/>
    <w:rsid w:val="0059644B"/>
    <w:rsid w:val="005968E6"/>
    <w:rsid w:val="0059727E"/>
    <w:rsid w:val="005A146B"/>
    <w:rsid w:val="005A38F4"/>
    <w:rsid w:val="005A4937"/>
    <w:rsid w:val="005A4E2A"/>
    <w:rsid w:val="005B0B0A"/>
    <w:rsid w:val="005B0EBC"/>
    <w:rsid w:val="005B1D2B"/>
    <w:rsid w:val="005B1F87"/>
    <w:rsid w:val="005B4389"/>
    <w:rsid w:val="005B46E4"/>
    <w:rsid w:val="005B4E2C"/>
    <w:rsid w:val="005B55AD"/>
    <w:rsid w:val="005B72E1"/>
    <w:rsid w:val="005C23E2"/>
    <w:rsid w:val="005C4984"/>
    <w:rsid w:val="005C5755"/>
    <w:rsid w:val="005C57BD"/>
    <w:rsid w:val="005D08F4"/>
    <w:rsid w:val="005D185C"/>
    <w:rsid w:val="005D49BC"/>
    <w:rsid w:val="005D571D"/>
    <w:rsid w:val="005D7226"/>
    <w:rsid w:val="005E4B06"/>
    <w:rsid w:val="005E552A"/>
    <w:rsid w:val="005E55BD"/>
    <w:rsid w:val="005E760E"/>
    <w:rsid w:val="005E794E"/>
    <w:rsid w:val="005F06EE"/>
    <w:rsid w:val="005F144E"/>
    <w:rsid w:val="005F5F21"/>
    <w:rsid w:val="005F7027"/>
    <w:rsid w:val="00610F11"/>
    <w:rsid w:val="00611E4E"/>
    <w:rsid w:val="00612B14"/>
    <w:rsid w:val="00612E77"/>
    <w:rsid w:val="00613754"/>
    <w:rsid w:val="006154AC"/>
    <w:rsid w:val="00615F5A"/>
    <w:rsid w:val="006229D2"/>
    <w:rsid w:val="00623781"/>
    <w:rsid w:val="006278A5"/>
    <w:rsid w:val="00627DA5"/>
    <w:rsid w:val="00630182"/>
    <w:rsid w:val="00630312"/>
    <w:rsid w:val="00630FE6"/>
    <w:rsid w:val="00631F21"/>
    <w:rsid w:val="0063513E"/>
    <w:rsid w:val="006355F9"/>
    <w:rsid w:val="00640938"/>
    <w:rsid w:val="00640DF5"/>
    <w:rsid w:val="00642AD9"/>
    <w:rsid w:val="00642AF6"/>
    <w:rsid w:val="00644A51"/>
    <w:rsid w:val="00653BF1"/>
    <w:rsid w:val="00654F45"/>
    <w:rsid w:val="006574E7"/>
    <w:rsid w:val="0066269C"/>
    <w:rsid w:val="00664791"/>
    <w:rsid w:val="00664B08"/>
    <w:rsid w:val="00664B27"/>
    <w:rsid w:val="00666575"/>
    <w:rsid w:val="006710D3"/>
    <w:rsid w:val="00672A0B"/>
    <w:rsid w:val="0068507B"/>
    <w:rsid w:val="00685B82"/>
    <w:rsid w:val="00690BD5"/>
    <w:rsid w:val="006919B2"/>
    <w:rsid w:val="00691BE7"/>
    <w:rsid w:val="00695846"/>
    <w:rsid w:val="00695880"/>
    <w:rsid w:val="00696DE1"/>
    <w:rsid w:val="00696FA6"/>
    <w:rsid w:val="006972FF"/>
    <w:rsid w:val="00697528"/>
    <w:rsid w:val="00697FF1"/>
    <w:rsid w:val="006A197C"/>
    <w:rsid w:val="006A2C27"/>
    <w:rsid w:val="006A2E3E"/>
    <w:rsid w:val="006A37C8"/>
    <w:rsid w:val="006A6B52"/>
    <w:rsid w:val="006B0429"/>
    <w:rsid w:val="006B09A9"/>
    <w:rsid w:val="006B1909"/>
    <w:rsid w:val="006B3A09"/>
    <w:rsid w:val="006B4C7A"/>
    <w:rsid w:val="006C1577"/>
    <w:rsid w:val="006C347F"/>
    <w:rsid w:val="006C40C3"/>
    <w:rsid w:val="006C4141"/>
    <w:rsid w:val="006C7FA4"/>
    <w:rsid w:val="006D0820"/>
    <w:rsid w:val="006D1098"/>
    <w:rsid w:val="006D56D5"/>
    <w:rsid w:val="006D6972"/>
    <w:rsid w:val="006E175E"/>
    <w:rsid w:val="006E31E9"/>
    <w:rsid w:val="006E38B4"/>
    <w:rsid w:val="006E5608"/>
    <w:rsid w:val="006F574B"/>
    <w:rsid w:val="006F6B8E"/>
    <w:rsid w:val="006F715A"/>
    <w:rsid w:val="00700D58"/>
    <w:rsid w:val="007115F9"/>
    <w:rsid w:val="00712682"/>
    <w:rsid w:val="00713628"/>
    <w:rsid w:val="00713991"/>
    <w:rsid w:val="00716D2E"/>
    <w:rsid w:val="00722A55"/>
    <w:rsid w:val="00726C77"/>
    <w:rsid w:val="00727001"/>
    <w:rsid w:val="007344F9"/>
    <w:rsid w:val="00734BEA"/>
    <w:rsid w:val="00741821"/>
    <w:rsid w:val="00742DAB"/>
    <w:rsid w:val="007435A8"/>
    <w:rsid w:val="00743CEC"/>
    <w:rsid w:val="00747FC7"/>
    <w:rsid w:val="007501CD"/>
    <w:rsid w:val="00753D31"/>
    <w:rsid w:val="00754127"/>
    <w:rsid w:val="00755155"/>
    <w:rsid w:val="0075581E"/>
    <w:rsid w:val="0075634C"/>
    <w:rsid w:val="0075686A"/>
    <w:rsid w:val="00756EFF"/>
    <w:rsid w:val="00762806"/>
    <w:rsid w:val="00764B94"/>
    <w:rsid w:val="00765F0F"/>
    <w:rsid w:val="00767154"/>
    <w:rsid w:val="0077095A"/>
    <w:rsid w:val="00772190"/>
    <w:rsid w:val="007745AE"/>
    <w:rsid w:val="0077473E"/>
    <w:rsid w:val="00774CAE"/>
    <w:rsid w:val="00775E0C"/>
    <w:rsid w:val="0078010A"/>
    <w:rsid w:val="00781E5F"/>
    <w:rsid w:val="00783F3B"/>
    <w:rsid w:val="00786A3C"/>
    <w:rsid w:val="00786AC3"/>
    <w:rsid w:val="007908CB"/>
    <w:rsid w:val="007937C5"/>
    <w:rsid w:val="00796915"/>
    <w:rsid w:val="0079786F"/>
    <w:rsid w:val="00797C28"/>
    <w:rsid w:val="007A1FA1"/>
    <w:rsid w:val="007A46F3"/>
    <w:rsid w:val="007A556C"/>
    <w:rsid w:val="007A69ED"/>
    <w:rsid w:val="007B1830"/>
    <w:rsid w:val="007B5CB2"/>
    <w:rsid w:val="007B6E41"/>
    <w:rsid w:val="007C1095"/>
    <w:rsid w:val="007C2CC7"/>
    <w:rsid w:val="007C2DD0"/>
    <w:rsid w:val="007C3780"/>
    <w:rsid w:val="007C3AA2"/>
    <w:rsid w:val="007C5E6B"/>
    <w:rsid w:val="007C75B7"/>
    <w:rsid w:val="007D0940"/>
    <w:rsid w:val="007D17C0"/>
    <w:rsid w:val="007D29DA"/>
    <w:rsid w:val="007D3F2D"/>
    <w:rsid w:val="007D5652"/>
    <w:rsid w:val="007D65F8"/>
    <w:rsid w:val="007D6850"/>
    <w:rsid w:val="007D785D"/>
    <w:rsid w:val="007D7B6C"/>
    <w:rsid w:val="007E20E5"/>
    <w:rsid w:val="007E2744"/>
    <w:rsid w:val="007E3C8D"/>
    <w:rsid w:val="007E3CBC"/>
    <w:rsid w:val="007E58A5"/>
    <w:rsid w:val="007F2780"/>
    <w:rsid w:val="007F5B86"/>
    <w:rsid w:val="00804910"/>
    <w:rsid w:val="00804A0B"/>
    <w:rsid w:val="00805432"/>
    <w:rsid w:val="008119CB"/>
    <w:rsid w:val="0081394A"/>
    <w:rsid w:val="008146A1"/>
    <w:rsid w:val="00817131"/>
    <w:rsid w:val="008223DB"/>
    <w:rsid w:val="008258A1"/>
    <w:rsid w:val="0083219A"/>
    <w:rsid w:val="0083495A"/>
    <w:rsid w:val="008349F9"/>
    <w:rsid w:val="00835650"/>
    <w:rsid w:val="00836071"/>
    <w:rsid w:val="00837092"/>
    <w:rsid w:val="00837C95"/>
    <w:rsid w:val="008409A9"/>
    <w:rsid w:val="00841D0B"/>
    <w:rsid w:val="00842D6E"/>
    <w:rsid w:val="00844018"/>
    <w:rsid w:val="008443C6"/>
    <w:rsid w:val="008448AB"/>
    <w:rsid w:val="008462E8"/>
    <w:rsid w:val="0085222B"/>
    <w:rsid w:val="00854904"/>
    <w:rsid w:val="00856974"/>
    <w:rsid w:val="00857F1D"/>
    <w:rsid w:val="0086113F"/>
    <w:rsid w:val="00861984"/>
    <w:rsid w:val="0086310F"/>
    <w:rsid w:val="00863FA4"/>
    <w:rsid w:val="008643FC"/>
    <w:rsid w:val="008650D5"/>
    <w:rsid w:val="00865236"/>
    <w:rsid w:val="00865CA2"/>
    <w:rsid w:val="008679FE"/>
    <w:rsid w:val="00872A65"/>
    <w:rsid w:val="00872E8D"/>
    <w:rsid w:val="00873706"/>
    <w:rsid w:val="008738DC"/>
    <w:rsid w:val="008774B1"/>
    <w:rsid w:val="008775B2"/>
    <w:rsid w:val="00877693"/>
    <w:rsid w:val="00882330"/>
    <w:rsid w:val="00882CC9"/>
    <w:rsid w:val="008838BF"/>
    <w:rsid w:val="0088527B"/>
    <w:rsid w:val="008856B1"/>
    <w:rsid w:val="00886321"/>
    <w:rsid w:val="008878C4"/>
    <w:rsid w:val="0089109B"/>
    <w:rsid w:val="00891F8D"/>
    <w:rsid w:val="00893FBF"/>
    <w:rsid w:val="00895182"/>
    <w:rsid w:val="00897706"/>
    <w:rsid w:val="00897811"/>
    <w:rsid w:val="008A2EAC"/>
    <w:rsid w:val="008A34D3"/>
    <w:rsid w:val="008A3B22"/>
    <w:rsid w:val="008A477B"/>
    <w:rsid w:val="008A6F9B"/>
    <w:rsid w:val="008B0991"/>
    <w:rsid w:val="008B417D"/>
    <w:rsid w:val="008B48DA"/>
    <w:rsid w:val="008B56E1"/>
    <w:rsid w:val="008B6912"/>
    <w:rsid w:val="008C5232"/>
    <w:rsid w:val="008C5FF2"/>
    <w:rsid w:val="008D098C"/>
    <w:rsid w:val="008E28DF"/>
    <w:rsid w:val="008E4EBB"/>
    <w:rsid w:val="008E526B"/>
    <w:rsid w:val="008E5E24"/>
    <w:rsid w:val="008F0A13"/>
    <w:rsid w:val="008F1399"/>
    <w:rsid w:val="008F194A"/>
    <w:rsid w:val="008F2261"/>
    <w:rsid w:val="008F2D15"/>
    <w:rsid w:val="00901BE3"/>
    <w:rsid w:val="00902BD9"/>
    <w:rsid w:val="0090381B"/>
    <w:rsid w:val="009057E5"/>
    <w:rsid w:val="009065B1"/>
    <w:rsid w:val="00906930"/>
    <w:rsid w:val="00907B2E"/>
    <w:rsid w:val="00910080"/>
    <w:rsid w:val="009123CD"/>
    <w:rsid w:val="00914E40"/>
    <w:rsid w:val="009168D9"/>
    <w:rsid w:val="00920505"/>
    <w:rsid w:val="00922F08"/>
    <w:rsid w:val="009235BA"/>
    <w:rsid w:val="00924392"/>
    <w:rsid w:val="00924AE3"/>
    <w:rsid w:val="00925A54"/>
    <w:rsid w:val="00925C5A"/>
    <w:rsid w:val="009273D6"/>
    <w:rsid w:val="00930E22"/>
    <w:rsid w:val="00934A2C"/>
    <w:rsid w:val="00934CDE"/>
    <w:rsid w:val="009360B3"/>
    <w:rsid w:val="00936EA3"/>
    <w:rsid w:val="009426A9"/>
    <w:rsid w:val="009431D3"/>
    <w:rsid w:val="00944ABE"/>
    <w:rsid w:val="009520BB"/>
    <w:rsid w:val="00952DE2"/>
    <w:rsid w:val="00955C2C"/>
    <w:rsid w:val="00956804"/>
    <w:rsid w:val="00957DA9"/>
    <w:rsid w:val="00962420"/>
    <w:rsid w:val="00963896"/>
    <w:rsid w:val="009678FE"/>
    <w:rsid w:val="00967C68"/>
    <w:rsid w:val="009705C4"/>
    <w:rsid w:val="009728D7"/>
    <w:rsid w:val="00972B85"/>
    <w:rsid w:val="00975543"/>
    <w:rsid w:val="00976139"/>
    <w:rsid w:val="009761B3"/>
    <w:rsid w:val="00981132"/>
    <w:rsid w:val="009819D4"/>
    <w:rsid w:val="00981AC5"/>
    <w:rsid w:val="00983AE1"/>
    <w:rsid w:val="00984525"/>
    <w:rsid w:val="0098600F"/>
    <w:rsid w:val="0099577F"/>
    <w:rsid w:val="0099634A"/>
    <w:rsid w:val="009A013D"/>
    <w:rsid w:val="009A0F7E"/>
    <w:rsid w:val="009A491C"/>
    <w:rsid w:val="009A4ECA"/>
    <w:rsid w:val="009A532B"/>
    <w:rsid w:val="009A62E5"/>
    <w:rsid w:val="009A7363"/>
    <w:rsid w:val="009B1965"/>
    <w:rsid w:val="009B2AFD"/>
    <w:rsid w:val="009B538F"/>
    <w:rsid w:val="009B5578"/>
    <w:rsid w:val="009B60FF"/>
    <w:rsid w:val="009C0251"/>
    <w:rsid w:val="009C169F"/>
    <w:rsid w:val="009C3D79"/>
    <w:rsid w:val="009C42C8"/>
    <w:rsid w:val="009C582B"/>
    <w:rsid w:val="009D4FFA"/>
    <w:rsid w:val="009E03FF"/>
    <w:rsid w:val="009E2C15"/>
    <w:rsid w:val="009E3731"/>
    <w:rsid w:val="009E3F19"/>
    <w:rsid w:val="009E41F1"/>
    <w:rsid w:val="009E421B"/>
    <w:rsid w:val="009E53EA"/>
    <w:rsid w:val="009E75C1"/>
    <w:rsid w:val="009F0133"/>
    <w:rsid w:val="009F165D"/>
    <w:rsid w:val="009F2E78"/>
    <w:rsid w:val="009F787B"/>
    <w:rsid w:val="00A021A9"/>
    <w:rsid w:val="00A07520"/>
    <w:rsid w:val="00A07B65"/>
    <w:rsid w:val="00A10018"/>
    <w:rsid w:val="00A14813"/>
    <w:rsid w:val="00A149EC"/>
    <w:rsid w:val="00A14DCB"/>
    <w:rsid w:val="00A1566B"/>
    <w:rsid w:val="00A16DC7"/>
    <w:rsid w:val="00A1756C"/>
    <w:rsid w:val="00A17A6D"/>
    <w:rsid w:val="00A21073"/>
    <w:rsid w:val="00A2305C"/>
    <w:rsid w:val="00A253E0"/>
    <w:rsid w:val="00A25437"/>
    <w:rsid w:val="00A25B9B"/>
    <w:rsid w:val="00A25D68"/>
    <w:rsid w:val="00A34FAB"/>
    <w:rsid w:val="00A36154"/>
    <w:rsid w:val="00A44850"/>
    <w:rsid w:val="00A44BE9"/>
    <w:rsid w:val="00A45A09"/>
    <w:rsid w:val="00A51284"/>
    <w:rsid w:val="00A527AF"/>
    <w:rsid w:val="00A538F7"/>
    <w:rsid w:val="00A53BE3"/>
    <w:rsid w:val="00A56246"/>
    <w:rsid w:val="00A57180"/>
    <w:rsid w:val="00A579A0"/>
    <w:rsid w:val="00A669EB"/>
    <w:rsid w:val="00A71C4D"/>
    <w:rsid w:val="00A75DF3"/>
    <w:rsid w:val="00A84119"/>
    <w:rsid w:val="00A84EAD"/>
    <w:rsid w:val="00A85315"/>
    <w:rsid w:val="00A92845"/>
    <w:rsid w:val="00AB07C7"/>
    <w:rsid w:val="00AB1912"/>
    <w:rsid w:val="00AB5608"/>
    <w:rsid w:val="00AB600E"/>
    <w:rsid w:val="00AB63DF"/>
    <w:rsid w:val="00AB7EFA"/>
    <w:rsid w:val="00AC1288"/>
    <w:rsid w:val="00AC4882"/>
    <w:rsid w:val="00AC6227"/>
    <w:rsid w:val="00AD1677"/>
    <w:rsid w:val="00AD1E02"/>
    <w:rsid w:val="00AE15CB"/>
    <w:rsid w:val="00AE6331"/>
    <w:rsid w:val="00AF131F"/>
    <w:rsid w:val="00AF17E8"/>
    <w:rsid w:val="00AF4A94"/>
    <w:rsid w:val="00AF6FA4"/>
    <w:rsid w:val="00B00FB9"/>
    <w:rsid w:val="00B05F25"/>
    <w:rsid w:val="00B06800"/>
    <w:rsid w:val="00B07840"/>
    <w:rsid w:val="00B07D9E"/>
    <w:rsid w:val="00B101D8"/>
    <w:rsid w:val="00B101EE"/>
    <w:rsid w:val="00B1401D"/>
    <w:rsid w:val="00B151FE"/>
    <w:rsid w:val="00B15375"/>
    <w:rsid w:val="00B165ED"/>
    <w:rsid w:val="00B22C78"/>
    <w:rsid w:val="00B248A3"/>
    <w:rsid w:val="00B26C13"/>
    <w:rsid w:val="00B27879"/>
    <w:rsid w:val="00B30DB9"/>
    <w:rsid w:val="00B3232F"/>
    <w:rsid w:val="00B3413E"/>
    <w:rsid w:val="00B3554C"/>
    <w:rsid w:val="00B37CE1"/>
    <w:rsid w:val="00B37EA7"/>
    <w:rsid w:val="00B37F43"/>
    <w:rsid w:val="00B419E1"/>
    <w:rsid w:val="00B4446F"/>
    <w:rsid w:val="00B44863"/>
    <w:rsid w:val="00B456F0"/>
    <w:rsid w:val="00B50DF5"/>
    <w:rsid w:val="00B5168C"/>
    <w:rsid w:val="00B57348"/>
    <w:rsid w:val="00B6005C"/>
    <w:rsid w:val="00B6221B"/>
    <w:rsid w:val="00B63513"/>
    <w:rsid w:val="00B65906"/>
    <w:rsid w:val="00B65968"/>
    <w:rsid w:val="00B65D90"/>
    <w:rsid w:val="00B66D6D"/>
    <w:rsid w:val="00B67C2D"/>
    <w:rsid w:val="00B712AF"/>
    <w:rsid w:val="00B7382D"/>
    <w:rsid w:val="00B74312"/>
    <w:rsid w:val="00B74469"/>
    <w:rsid w:val="00B745D0"/>
    <w:rsid w:val="00B76194"/>
    <w:rsid w:val="00B764CC"/>
    <w:rsid w:val="00B80C4E"/>
    <w:rsid w:val="00B84597"/>
    <w:rsid w:val="00B86443"/>
    <w:rsid w:val="00B86E8C"/>
    <w:rsid w:val="00B906F3"/>
    <w:rsid w:val="00B91164"/>
    <w:rsid w:val="00B92AC6"/>
    <w:rsid w:val="00B9402C"/>
    <w:rsid w:val="00BA20FA"/>
    <w:rsid w:val="00BA5AD0"/>
    <w:rsid w:val="00BB27BB"/>
    <w:rsid w:val="00BB47E0"/>
    <w:rsid w:val="00BC1A47"/>
    <w:rsid w:val="00BC1E90"/>
    <w:rsid w:val="00BC240F"/>
    <w:rsid w:val="00BC3C3E"/>
    <w:rsid w:val="00BC3D2A"/>
    <w:rsid w:val="00BC5B4F"/>
    <w:rsid w:val="00BC681E"/>
    <w:rsid w:val="00BD23E0"/>
    <w:rsid w:val="00BD2C82"/>
    <w:rsid w:val="00BD4EAA"/>
    <w:rsid w:val="00BD6A85"/>
    <w:rsid w:val="00BD7C6B"/>
    <w:rsid w:val="00BE2594"/>
    <w:rsid w:val="00BE7461"/>
    <w:rsid w:val="00BF0A95"/>
    <w:rsid w:val="00BF0C19"/>
    <w:rsid w:val="00BF18C3"/>
    <w:rsid w:val="00BF3303"/>
    <w:rsid w:val="00BF500A"/>
    <w:rsid w:val="00BF796F"/>
    <w:rsid w:val="00C00B2B"/>
    <w:rsid w:val="00C02554"/>
    <w:rsid w:val="00C0508C"/>
    <w:rsid w:val="00C059F7"/>
    <w:rsid w:val="00C05EC2"/>
    <w:rsid w:val="00C0652F"/>
    <w:rsid w:val="00C074AA"/>
    <w:rsid w:val="00C11393"/>
    <w:rsid w:val="00C13E95"/>
    <w:rsid w:val="00C156EB"/>
    <w:rsid w:val="00C15A8B"/>
    <w:rsid w:val="00C15D0B"/>
    <w:rsid w:val="00C17639"/>
    <w:rsid w:val="00C22A72"/>
    <w:rsid w:val="00C243D5"/>
    <w:rsid w:val="00C25767"/>
    <w:rsid w:val="00C26AE9"/>
    <w:rsid w:val="00C30B97"/>
    <w:rsid w:val="00C346EC"/>
    <w:rsid w:val="00C34EAD"/>
    <w:rsid w:val="00C35E4B"/>
    <w:rsid w:val="00C37E3B"/>
    <w:rsid w:val="00C4164F"/>
    <w:rsid w:val="00C42F6C"/>
    <w:rsid w:val="00C4460C"/>
    <w:rsid w:val="00C46413"/>
    <w:rsid w:val="00C46A76"/>
    <w:rsid w:val="00C471E4"/>
    <w:rsid w:val="00C52AC1"/>
    <w:rsid w:val="00C53636"/>
    <w:rsid w:val="00C53BF3"/>
    <w:rsid w:val="00C549FD"/>
    <w:rsid w:val="00C557C3"/>
    <w:rsid w:val="00C6010B"/>
    <w:rsid w:val="00C607E6"/>
    <w:rsid w:val="00C653AC"/>
    <w:rsid w:val="00C66D7A"/>
    <w:rsid w:val="00C66DA6"/>
    <w:rsid w:val="00C67735"/>
    <w:rsid w:val="00C70D9D"/>
    <w:rsid w:val="00C744F3"/>
    <w:rsid w:val="00C7455D"/>
    <w:rsid w:val="00C76898"/>
    <w:rsid w:val="00C80639"/>
    <w:rsid w:val="00C8245E"/>
    <w:rsid w:val="00C834EC"/>
    <w:rsid w:val="00C85C0E"/>
    <w:rsid w:val="00C85FDD"/>
    <w:rsid w:val="00C90FAD"/>
    <w:rsid w:val="00C94812"/>
    <w:rsid w:val="00C956E1"/>
    <w:rsid w:val="00C95EBB"/>
    <w:rsid w:val="00C96B07"/>
    <w:rsid w:val="00CA197B"/>
    <w:rsid w:val="00CA2031"/>
    <w:rsid w:val="00CA2383"/>
    <w:rsid w:val="00CA27C7"/>
    <w:rsid w:val="00CA294E"/>
    <w:rsid w:val="00CA2FB0"/>
    <w:rsid w:val="00CA37EA"/>
    <w:rsid w:val="00CA61CB"/>
    <w:rsid w:val="00CA695D"/>
    <w:rsid w:val="00CA71E8"/>
    <w:rsid w:val="00CB0CFF"/>
    <w:rsid w:val="00CB21BE"/>
    <w:rsid w:val="00CB2276"/>
    <w:rsid w:val="00CB238F"/>
    <w:rsid w:val="00CB2852"/>
    <w:rsid w:val="00CB2E1C"/>
    <w:rsid w:val="00CB7852"/>
    <w:rsid w:val="00CB7859"/>
    <w:rsid w:val="00CC0813"/>
    <w:rsid w:val="00CC1020"/>
    <w:rsid w:val="00CC1A5B"/>
    <w:rsid w:val="00CC1AF3"/>
    <w:rsid w:val="00CC340B"/>
    <w:rsid w:val="00CC50B9"/>
    <w:rsid w:val="00CC7667"/>
    <w:rsid w:val="00CC7EEA"/>
    <w:rsid w:val="00CD0841"/>
    <w:rsid w:val="00CD375E"/>
    <w:rsid w:val="00CD5704"/>
    <w:rsid w:val="00CD58C5"/>
    <w:rsid w:val="00CD6144"/>
    <w:rsid w:val="00CD6BD0"/>
    <w:rsid w:val="00CD79A5"/>
    <w:rsid w:val="00CD7FEB"/>
    <w:rsid w:val="00CE2255"/>
    <w:rsid w:val="00CE2F09"/>
    <w:rsid w:val="00CE65C5"/>
    <w:rsid w:val="00CE7C95"/>
    <w:rsid w:val="00CF060A"/>
    <w:rsid w:val="00CF1728"/>
    <w:rsid w:val="00CF69A8"/>
    <w:rsid w:val="00CF7149"/>
    <w:rsid w:val="00CF7910"/>
    <w:rsid w:val="00D02C62"/>
    <w:rsid w:val="00D03885"/>
    <w:rsid w:val="00D055E3"/>
    <w:rsid w:val="00D0649A"/>
    <w:rsid w:val="00D072B6"/>
    <w:rsid w:val="00D10F90"/>
    <w:rsid w:val="00D13581"/>
    <w:rsid w:val="00D173F1"/>
    <w:rsid w:val="00D204F1"/>
    <w:rsid w:val="00D20913"/>
    <w:rsid w:val="00D21030"/>
    <w:rsid w:val="00D21A6B"/>
    <w:rsid w:val="00D23EE5"/>
    <w:rsid w:val="00D24EA5"/>
    <w:rsid w:val="00D31230"/>
    <w:rsid w:val="00D32308"/>
    <w:rsid w:val="00D3295E"/>
    <w:rsid w:val="00D348BF"/>
    <w:rsid w:val="00D44364"/>
    <w:rsid w:val="00D44D3D"/>
    <w:rsid w:val="00D44E7B"/>
    <w:rsid w:val="00D466FF"/>
    <w:rsid w:val="00D5028B"/>
    <w:rsid w:val="00D52EBC"/>
    <w:rsid w:val="00D5413C"/>
    <w:rsid w:val="00D542BD"/>
    <w:rsid w:val="00D57341"/>
    <w:rsid w:val="00D5787C"/>
    <w:rsid w:val="00D600A3"/>
    <w:rsid w:val="00D61298"/>
    <w:rsid w:val="00D66937"/>
    <w:rsid w:val="00D673E1"/>
    <w:rsid w:val="00D70EC3"/>
    <w:rsid w:val="00D710C4"/>
    <w:rsid w:val="00D73643"/>
    <w:rsid w:val="00D736CC"/>
    <w:rsid w:val="00D74FA7"/>
    <w:rsid w:val="00D755EB"/>
    <w:rsid w:val="00D75638"/>
    <w:rsid w:val="00D77E20"/>
    <w:rsid w:val="00D8132B"/>
    <w:rsid w:val="00D92D1B"/>
    <w:rsid w:val="00D946B5"/>
    <w:rsid w:val="00D952F4"/>
    <w:rsid w:val="00D9539A"/>
    <w:rsid w:val="00D96135"/>
    <w:rsid w:val="00D96AE6"/>
    <w:rsid w:val="00D96C76"/>
    <w:rsid w:val="00D97DAE"/>
    <w:rsid w:val="00DA24B7"/>
    <w:rsid w:val="00DA465E"/>
    <w:rsid w:val="00DA51D7"/>
    <w:rsid w:val="00DB032D"/>
    <w:rsid w:val="00DB092C"/>
    <w:rsid w:val="00DB54C6"/>
    <w:rsid w:val="00DB6A1F"/>
    <w:rsid w:val="00DB6C50"/>
    <w:rsid w:val="00DB6EF9"/>
    <w:rsid w:val="00DC0DEF"/>
    <w:rsid w:val="00DC1001"/>
    <w:rsid w:val="00DC1C20"/>
    <w:rsid w:val="00DC4628"/>
    <w:rsid w:val="00DC4E6B"/>
    <w:rsid w:val="00DD054E"/>
    <w:rsid w:val="00DD1A89"/>
    <w:rsid w:val="00DD280B"/>
    <w:rsid w:val="00DD41F5"/>
    <w:rsid w:val="00DD4889"/>
    <w:rsid w:val="00DD4EBD"/>
    <w:rsid w:val="00DD5F7C"/>
    <w:rsid w:val="00DD72B1"/>
    <w:rsid w:val="00DE0E7F"/>
    <w:rsid w:val="00DE6FE5"/>
    <w:rsid w:val="00DF246A"/>
    <w:rsid w:val="00DF4C1D"/>
    <w:rsid w:val="00DF78A6"/>
    <w:rsid w:val="00E01D6D"/>
    <w:rsid w:val="00E04C43"/>
    <w:rsid w:val="00E070D8"/>
    <w:rsid w:val="00E17548"/>
    <w:rsid w:val="00E210E5"/>
    <w:rsid w:val="00E219EB"/>
    <w:rsid w:val="00E2268B"/>
    <w:rsid w:val="00E245A7"/>
    <w:rsid w:val="00E26200"/>
    <w:rsid w:val="00E31CE1"/>
    <w:rsid w:val="00E33FCA"/>
    <w:rsid w:val="00E3476A"/>
    <w:rsid w:val="00E35686"/>
    <w:rsid w:val="00E3781A"/>
    <w:rsid w:val="00E379A6"/>
    <w:rsid w:val="00E462E7"/>
    <w:rsid w:val="00E530BF"/>
    <w:rsid w:val="00E54420"/>
    <w:rsid w:val="00E5791B"/>
    <w:rsid w:val="00E618EE"/>
    <w:rsid w:val="00E63863"/>
    <w:rsid w:val="00E63AD3"/>
    <w:rsid w:val="00E65143"/>
    <w:rsid w:val="00E661E6"/>
    <w:rsid w:val="00E7083B"/>
    <w:rsid w:val="00E73436"/>
    <w:rsid w:val="00E73977"/>
    <w:rsid w:val="00E74764"/>
    <w:rsid w:val="00E7645E"/>
    <w:rsid w:val="00E766A7"/>
    <w:rsid w:val="00E851BB"/>
    <w:rsid w:val="00E85A9B"/>
    <w:rsid w:val="00E9651A"/>
    <w:rsid w:val="00E977F0"/>
    <w:rsid w:val="00EA1005"/>
    <w:rsid w:val="00EA1110"/>
    <w:rsid w:val="00EA21E4"/>
    <w:rsid w:val="00EA2C5F"/>
    <w:rsid w:val="00EA492B"/>
    <w:rsid w:val="00EA6CB1"/>
    <w:rsid w:val="00EA7B36"/>
    <w:rsid w:val="00EA7BB4"/>
    <w:rsid w:val="00EB2943"/>
    <w:rsid w:val="00EB61B2"/>
    <w:rsid w:val="00EB7681"/>
    <w:rsid w:val="00EC73B2"/>
    <w:rsid w:val="00EC79FA"/>
    <w:rsid w:val="00EC7B7B"/>
    <w:rsid w:val="00EC7BA3"/>
    <w:rsid w:val="00ED028B"/>
    <w:rsid w:val="00ED2DF7"/>
    <w:rsid w:val="00ED4540"/>
    <w:rsid w:val="00ED5838"/>
    <w:rsid w:val="00ED7E17"/>
    <w:rsid w:val="00EE0858"/>
    <w:rsid w:val="00EE1100"/>
    <w:rsid w:val="00EE3B49"/>
    <w:rsid w:val="00EE3D85"/>
    <w:rsid w:val="00EE6882"/>
    <w:rsid w:val="00EF182A"/>
    <w:rsid w:val="00EF2519"/>
    <w:rsid w:val="00EF2FD3"/>
    <w:rsid w:val="00EF56DB"/>
    <w:rsid w:val="00EF66C8"/>
    <w:rsid w:val="00F009A9"/>
    <w:rsid w:val="00F01739"/>
    <w:rsid w:val="00F07A65"/>
    <w:rsid w:val="00F1445F"/>
    <w:rsid w:val="00F17CDB"/>
    <w:rsid w:val="00F22866"/>
    <w:rsid w:val="00F22D29"/>
    <w:rsid w:val="00F249E3"/>
    <w:rsid w:val="00F276EE"/>
    <w:rsid w:val="00F27A23"/>
    <w:rsid w:val="00F30E75"/>
    <w:rsid w:val="00F31A15"/>
    <w:rsid w:val="00F3212C"/>
    <w:rsid w:val="00F32DA6"/>
    <w:rsid w:val="00F33EEA"/>
    <w:rsid w:val="00F3535F"/>
    <w:rsid w:val="00F3692F"/>
    <w:rsid w:val="00F402C0"/>
    <w:rsid w:val="00F40E75"/>
    <w:rsid w:val="00F411A1"/>
    <w:rsid w:val="00F4422D"/>
    <w:rsid w:val="00F447DE"/>
    <w:rsid w:val="00F4564F"/>
    <w:rsid w:val="00F46C6A"/>
    <w:rsid w:val="00F47972"/>
    <w:rsid w:val="00F47AB1"/>
    <w:rsid w:val="00F51955"/>
    <w:rsid w:val="00F528EA"/>
    <w:rsid w:val="00F555AE"/>
    <w:rsid w:val="00F55AB0"/>
    <w:rsid w:val="00F61A67"/>
    <w:rsid w:val="00F63DFE"/>
    <w:rsid w:val="00F6598F"/>
    <w:rsid w:val="00F67C1C"/>
    <w:rsid w:val="00F70AA9"/>
    <w:rsid w:val="00F7300B"/>
    <w:rsid w:val="00F74E83"/>
    <w:rsid w:val="00F76AD5"/>
    <w:rsid w:val="00F76C40"/>
    <w:rsid w:val="00F77F5A"/>
    <w:rsid w:val="00F83ED7"/>
    <w:rsid w:val="00F87D9C"/>
    <w:rsid w:val="00F9314A"/>
    <w:rsid w:val="00F936A5"/>
    <w:rsid w:val="00F9651A"/>
    <w:rsid w:val="00F96F75"/>
    <w:rsid w:val="00F9782F"/>
    <w:rsid w:val="00FA09DB"/>
    <w:rsid w:val="00FB0213"/>
    <w:rsid w:val="00FB0D85"/>
    <w:rsid w:val="00FB1A24"/>
    <w:rsid w:val="00FB1B3F"/>
    <w:rsid w:val="00FB20C9"/>
    <w:rsid w:val="00FB468F"/>
    <w:rsid w:val="00FB4826"/>
    <w:rsid w:val="00FB4A98"/>
    <w:rsid w:val="00FB7B80"/>
    <w:rsid w:val="00FC0708"/>
    <w:rsid w:val="00FC2DC4"/>
    <w:rsid w:val="00FC5BBF"/>
    <w:rsid w:val="00FD5B2D"/>
    <w:rsid w:val="00FD5B49"/>
    <w:rsid w:val="00FE3D04"/>
    <w:rsid w:val="00FE4B0D"/>
    <w:rsid w:val="00FE6733"/>
    <w:rsid w:val="00FE6BEE"/>
    <w:rsid w:val="00FF2D3B"/>
    <w:rsid w:val="00FF3503"/>
    <w:rsid w:val="00FF3CF1"/>
    <w:rsid w:val="00FF45D6"/>
    <w:rsid w:val="00FF668E"/>
    <w:rsid w:val="00FF6A8D"/>
    <w:rsid w:val="00FF7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efaultImageDpi w14:val="32767"/>
  <w15:docId w15:val="{D30E3A04-AC2E-4981-9709-32CFE40D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3AC"/>
    <w:pPr>
      <w:spacing w:after="200" w:line="276" w:lineRule="auto"/>
    </w:pPr>
    <w:rPr>
      <w:rFonts w:ascii="Arial" w:eastAsiaTheme="minorEastAsia" w:hAnsi="Arial" w:cs="Arial"/>
      <w:lang w:val="en-AU" w:eastAsia="en-AU"/>
    </w:rPr>
  </w:style>
  <w:style w:type="paragraph" w:styleId="Heading1">
    <w:name w:val="heading 1"/>
    <w:basedOn w:val="Normal"/>
    <w:next w:val="Normal"/>
    <w:link w:val="Heading1Char"/>
    <w:uiPriority w:val="99"/>
    <w:qFormat/>
    <w:rsid w:val="00E04C43"/>
    <w:pPr>
      <w:keepNext/>
      <w:keepLines/>
      <w:numPr>
        <w:numId w:val="1"/>
      </w:numPr>
      <w:spacing w:before="240" w:after="0"/>
      <w:outlineLvl w:val="0"/>
    </w:pPr>
    <w:rPr>
      <w:rFonts w:ascii="Calibri" w:eastAsia="Times New Roman" w:hAnsi="Calibri" w:cs="Times New Roman"/>
      <w:b/>
      <w:bCs/>
      <w:color w:val="134A86"/>
      <w:sz w:val="28"/>
      <w:szCs w:val="28"/>
    </w:rPr>
  </w:style>
  <w:style w:type="paragraph" w:styleId="Heading2">
    <w:name w:val="heading 2"/>
    <w:basedOn w:val="Heading1"/>
    <w:next w:val="Normal"/>
    <w:link w:val="Heading2Char"/>
    <w:uiPriority w:val="99"/>
    <w:qFormat/>
    <w:rsid w:val="00857F1D"/>
    <w:pPr>
      <w:spacing w:after="240"/>
      <w:outlineLvl w:val="1"/>
    </w:pPr>
  </w:style>
  <w:style w:type="paragraph" w:styleId="Heading3">
    <w:name w:val="heading 3"/>
    <w:basedOn w:val="Normal"/>
    <w:next w:val="Normal"/>
    <w:link w:val="Heading3Char"/>
    <w:uiPriority w:val="99"/>
    <w:qFormat/>
    <w:rsid w:val="009235BA"/>
    <w:pPr>
      <w:outlineLvl w:val="2"/>
    </w:pPr>
    <w:rPr>
      <w:b/>
      <w:color w:val="2F5496" w:themeColor="accent1" w:themeShade="BF"/>
    </w:rPr>
  </w:style>
  <w:style w:type="paragraph" w:styleId="Heading4">
    <w:name w:val="heading 4"/>
    <w:basedOn w:val="Normal"/>
    <w:next w:val="Normal"/>
    <w:link w:val="Heading4Char"/>
    <w:uiPriority w:val="99"/>
    <w:qFormat/>
    <w:rsid w:val="00E04C43"/>
    <w:pPr>
      <w:keepNext/>
      <w:keepLines/>
      <w:numPr>
        <w:ilvl w:val="3"/>
        <w:numId w:val="1"/>
      </w:numPr>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9"/>
    <w:qFormat/>
    <w:rsid w:val="00E04C43"/>
    <w:pPr>
      <w:keepNext/>
      <w:keepLines/>
      <w:numPr>
        <w:ilvl w:val="4"/>
        <w:numId w:val="1"/>
      </w:numPr>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9"/>
    <w:qFormat/>
    <w:rsid w:val="00E04C43"/>
    <w:pPr>
      <w:keepNext/>
      <w:keepLines/>
      <w:numPr>
        <w:ilvl w:val="5"/>
        <w:numId w:val="1"/>
      </w:numPr>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9"/>
    <w:qFormat/>
    <w:rsid w:val="00E04C43"/>
    <w:pPr>
      <w:keepNext/>
      <w:keepLines/>
      <w:numPr>
        <w:ilvl w:val="6"/>
        <w:numId w:val="1"/>
      </w:numPr>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9"/>
    <w:qFormat/>
    <w:rsid w:val="00E04C43"/>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9"/>
    <w:qFormat/>
    <w:rsid w:val="00E04C43"/>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C43"/>
    <w:pPr>
      <w:tabs>
        <w:tab w:val="center" w:pos="4513"/>
        <w:tab w:val="right" w:pos="9026"/>
      </w:tabs>
    </w:pPr>
  </w:style>
  <w:style w:type="character" w:customStyle="1" w:styleId="HeaderChar">
    <w:name w:val="Header Char"/>
    <w:basedOn w:val="DefaultParagraphFont"/>
    <w:link w:val="Header"/>
    <w:uiPriority w:val="99"/>
    <w:rsid w:val="00E04C43"/>
  </w:style>
  <w:style w:type="paragraph" w:styleId="Footer">
    <w:name w:val="footer"/>
    <w:basedOn w:val="Normal"/>
    <w:link w:val="FooterChar"/>
    <w:uiPriority w:val="99"/>
    <w:unhideWhenUsed/>
    <w:rsid w:val="00E04C43"/>
    <w:pPr>
      <w:tabs>
        <w:tab w:val="center" w:pos="4513"/>
        <w:tab w:val="right" w:pos="9026"/>
      </w:tabs>
    </w:pPr>
  </w:style>
  <w:style w:type="character" w:customStyle="1" w:styleId="FooterChar">
    <w:name w:val="Footer Char"/>
    <w:basedOn w:val="DefaultParagraphFont"/>
    <w:link w:val="Footer"/>
    <w:uiPriority w:val="99"/>
    <w:rsid w:val="00E04C43"/>
  </w:style>
  <w:style w:type="character" w:customStyle="1" w:styleId="Heading1Char">
    <w:name w:val="Heading 1 Char"/>
    <w:basedOn w:val="DefaultParagraphFont"/>
    <w:link w:val="Heading1"/>
    <w:uiPriority w:val="99"/>
    <w:rsid w:val="00E04C43"/>
    <w:rPr>
      <w:rFonts w:ascii="Calibri" w:eastAsia="Times New Roman" w:hAnsi="Calibri" w:cs="Times New Roman"/>
      <w:b/>
      <w:bCs/>
      <w:color w:val="134A86"/>
      <w:sz w:val="28"/>
      <w:szCs w:val="28"/>
      <w:lang w:val="en-AU" w:eastAsia="en-AU"/>
    </w:rPr>
  </w:style>
  <w:style w:type="character" w:customStyle="1" w:styleId="Heading2Char">
    <w:name w:val="Heading 2 Char"/>
    <w:basedOn w:val="DefaultParagraphFont"/>
    <w:link w:val="Heading2"/>
    <w:uiPriority w:val="99"/>
    <w:rsid w:val="00857F1D"/>
    <w:rPr>
      <w:rFonts w:ascii="Calibri" w:eastAsia="Times New Roman" w:hAnsi="Calibri" w:cs="Times New Roman"/>
      <w:b/>
      <w:bCs/>
      <w:color w:val="134A86"/>
      <w:sz w:val="28"/>
      <w:szCs w:val="28"/>
      <w:lang w:val="en-AU" w:eastAsia="en-AU"/>
    </w:rPr>
  </w:style>
  <w:style w:type="character" w:customStyle="1" w:styleId="Heading3Char">
    <w:name w:val="Heading 3 Char"/>
    <w:basedOn w:val="DefaultParagraphFont"/>
    <w:link w:val="Heading3"/>
    <w:uiPriority w:val="99"/>
    <w:rsid w:val="009235BA"/>
    <w:rPr>
      <w:rFonts w:ascii="Arial" w:eastAsiaTheme="minorEastAsia" w:hAnsi="Arial" w:cs="Arial"/>
      <w:b/>
      <w:color w:val="2F5496" w:themeColor="accent1" w:themeShade="BF"/>
      <w:lang w:val="en-AU" w:eastAsia="en-AU"/>
    </w:rPr>
  </w:style>
  <w:style w:type="character" w:customStyle="1" w:styleId="Heading4Char">
    <w:name w:val="Heading 4 Char"/>
    <w:basedOn w:val="DefaultParagraphFont"/>
    <w:link w:val="Heading4"/>
    <w:uiPriority w:val="99"/>
    <w:rsid w:val="00E04C43"/>
    <w:rPr>
      <w:rFonts w:ascii="Cambria" w:eastAsia="Times New Roman" w:hAnsi="Cambria" w:cs="Times New Roman"/>
      <w:b/>
      <w:bCs/>
      <w:i/>
      <w:iCs/>
      <w:color w:val="4F81BD"/>
      <w:sz w:val="22"/>
      <w:szCs w:val="22"/>
      <w:lang w:val="en-AU" w:eastAsia="en-AU"/>
    </w:rPr>
  </w:style>
  <w:style w:type="character" w:customStyle="1" w:styleId="Heading5Char">
    <w:name w:val="Heading 5 Char"/>
    <w:basedOn w:val="DefaultParagraphFont"/>
    <w:link w:val="Heading5"/>
    <w:uiPriority w:val="99"/>
    <w:rsid w:val="00E04C43"/>
    <w:rPr>
      <w:rFonts w:ascii="Cambria" w:eastAsia="Times New Roman" w:hAnsi="Cambria" w:cs="Times New Roman"/>
      <w:color w:val="243F60"/>
      <w:sz w:val="22"/>
      <w:szCs w:val="22"/>
      <w:lang w:val="en-AU" w:eastAsia="en-AU"/>
    </w:rPr>
  </w:style>
  <w:style w:type="character" w:customStyle="1" w:styleId="Heading6Char">
    <w:name w:val="Heading 6 Char"/>
    <w:basedOn w:val="DefaultParagraphFont"/>
    <w:link w:val="Heading6"/>
    <w:uiPriority w:val="99"/>
    <w:rsid w:val="00E04C43"/>
    <w:rPr>
      <w:rFonts w:ascii="Cambria" w:eastAsia="Times New Roman" w:hAnsi="Cambria" w:cs="Times New Roman"/>
      <w:i/>
      <w:iCs/>
      <w:color w:val="243F60"/>
      <w:sz w:val="22"/>
      <w:szCs w:val="22"/>
      <w:lang w:val="en-AU" w:eastAsia="en-AU"/>
    </w:rPr>
  </w:style>
  <w:style w:type="character" w:customStyle="1" w:styleId="Heading7Char">
    <w:name w:val="Heading 7 Char"/>
    <w:basedOn w:val="DefaultParagraphFont"/>
    <w:link w:val="Heading7"/>
    <w:uiPriority w:val="99"/>
    <w:rsid w:val="00E04C43"/>
    <w:rPr>
      <w:rFonts w:ascii="Cambria" w:eastAsia="Times New Roman" w:hAnsi="Cambria" w:cs="Times New Roman"/>
      <w:i/>
      <w:iCs/>
      <w:color w:val="404040"/>
      <w:sz w:val="22"/>
      <w:szCs w:val="22"/>
      <w:lang w:val="en-AU" w:eastAsia="en-AU"/>
    </w:rPr>
  </w:style>
  <w:style w:type="character" w:customStyle="1" w:styleId="Heading8Char">
    <w:name w:val="Heading 8 Char"/>
    <w:basedOn w:val="DefaultParagraphFont"/>
    <w:link w:val="Heading8"/>
    <w:uiPriority w:val="99"/>
    <w:rsid w:val="00E04C43"/>
    <w:rPr>
      <w:rFonts w:ascii="Cambria" w:eastAsia="Times New Roman" w:hAnsi="Cambria" w:cs="Times New Roman"/>
      <w:color w:val="404040"/>
      <w:sz w:val="20"/>
      <w:szCs w:val="20"/>
      <w:lang w:val="en-AU" w:eastAsia="en-AU"/>
    </w:rPr>
  </w:style>
  <w:style w:type="character" w:customStyle="1" w:styleId="Heading9Char">
    <w:name w:val="Heading 9 Char"/>
    <w:basedOn w:val="DefaultParagraphFont"/>
    <w:link w:val="Heading9"/>
    <w:uiPriority w:val="99"/>
    <w:rsid w:val="00E04C43"/>
    <w:rPr>
      <w:rFonts w:ascii="Cambria" w:eastAsia="Times New Roman" w:hAnsi="Cambria" w:cs="Times New Roman"/>
      <w:i/>
      <w:iCs/>
      <w:color w:val="404040"/>
      <w:sz w:val="20"/>
      <w:szCs w:val="20"/>
      <w:lang w:val="en-AU" w:eastAsia="en-AU"/>
    </w:rPr>
  </w:style>
  <w:style w:type="character" w:styleId="Hyperlink">
    <w:name w:val="Hyperlink"/>
    <w:basedOn w:val="DefaultParagraphFont"/>
    <w:uiPriority w:val="99"/>
    <w:unhideWhenUsed/>
    <w:rsid w:val="00E04C43"/>
    <w:rPr>
      <w:color w:val="0563C1" w:themeColor="hyperlink"/>
      <w:u w:val="single"/>
    </w:rPr>
  </w:style>
  <w:style w:type="paragraph" w:styleId="ListParagraph">
    <w:name w:val="List Paragraph"/>
    <w:basedOn w:val="Normal"/>
    <w:uiPriority w:val="99"/>
    <w:qFormat/>
    <w:rsid w:val="005D571D"/>
    <w:pPr>
      <w:ind w:left="720"/>
      <w:contextualSpacing/>
    </w:pPr>
  </w:style>
  <w:style w:type="paragraph" w:styleId="FootnoteText">
    <w:name w:val="footnote text"/>
    <w:basedOn w:val="Normal"/>
    <w:link w:val="FootnoteTextChar"/>
    <w:uiPriority w:val="99"/>
    <w:unhideWhenUsed/>
    <w:rsid w:val="00E04C4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E04C43"/>
    <w:rPr>
      <w:rFonts w:ascii="Calibri" w:eastAsia="Calibri" w:hAnsi="Calibri" w:cs="Times New Roman"/>
      <w:sz w:val="20"/>
      <w:szCs w:val="20"/>
      <w:lang w:val="en-AU" w:eastAsia="en-AU"/>
    </w:rPr>
  </w:style>
  <w:style w:type="character" w:styleId="FootnoteReference">
    <w:name w:val="footnote reference"/>
    <w:basedOn w:val="DefaultParagraphFont"/>
    <w:uiPriority w:val="99"/>
    <w:unhideWhenUsed/>
    <w:rsid w:val="00E04C43"/>
    <w:rPr>
      <w:vertAlign w:val="superscript"/>
    </w:rPr>
  </w:style>
  <w:style w:type="paragraph" w:customStyle="1" w:styleId="Paragraph">
    <w:name w:val="Paragraph"/>
    <w:basedOn w:val="Normal"/>
    <w:link w:val="ParagraphChar"/>
    <w:qFormat/>
    <w:rsid w:val="00E04C43"/>
    <w:pPr>
      <w:jc w:val="both"/>
    </w:pPr>
  </w:style>
  <w:style w:type="character" w:customStyle="1" w:styleId="ParagraphChar">
    <w:name w:val="Paragraph Char"/>
    <w:basedOn w:val="DefaultParagraphFont"/>
    <w:link w:val="Paragraph"/>
    <w:rsid w:val="00E04C43"/>
    <w:rPr>
      <w:rFonts w:eastAsiaTheme="minorEastAsia"/>
      <w:sz w:val="22"/>
      <w:szCs w:val="22"/>
      <w:lang w:val="en-AU" w:eastAsia="en-AU"/>
    </w:rPr>
  </w:style>
  <w:style w:type="character" w:styleId="PlaceholderText">
    <w:name w:val="Placeholder Text"/>
    <w:basedOn w:val="DefaultParagraphFont"/>
    <w:uiPriority w:val="99"/>
    <w:semiHidden/>
    <w:rsid w:val="00E04C43"/>
    <w:rPr>
      <w:color w:val="808080"/>
    </w:rPr>
  </w:style>
  <w:style w:type="table" w:styleId="TableGrid">
    <w:name w:val="Table Grid"/>
    <w:basedOn w:val="TableNormal"/>
    <w:uiPriority w:val="39"/>
    <w:rsid w:val="00D0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B1B42"/>
  </w:style>
  <w:style w:type="paragraph" w:styleId="Title">
    <w:name w:val="Title"/>
    <w:basedOn w:val="Normal"/>
    <w:next w:val="Normal"/>
    <w:link w:val="TitleChar"/>
    <w:uiPriority w:val="10"/>
    <w:qFormat/>
    <w:rsid w:val="000A71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71F2"/>
    <w:rPr>
      <w:rFonts w:asciiTheme="majorHAnsi" w:eastAsiaTheme="majorEastAsia" w:hAnsiTheme="majorHAnsi" w:cstheme="majorBidi"/>
      <w:spacing w:val="-10"/>
      <w:kern w:val="28"/>
      <w:sz w:val="56"/>
      <w:szCs w:val="56"/>
      <w:lang w:val="en-AU" w:eastAsia="en-AU"/>
    </w:rPr>
  </w:style>
  <w:style w:type="paragraph" w:styleId="Caption">
    <w:name w:val="caption"/>
    <w:basedOn w:val="Normal"/>
    <w:next w:val="Normal"/>
    <w:uiPriority w:val="35"/>
    <w:unhideWhenUsed/>
    <w:qFormat/>
    <w:rsid w:val="00C6010B"/>
    <w:pPr>
      <w:spacing w:line="240" w:lineRule="auto"/>
    </w:pPr>
    <w:rPr>
      <w:i/>
      <w:iCs/>
      <w:color w:val="44546A" w:themeColor="text2"/>
      <w:sz w:val="18"/>
      <w:szCs w:val="18"/>
    </w:rPr>
  </w:style>
  <w:style w:type="paragraph" w:styleId="TOCHeading">
    <w:name w:val="TOC Heading"/>
    <w:basedOn w:val="Heading1"/>
    <w:next w:val="Normal"/>
    <w:uiPriority w:val="39"/>
    <w:unhideWhenUsed/>
    <w:qFormat/>
    <w:rsid w:val="00755155"/>
    <w:pPr>
      <w:numPr>
        <w:numId w:val="0"/>
      </w:numPr>
      <w:spacing w:before="480"/>
      <w:outlineLvl w:val="9"/>
    </w:pPr>
    <w:rPr>
      <w:rFonts w:asciiTheme="majorHAnsi" w:eastAsiaTheme="majorEastAsia" w:hAnsiTheme="majorHAnsi" w:cstheme="majorBidi"/>
      <w:color w:val="2F5496" w:themeColor="accent1" w:themeShade="BF"/>
      <w:lang w:val="en-US" w:eastAsia="en-US"/>
    </w:rPr>
  </w:style>
  <w:style w:type="paragraph" w:styleId="TOC1">
    <w:name w:val="toc 1"/>
    <w:basedOn w:val="Normal"/>
    <w:next w:val="Normal"/>
    <w:autoRedefine/>
    <w:uiPriority w:val="39"/>
    <w:unhideWhenUsed/>
    <w:rsid w:val="00755155"/>
    <w:pPr>
      <w:spacing w:before="120" w:after="0"/>
    </w:pPr>
    <w:rPr>
      <w:rFonts w:asciiTheme="majorHAnsi" w:hAnsiTheme="majorHAnsi"/>
      <w:b/>
      <w:bCs/>
      <w:color w:val="548DD4"/>
    </w:rPr>
  </w:style>
  <w:style w:type="paragraph" w:styleId="TOC2">
    <w:name w:val="toc 2"/>
    <w:basedOn w:val="Normal"/>
    <w:next w:val="Normal"/>
    <w:autoRedefine/>
    <w:uiPriority w:val="39"/>
    <w:unhideWhenUsed/>
    <w:rsid w:val="00755155"/>
    <w:pPr>
      <w:spacing w:after="0"/>
    </w:pPr>
    <w:rPr>
      <w:rFonts w:asciiTheme="minorHAnsi" w:hAnsiTheme="minorHAnsi"/>
      <w:sz w:val="22"/>
      <w:szCs w:val="22"/>
    </w:rPr>
  </w:style>
  <w:style w:type="paragraph" w:styleId="TOC3">
    <w:name w:val="toc 3"/>
    <w:basedOn w:val="Normal"/>
    <w:next w:val="Normal"/>
    <w:autoRedefine/>
    <w:uiPriority w:val="39"/>
    <w:unhideWhenUsed/>
    <w:rsid w:val="00755155"/>
    <w:pPr>
      <w:spacing w:after="0"/>
      <w:ind w:left="240"/>
    </w:pPr>
    <w:rPr>
      <w:rFonts w:asciiTheme="minorHAnsi" w:hAnsiTheme="minorHAnsi"/>
      <w:i/>
      <w:iCs/>
      <w:sz w:val="22"/>
      <w:szCs w:val="22"/>
    </w:rPr>
  </w:style>
  <w:style w:type="paragraph" w:styleId="TOC4">
    <w:name w:val="toc 4"/>
    <w:basedOn w:val="Normal"/>
    <w:next w:val="Normal"/>
    <w:autoRedefine/>
    <w:uiPriority w:val="39"/>
    <w:unhideWhenUsed/>
    <w:rsid w:val="00755155"/>
    <w:pPr>
      <w:pBdr>
        <w:between w:val="double" w:sz="6" w:space="0" w:color="auto"/>
      </w:pBd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755155"/>
    <w:pPr>
      <w:pBdr>
        <w:between w:val="double" w:sz="6" w:space="0" w:color="auto"/>
      </w:pBd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755155"/>
    <w:pPr>
      <w:pBdr>
        <w:between w:val="double" w:sz="6" w:space="0" w:color="auto"/>
      </w:pBd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755155"/>
    <w:pPr>
      <w:pBdr>
        <w:between w:val="double" w:sz="6" w:space="0" w:color="auto"/>
      </w:pBd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755155"/>
    <w:pPr>
      <w:pBdr>
        <w:between w:val="double" w:sz="6" w:space="0" w:color="auto"/>
      </w:pBd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755155"/>
    <w:pPr>
      <w:pBdr>
        <w:between w:val="double" w:sz="6" w:space="0" w:color="auto"/>
      </w:pBdr>
      <w:spacing w:after="0"/>
      <w:ind w:left="1680"/>
    </w:pPr>
    <w:rPr>
      <w:rFonts w:asciiTheme="minorHAnsi" w:hAnsiTheme="minorHAnsi"/>
      <w:sz w:val="20"/>
      <w:szCs w:val="20"/>
    </w:rPr>
  </w:style>
  <w:style w:type="paragraph" w:styleId="NoSpacing">
    <w:name w:val="No Spacing"/>
    <w:uiPriority w:val="1"/>
    <w:qFormat/>
    <w:rsid w:val="005B55AD"/>
    <w:rPr>
      <w:rFonts w:eastAsiaTheme="minorEastAsia"/>
      <w:sz w:val="22"/>
      <w:szCs w:val="22"/>
      <w:lang w:val="en-AU" w:eastAsia="en-AU"/>
    </w:rPr>
  </w:style>
  <w:style w:type="paragraph" w:styleId="BalloonText">
    <w:name w:val="Balloon Text"/>
    <w:basedOn w:val="Normal"/>
    <w:link w:val="BalloonTextChar"/>
    <w:uiPriority w:val="99"/>
    <w:semiHidden/>
    <w:unhideWhenUsed/>
    <w:rsid w:val="00385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399"/>
    <w:rPr>
      <w:rFonts w:ascii="Segoe UI" w:eastAsiaTheme="minorEastAsia" w:hAnsi="Segoe UI" w:cs="Segoe UI"/>
      <w:sz w:val="18"/>
      <w:szCs w:val="18"/>
      <w:lang w:val="en-AU" w:eastAsia="en-AU"/>
    </w:rPr>
  </w:style>
  <w:style w:type="paragraph" w:customStyle="1" w:styleId="Stongheadinglarge">
    <w:name w:val="Stong heading large"/>
    <w:basedOn w:val="Normal"/>
    <w:qFormat/>
    <w:rsid w:val="00223AA1"/>
    <w:pPr>
      <w:spacing w:after="60"/>
      <w:jc w:val="both"/>
    </w:pPr>
    <w:rPr>
      <w:rFonts w:ascii="Calibri" w:eastAsia="Calibri" w:hAnsi="Calibri" w:cs="Times New Roman"/>
      <w:b/>
      <w:sz w:val="28"/>
      <w:lang w:eastAsia="en-US"/>
    </w:rPr>
  </w:style>
  <w:style w:type="character" w:styleId="Strong">
    <w:name w:val="Strong"/>
    <w:basedOn w:val="DefaultParagraphFont"/>
    <w:autoRedefine/>
    <w:uiPriority w:val="22"/>
    <w:qFormat/>
    <w:rsid w:val="00C744F3"/>
    <w:rPr>
      <w:b/>
      <w:bCs/>
    </w:rPr>
  </w:style>
  <w:style w:type="character" w:styleId="CommentReference">
    <w:name w:val="annotation reference"/>
    <w:basedOn w:val="DefaultParagraphFont"/>
    <w:uiPriority w:val="99"/>
    <w:semiHidden/>
    <w:unhideWhenUsed/>
    <w:rsid w:val="00232889"/>
    <w:rPr>
      <w:sz w:val="18"/>
      <w:szCs w:val="18"/>
    </w:rPr>
  </w:style>
  <w:style w:type="paragraph" w:styleId="CommentText">
    <w:name w:val="annotation text"/>
    <w:basedOn w:val="Normal"/>
    <w:link w:val="CommentTextChar"/>
    <w:uiPriority w:val="99"/>
    <w:unhideWhenUsed/>
    <w:rsid w:val="00232889"/>
    <w:pPr>
      <w:spacing w:line="240" w:lineRule="auto"/>
    </w:pPr>
  </w:style>
  <w:style w:type="character" w:customStyle="1" w:styleId="CommentTextChar">
    <w:name w:val="Comment Text Char"/>
    <w:basedOn w:val="DefaultParagraphFont"/>
    <w:link w:val="CommentText"/>
    <w:uiPriority w:val="99"/>
    <w:rsid w:val="00232889"/>
    <w:rPr>
      <w:rFonts w:eastAsiaTheme="minorEastAsia"/>
      <w:lang w:val="en-AU" w:eastAsia="en-AU"/>
    </w:rPr>
  </w:style>
  <w:style w:type="paragraph" w:styleId="CommentSubject">
    <w:name w:val="annotation subject"/>
    <w:basedOn w:val="CommentText"/>
    <w:next w:val="CommentText"/>
    <w:link w:val="CommentSubjectChar"/>
    <w:uiPriority w:val="99"/>
    <w:semiHidden/>
    <w:unhideWhenUsed/>
    <w:rsid w:val="00232889"/>
    <w:rPr>
      <w:b/>
      <w:bCs/>
      <w:sz w:val="20"/>
      <w:szCs w:val="20"/>
    </w:rPr>
  </w:style>
  <w:style w:type="character" w:customStyle="1" w:styleId="CommentSubjectChar">
    <w:name w:val="Comment Subject Char"/>
    <w:basedOn w:val="CommentTextChar"/>
    <w:link w:val="CommentSubject"/>
    <w:uiPriority w:val="99"/>
    <w:semiHidden/>
    <w:rsid w:val="00232889"/>
    <w:rPr>
      <w:rFonts w:eastAsiaTheme="minorEastAsia"/>
      <w:b/>
      <w:bCs/>
      <w:sz w:val="20"/>
      <w:szCs w:val="20"/>
      <w:lang w:val="en-AU" w:eastAsia="en-AU"/>
    </w:rPr>
  </w:style>
  <w:style w:type="paragraph" w:customStyle="1" w:styleId="Strongheadingsmall">
    <w:name w:val="Strong heading small"/>
    <w:basedOn w:val="Stongheadinglarge"/>
    <w:qFormat/>
    <w:rsid w:val="005875F4"/>
    <w:rPr>
      <w:sz w:val="24"/>
    </w:rPr>
  </w:style>
  <w:style w:type="paragraph" w:customStyle="1" w:styleId="Normalprelist">
    <w:name w:val="Normal pre list"/>
    <w:basedOn w:val="Normal"/>
    <w:qFormat/>
    <w:rsid w:val="00FF45D6"/>
    <w:pPr>
      <w:spacing w:after="60"/>
    </w:pPr>
  </w:style>
  <w:style w:type="paragraph" w:styleId="Revision">
    <w:name w:val="Revision"/>
    <w:hidden/>
    <w:uiPriority w:val="99"/>
    <w:semiHidden/>
    <w:rsid w:val="00DA24B7"/>
    <w:rPr>
      <w:rFonts w:ascii="Arial" w:eastAsiaTheme="minorEastAsia" w:hAnsi="Arial" w:cs="Arial"/>
      <w:lang w:val="en-AU" w:eastAsia="en-AU"/>
    </w:rPr>
  </w:style>
  <w:style w:type="paragraph" w:styleId="NormalWeb">
    <w:name w:val="Normal (Web)"/>
    <w:basedOn w:val="Normal"/>
    <w:uiPriority w:val="99"/>
    <w:unhideWhenUsed/>
    <w:rsid w:val="00494978"/>
    <w:pPr>
      <w:spacing w:before="100" w:beforeAutospacing="1" w:after="100" w:afterAutospacing="1" w:line="240" w:lineRule="auto"/>
    </w:pPr>
    <w:rPr>
      <w:rFonts w:ascii="Times New Roman" w:eastAsia="Times New Roman" w:hAnsi="Times New Roman" w:cs="Times New Roman"/>
    </w:rPr>
  </w:style>
  <w:style w:type="paragraph" w:customStyle="1" w:styleId="Heading1nonumber">
    <w:name w:val="Heading 1 no number"/>
    <w:basedOn w:val="Heading1"/>
    <w:rsid w:val="002323CB"/>
    <w:pPr>
      <w:numPr>
        <w:numId w:val="0"/>
      </w:numPr>
    </w:pPr>
  </w:style>
  <w:style w:type="paragraph" w:customStyle="1" w:styleId="Appendixheading">
    <w:name w:val="Appendix heading"/>
    <w:basedOn w:val="Heading1"/>
    <w:link w:val="AppendixheadingChar"/>
    <w:qFormat/>
    <w:rsid w:val="004F082F"/>
    <w:pPr>
      <w:numPr>
        <w:numId w:val="0"/>
      </w:numPr>
      <w:spacing w:before="480"/>
      <w:jc w:val="both"/>
    </w:pPr>
  </w:style>
  <w:style w:type="character" w:customStyle="1" w:styleId="AppendixheadingChar">
    <w:name w:val="Appendix heading Char"/>
    <w:basedOn w:val="Heading1Char"/>
    <w:link w:val="Appendixheading"/>
    <w:rsid w:val="004F082F"/>
    <w:rPr>
      <w:rFonts w:ascii="Calibri" w:eastAsia="Times New Roman" w:hAnsi="Calibri" w:cs="Times New Roman"/>
      <w:b/>
      <w:bCs/>
      <w:color w:val="134A86"/>
      <w:sz w:val="28"/>
      <w:szCs w:val="28"/>
      <w:lang w:val="en-AU" w:eastAsia="en-AU"/>
    </w:rPr>
  </w:style>
  <w:style w:type="paragraph" w:customStyle="1" w:styleId="AppendixL2">
    <w:name w:val="Appendix L2"/>
    <w:basedOn w:val="Heading2"/>
    <w:link w:val="AppendixL2Char"/>
    <w:qFormat/>
    <w:rsid w:val="00BD23E0"/>
    <w:pPr>
      <w:numPr>
        <w:numId w:val="0"/>
      </w:numPr>
      <w:spacing w:after="120"/>
      <w:jc w:val="both"/>
      <w:outlineLvl w:val="9"/>
    </w:pPr>
    <w:rPr>
      <w:sz w:val="26"/>
      <w:szCs w:val="26"/>
    </w:rPr>
  </w:style>
  <w:style w:type="character" w:customStyle="1" w:styleId="AppendixL2Char">
    <w:name w:val="Appendix L2 Char"/>
    <w:basedOn w:val="Heading2Char"/>
    <w:link w:val="AppendixL2"/>
    <w:rsid w:val="00BD23E0"/>
    <w:rPr>
      <w:rFonts w:ascii="Calibri" w:eastAsia="Times New Roman" w:hAnsi="Calibri" w:cs="Times New Roman"/>
      <w:b/>
      <w:bCs/>
      <w:color w:val="134A86"/>
      <w:sz w:val="26"/>
      <w:szCs w:val="26"/>
      <w:lang w:val="en-AU" w:eastAsia="en-AU"/>
    </w:rPr>
  </w:style>
  <w:style w:type="character" w:styleId="FollowedHyperlink">
    <w:name w:val="FollowedHyperlink"/>
    <w:basedOn w:val="DefaultParagraphFont"/>
    <w:uiPriority w:val="99"/>
    <w:semiHidden/>
    <w:unhideWhenUsed/>
    <w:rsid w:val="00151B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25304">
      <w:bodyDiv w:val="1"/>
      <w:marLeft w:val="0"/>
      <w:marRight w:val="0"/>
      <w:marTop w:val="0"/>
      <w:marBottom w:val="0"/>
      <w:divBdr>
        <w:top w:val="none" w:sz="0" w:space="0" w:color="auto"/>
        <w:left w:val="none" w:sz="0" w:space="0" w:color="auto"/>
        <w:bottom w:val="none" w:sz="0" w:space="0" w:color="auto"/>
        <w:right w:val="none" w:sz="0" w:space="0" w:color="auto"/>
      </w:divBdr>
    </w:div>
    <w:div w:id="1171606148">
      <w:bodyDiv w:val="1"/>
      <w:marLeft w:val="0"/>
      <w:marRight w:val="0"/>
      <w:marTop w:val="0"/>
      <w:marBottom w:val="0"/>
      <w:divBdr>
        <w:top w:val="none" w:sz="0" w:space="0" w:color="auto"/>
        <w:left w:val="none" w:sz="0" w:space="0" w:color="auto"/>
        <w:bottom w:val="none" w:sz="0" w:space="0" w:color="auto"/>
        <w:right w:val="none" w:sz="0" w:space="0" w:color="auto"/>
      </w:divBdr>
    </w:div>
    <w:div w:id="1318529817">
      <w:bodyDiv w:val="1"/>
      <w:marLeft w:val="0"/>
      <w:marRight w:val="0"/>
      <w:marTop w:val="0"/>
      <w:marBottom w:val="0"/>
      <w:divBdr>
        <w:top w:val="none" w:sz="0" w:space="0" w:color="auto"/>
        <w:left w:val="none" w:sz="0" w:space="0" w:color="auto"/>
        <w:bottom w:val="none" w:sz="0" w:space="0" w:color="auto"/>
        <w:right w:val="none" w:sz="0" w:space="0" w:color="auto"/>
      </w:divBdr>
    </w:div>
    <w:div w:id="1328439820">
      <w:bodyDiv w:val="1"/>
      <w:marLeft w:val="0"/>
      <w:marRight w:val="0"/>
      <w:marTop w:val="0"/>
      <w:marBottom w:val="0"/>
      <w:divBdr>
        <w:top w:val="none" w:sz="0" w:space="0" w:color="auto"/>
        <w:left w:val="none" w:sz="0" w:space="0" w:color="auto"/>
        <w:bottom w:val="none" w:sz="0" w:space="0" w:color="auto"/>
        <w:right w:val="none" w:sz="0" w:space="0" w:color="auto"/>
      </w:divBdr>
    </w:div>
    <w:div w:id="2026323914">
      <w:bodyDiv w:val="1"/>
      <w:marLeft w:val="0"/>
      <w:marRight w:val="0"/>
      <w:marTop w:val="0"/>
      <w:marBottom w:val="0"/>
      <w:divBdr>
        <w:top w:val="none" w:sz="0" w:space="0" w:color="auto"/>
        <w:left w:val="none" w:sz="0" w:space="0" w:color="auto"/>
        <w:bottom w:val="none" w:sz="0" w:space="0" w:color="auto"/>
        <w:right w:val="none" w:sz="0" w:space="0" w:color="auto"/>
      </w:divBdr>
    </w:div>
    <w:div w:id="2102336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AB4778-4352-44A0-ABAD-13694FA3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A3639F25.dotm</Template>
  <TotalTime>42</TotalTime>
  <Pages>28</Pages>
  <Words>7530</Words>
  <Characters>42924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Alcorso</dc:creator>
  <cp:lastModifiedBy>Alexandra Millar</cp:lastModifiedBy>
  <cp:revision>21</cp:revision>
  <cp:lastPrinted>2017-07-19T23:53:00Z</cp:lastPrinted>
  <dcterms:created xsi:type="dcterms:W3CDTF">2017-08-16T07:53:00Z</dcterms:created>
  <dcterms:modified xsi:type="dcterms:W3CDTF">2018-02-20T05:04:00Z</dcterms:modified>
</cp:coreProperties>
</file>