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565" w:rsidRDefault="00631C00" w:rsidP="006E21A3">
      <w:pPr>
        <w:jc w:val="center"/>
        <w:rPr>
          <w:b/>
        </w:rPr>
      </w:pPr>
      <w:r>
        <w:rPr>
          <w:b/>
        </w:rPr>
        <w:t xml:space="preserve">National </w:t>
      </w:r>
      <w:r w:rsidR="00721565">
        <w:rPr>
          <w:b/>
        </w:rPr>
        <w:t xml:space="preserve">Standards for </w:t>
      </w:r>
      <w:r>
        <w:rPr>
          <w:b/>
        </w:rPr>
        <w:t>Disability Standards</w:t>
      </w:r>
      <w:r w:rsidR="006E21A3" w:rsidRPr="006E21A3">
        <w:rPr>
          <w:b/>
        </w:rPr>
        <w:t xml:space="preserve"> Toolkit</w:t>
      </w:r>
      <w:r w:rsidR="0020516C">
        <w:rPr>
          <w:b/>
        </w:rPr>
        <w:t xml:space="preserve">: </w:t>
      </w:r>
    </w:p>
    <w:p w:rsidR="006E21A3" w:rsidRDefault="0020516C" w:rsidP="006E21A3">
      <w:pPr>
        <w:jc w:val="center"/>
        <w:rPr>
          <w:b/>
        </w:rPr>
      </w:pPr>
      <w:r>
        <w:rPr>
          <w:b/>
        </w:rPr>
        <w:t>templates and resources list</w:t>
      </w:r>
    </w:p>
    <w:p w:rsidR="00631C00" w:rsidRDefault="00631C00" w:rsidP="006E21A3">
      <w:pPr>
        <w:jc w:val="center"/>
        <w:rPr>
          <w:b/>
        </w:rPr>
      </w:pPr>
    </w:p>
    <w:p w:rsidR="00CA10A9" w:rsidRDefault="00CA10A9" w:rsidP="00CA10A9">
      <w:pPr>
        <w:shd w:val="clear" w:color="auto" w:fill="FFFFFF"/>
        <w:spacing w:after="0" w:line="600" w:lineRule="atLeast"/>
        <w:outlineLvl w:val="0"/>
        <w:rPr>
          <w:rFonts w:eastAsia="Times New Roman" w:cs="Arial"/>
          <w:b/>
          <w:bCs/>
          <w:color w:val="6EBB1F"/>
          <w:kern w:val="36"/>
          <w:sz w:val="63"/>
          <w:szCs w:val="63"/>
          <w:lang w:eastAsia="en-AU"/>
        </w:rPr>
      </w:pPr>
      <w:r w:rsidRPr="00CA10A9">
        <w:rPr>
          <w:rFonts w:eastAsia="Times New Roman" w:cs="Arial"/>
          <w:b/>
          <w:bCs/>
          <w:color w:val="6EBB1F"/>
          <w:kern w:val="36"/>
          <w:sz w:val="63"/>
          <w:szCs w:val="63"/>
          <w:lang w:eastAsia="en-AU"/>
        </w:rPr>
        <w:t>How to use this toolkit</w:t>
      </w:r>
    </w:p>
    <w:p w:rsidR="00CA10A9" w:rsidRPr="00CA10A9" w:rsidRDefault="00CA10A9" w:rsidP="00CA10A9">
      <w:pPr>
        <w:shd w:val="clear" w:color="auto" w:fill="FFFFFF"/>
        <w:spacing w:after="0" w:line="270" w:lineRule="atLeast"/>
        <w:rPr>
          <w:rFonts w:eastAsia="Times New Roman" w:cs="Arial"/>
          <w:b/>
          <w:bCs/>
          <w:szCs w:val="24"/>
          <w:lang w:eastAsia="en-AU"/>
        </w:rPr>
      </w:pPr>
    </w:p>
    <w:p w:rsidR="00CA10A9" w:rsidRPr="00CA10A9" w:rsidRDefault="00CA10A9" w:rsidP="00CA10A9">
      <w:pPr>
        <w:shd w:val="clear" w:color="auto" w:fill="FFFFFF"/>
        <w:spacing w:after="0" w:line="270" w:lineRule="atLeast"/>
        <w:rPr>
          <w:rFonts w:eastAsia="Times New Roman" w:cs="Arial"/>
          <w:color w:val="222A35" w:themeColor="text2" w:themeShade="80"/>
          <w:szCs w:val="24"/>
          <w:lang w:eastAsia="en-AU"/>
        </w:rPr>
      </w:pPr>
      <w:r w:rsidRPr="006E05AE">
        <w:rPr>
          <w:rFonts w:eastAsia="Times New Roman" w:cs="Arial"/>
          <w:b/>
          <w:bCs/>
          <w:color w:val="222A35" w:themeColor="text2" w:themeShade="80"/>
          <w:sz w:val="28"/>
          <w:szCs w:val="28"/>
          <w:lang w:eastAsia="en-AU"/>
        </w:rPr>
        <w:t>Step 1:</w:t>
      </w:r>
      <w:r w:rsidRPr="00CA10A9">
        <w:rPr>
          <w:rFonts w:eastAsia="Times New Roman" w:cs="Arial"/>
          <w:color w:val="222A35" w:themeColor="text2" w:themeShade="80"/>
          <w:szCs w:val="24"/>
          <w:lang w:eastAsia="en-AU"/>
        </w:rPr>
        <w:t> </w:t>
      </w:r>
      <w:r w:rsidRPr="006E05AE">
        <w:rPr>
          <w:rFonts w:eastAsia="Times New Roman" w:cs="Arial"/>
          <w:szCs w:val="24"/>
          <w:lang w:eastAsia="en-AU"/>
        </w:rPr>
        <w:t>Review the toolkit and identify what you need.</w:t>
      </w:r>
    </w:p>
    <w:p w:rsidR="00CA10A9" w:rsidRPr="00CA10A9" w:rsidRDefault="00CA10A9" w:rsidP="00CA10A9">
      <w:pPr>
        <w:shd w:val="clear" w:color="auto" w:fill="FFFFFF"/>
        <w:spacing w:after="0" w:line="270" w:lineRule="atLeast"/>
        <w:rPr>
          <w:rFonts w:eastAsia="Times New Roman" w:cs="Arial"/>
          <w:color w:val="222A35" w:themeColor="text2" w:themeShade="80"/>
          <w:szCs w:val="24"/>
          <w:lang w:eastAsia="en-AU"/>
        </w:rPr>
      </w:pPr>
    </w:p>
    <w:p w:rsidR="00CA10A9" w:rsidRPr="00CA10A9" w:rsidRDefault="00CA10A9" w:rsidP="00CA10A9">
      <w:pPr>
        <w:shd w:val="clear" w:color="auto" w:fill="FFFFFF"/>
        <w:spacing w:after="0" w:line="270" w:lineRule="atLeast"/>
        <w:rPr>
          <w:rFonts w:eastAsia="Times New Roman" w:cs="Arial"/>
          <w:color w:val="222A35" w:themeColor="text2" w:themeShade="80"/>
          <w:szCs w:val="24"/>
          <w:lang w:eastAsia="en-AU"/>
        </w:rPr>
      </w:pPr>
      <w:r w:rsidRPr="006E05AE">
        <w:rPr>
          <w:rFonts w:eastAsia="Times New Roman" w:cs="Arial"/>
          <w:b/>
          <w:bCs/>
          <w:color w:val="222A35" w:themeColor="text2" w:themeShade="80"/>
          <w:sz w:val="28"/>
          <w:szCs w:val="28"/>
          <w:lang w:eastAsia="en-AU"/>
        </w:rPr>
        <w:t>Step 2</w:t>
      </w:r>
      <w:r w:rsidRPr="006E05AE">
        <w:rPr>
          <w:rFonts w:eastAsia="Times New Roman" w:cs="Arial"/>
          <w:b/>
          <w:bCs/>
          <w:sz w:val="28"/>
          <w:szCs w:val="28"/>
          <w:lang w:eastAsia="en-AU"/>
        </w:rPr>
        <w:t>:</w:t>
      </w:r>
      <w:r w:rsidRPr="006E05AE">
        <w:rPr>
          <w:rFonts w:eastAsia="Times New Roman" w:cs="Arial"/>
          <w:szCs w:val="24"/>
          <w:lang w:eastAsia="en-AU"/>
        </w:rPr>
        <w:t> Adapt and change the content to reflect the culture and reality of your organisation. Consult with people with disability, families, carers, support workers and other stakeholders on the content to ensure is relevant to your organisation.</w:t>
      </w:r>
    </w:p>
    <w:p w:rsidR="00CA10A9" w:rsidRPr="00CA10A9" w:rsidRDefault="00CA10A9" w:rsidP="00CA10A9">
      <w:pPr>
        <w:shd w:val="clear" w:color="auto" w:fill="FFFFFF"/>
        <w:spacing w:after="0" w:line="270" w:lineRule="atLeast"/>
        <w:rPr>
          <w:rFonts w:eastAsia="Times New Roman" w:cs="Arial"/>
          <w:color w:val="222A35" w:themeColor="text2" w:themeShade="80"/>
          <w:szCs w:val="24"/>
          <w:lang w:eastAsia="en-AU"/>
        </w:rPr>
      </w:pPr>
    </w:p>
    <w:p w:rsidR="00CA10A9" w:rsidRPr="006E05AE" w:rsidRDefault="00CA10A9" w:rsidP="00CA10A9">
      <w:pPr>
        <w:shd w:val="clear" w:color="auto" w:fill="FFFFFF"/>
        <w:spacing w:after="0" w:line="270" w:lineRule="atLeast"/>
        <w:rPr>
          <w:rFonts w:eastAsia="Times New Roman" w:cs="Arial"/>
          <w:szCs w:val="24"/>
          <w:lang w:eastAsia="en-AU"/>
        </w:rPr>
      </w:pPr>
      <w:r w:rsidRPr="006E05AE">
        <w:rPr>
          <w:rFonts w:eastAsia="Times New Roman" w:cs="Arial"/>
          <w:b/>
          <w:bCs/>
          <w:color w:val="222A35" w:themeColor="text2" w:themeShade="80"/>
          <w:sz w:val="28"/>
          <w:szCs w:val="28"/>
          <w:lang w:eastAsia="en-AU"/>
        </w:rPr>
        <w:t>Step 3</w:t>
      </w:r>
      <w:r w:rsidRPr="006E05AE">
        <w:rPr>
          <w:rFonts w:eastAsia="Times New Roman" w:cs="Arial"/>
          <w:b/>
          <w:bCs/>
          <w:sz w:val="28"/>
          <w:szCs w:val="28"/>
          <w:lang w:eastAsia="en-AU"/>
        </w:rPr>
        <w:t>:</w:t>
      </w:r>
      <w:r w:rsidRPr="006E05AE">
        <w:rPr>
          <w:rFonts w:eastAsia="Times New Roman" w:cs="Arial"/>
          <w:szCs w:val="24"/>
          <w:lang w:eastAsia="en-AU"/>
        </w:rPr>
        <w:t> Incorporate their recommendations and seek approval to adopt the relevant policy, process or practice.</w:t>
      </w:r>
    </w:p>
    <w:p w:rsidR="00CA10A9" w:rsidRPr="006E05AE" w:rsidRDefault="00CA10A9" w:rsidP="00CA10A9">
      <w:pPr>
        <w:shd w:val="clear" w:color="auto" w:fill="FFFFFF"/>
        <w:spacing w:after="0" w:line="270" w:lineRule="atLeast"/>
        <w:rPr>
          <w:rFonts w:eastAsia="Times New Roman" w:cs="Arial"/>
          <w:szCs w:val="24"/>
          <w:lang w:eastAsia="en-AU"/>
        </w:rPr>
      </w:pPr>
    </w:p>
    <w:p w:rsidR="00CA10A9" w:rsidRPr="006E05AE" w:rsidRDefault="00CA10A9" w:rsidP="00CA10A9">
      <w:pPr>
        <w:shd w:val="clear" w:color="auto" w:fill="FFFFFF"/>
        <w:spacing w:after="0" w:line="270" w:lineRule="atLeast"/>
        <w:rPr>
          <w:rFonts w:eastAsia="Times New Roman" w:cs="Arial"/>
          <w:szCs w:val="24"/>
          <w:lang w:eastAsia="en-AU"/>
        </w:rPr>
      </w:pPr>
      <w:r w:rsidRPr="006E05AE">
        <w:rPr>
          <w:rFonts w:eastAsia="Times New Roman" w:cs="Arial"/>
          <w:b/>
          <w:bCs/>
          <w:color w:val="222A35" w:themeColor="text2" w:themeShade="80"/>
          <w:sz w:val="28"/>
          <w:szCs w:val="28"/>
          <w:lang w:eastAsia="en-AU"/>
        </w:rPr>
        <w:t>Please note:</w:t>
      </w:r>
      <w:r w:rsidRPr="00CA10A9">
        <w:rPr>
          <w:rFonts w:eastAsia="Times New Roman" w:cs="Arial"/>
          <w:color w:val="222A35" w:themeColor="text2" w:themeShade="80"/>
          <w:szCs w:val="24"/>
          <w:lang w:eastAsia="en-AU"/>
        </w:rPr>
        <w:t> </w:t>
      </w:r>
      <w:r w:rsidRPr="006E05AE">
        <w:rPr>
          <w:rFonts w:eastAsia="Times New Roman" w:cs="Arial"/>
          <w:szCs w:val="24"/>
          <w:lang w:eastAsia="en-AU"/>
        </w:rPr>
        <w:t>The toolkit provides samples only and organisations need to ensure executive and board approval for any policies and procedures and seek independent legal advice where required.</w:t>
      </w:r>
    </w:p>
    <w:p w:rsidR="00CA10A9" w:rsidRDefault="00CA10A9" w:rsidP="0020516C">
      <w:pPr>
        <w:rPr>
          <w:b/>
        </w:rPr>
      </w:pPr>
    </w:p>
    <w:p w:rsidR="0020516C" w:rsidRDefault="0020516C" w:rsidP="0020516C">
      <w:pPr>
        <w:rPr>
          <w:b/>
        </w:rPr>
      </w:pPr>
      <w:r>
        <w:rPr>
          <w:b/>
        </w:rPr>
        <w:t>Standard 1</w:t>
      </w:r>
      <w:r w:rsidR="0091472C">
        <w:rPr>
          <w:b/>
        </w:rPr>
        <w:t>- Rights</w:t>
      </w:r>
    </w:p>
    <w:p w:rsidR="0020516C" w:rsidRDefault="0091472C" w:rsidP="0020516C">
      <w:pPr>
        <w:rPr>
          <w:b/>
        </w:rPr>
      </w:pPr>
      <w:r>
        <w:rPr>
          <w:b/>
        </w:rPr>
        <w:t>Policy and procedure</w:t>
      </w:r>
      <w:r w:rsidR="0020516C">
        <w:rPr>
          <w:b/>
        </w:rPr>
        <w:t xml:space="preserve"> templates</w:t>
      </w:r>
    </w:p>
    <w:p w:rsidR="0020516C" w:rsidRDefault="0020516C" w:rsidP="0020516C">
      <w:r>
        <w:t>Promoting and protecting rights overarching policy</w:t>
      </w:r>
    </w:p>
    <w:p w:rsidR="0020516C" w:rsidRDefault="0020516C" w:rsidP="0020516C">
      <w:r>
        <w:t>Choice and control policy</w:t>
      </w:r>
    </w:p>
    <w:p w:rsidR="0020516C" w:rsidRDefault="0020516C" w:rsidP="0020516C">
      <w:r>
        <w:t>Choice and control procedure</w:t>
      </w:r>
    </w:p>
    <w:p w:rsidR="0020516C" w:rsidRDefault="0020516C" w:rsidP="0020516C">
      <w:r>
        <w:t>Supporting your choice</w:t>
      </w:r>
      <w:r w:rsidR="004E7998">
        <w:t>s</w:t>
      </w:r>
      <w:r>
        <w:t xml:space="preserve"> (Easy Read)</w:t>
      </w:r>
    </w:p>
    <w:p w:rsidR="0020516C" w:rsidRDefault="0020516C" w:rsidP="0020516C">
      <w:r>
        <w:t>Safeguarding policy</w:t>
      </w:r>
      <w:r w:rsidR="00D05835">
        <w:t xml:space="preserve"> (reviewed 2019)</w:t>
      </w:r>
    </w:p>
    <w:p w:rsidR="0020516C" w:rsidRDefault="0020516C" w:rsidP="0020516C">
      <w:r>
        <w:t>Safeguarding procedure</w:t>
      </w:r>
    </w:p>
    <w:p w:rsidR="0020516C" w:rsidRDefault="0020516C" w:rsidP="0020516C">
      <w:r>
        <w:t>What is safeguarding? (Easy Read)</w:t>
      </w:r>
    </w:p>
    <w:p w:rsidR="0020516C" w:rsidRDefault="0020516C" w:rsidP="0020516C">
      <w:r>
        <w:t>Eliminating restrictive practices policy</w:t>
      </w:r>
    </w:p>
    <w:p w:rsidR="0020516C" w:rsidRDefault="0020516C" w:rsidP="0020516C">
      <w:r>
        <w:t>Eliminating restrictive practices procedure</w:t>
      </w:r>
    </w:p>
    <w:p w:rsidR="0020516C" w:rsidRDefault="0020516C" w:rsidP="0020516C">
      <w:r>
        <w:t>Eliminating restrictive practices (Easy Read)</w:t>
      </w:r>
    </w:p>
    <w:p w:rsidR="00D05835" w:rsidRDefault="00D05835" w:rsidP="0020516C">
      <w:r w:rsidRPr="00D05835">
        <w:t>Confidentiality policy</w:t>
      </w:r>
    </w:p>
    <w:p w:rsidR="0020516C" w:rsidRDefault="0020516C" w:rsidP="0020516C">
      <w:pPr>
        <w:rPr>
          <w:b/>
        </w:rPr>
      </w:pPr>
      <w:r w:rsidRPr="0020516C">
        <w:rPr>
          <w:b/>
        </w:rPr>
        <w:t>Staff development resources</w:t>
      </w:r>
    </w:p>
    <w:p w:rsidR="0020516C" w:rsidRDefault="00FD608F" w:rsidP="0020516C">
      <w:r>
        <w:t>Reflecting on</w:t>
      </w:r>
      <w:r w:rsidR="0020516C">
        <w:t xml:space="preserve"> choice</w:t>
      </w:r>
    </w:p>
    <w:p w:rsidR="0020516C" w:rsidRDefault="00FD608F" w:rsidP="0020516C">
      <w:r>
        <w:t>Reflecting on</w:t>
      </w:r>
      <w:r w:rsidR="0020516C">
        <w:t xml:space="preserve"> safeguarding</w:t>
      </w:r>
    </w:p>
    <w:p w:rsidR="006E05AE" w:rsidRDefault="006E05AE" w:rsidP="0020516C">
      <w:pPr>
        <w:rPr>
          <w:b/>
        </w:rPr>
      </w:pPr>
    </w:p>
    <w:p w:rsidR="006E05AE" w:rsidRDefault="006E05AE" w:rsidP="0020516C">
      <w:pPr>
        <w:rPr>
          <w:b/>
        </w:rPr>
      </w:pPr>
    </w:p>
    <w:p w:rsidR="0020516C" w:rsidRDefault="00E12FE0" w:rsidP="0020516C">
      <w:pPr>
        <w:rPr>
          <w:b/>
        </w:rPr>
      </w:pPr>
      <w:r w:rsidRPr="0020516C">
        <w:rPr>
          <w:b/>
        </w:rPr>
        <w:lastRenderedPageBreak/>
        <w:t>Standard 4</w:t>
      </w:r>
      <w:r>
        <w:rPr>
          <w:b/>
        </w:rPr>
        <w:t>- Feedback and Complaints</w:t>
      </w:r>
      <w:r w:rsidR="0020516C" w:rsidRPr="0020516C">
        <w:rPr>
          <w:b/>
        </w:rPr>
        <w:t xml:space="preserve"> </w:t>
      </w:r>
    </w:p>
    <w:p w:rsidR="0020516C" w:rsidRDefault="00CE094D" w:rsidP="0020516C">
      <w:pPr>
        <w:rPr>
          <w:b/>
        </w:rPr>
      </w:pPr>
      <w:r>
        <w:rPr>
          <w:b/>
        </w:rPr>
        <w:t>Policy and procedure</w:t>
      </w:r>
      <w:r w:rsidR="009636ED">
        <w:rPr>
          <w:b/>
        </w:rPr>
        <w:t xml:space="preserve"> templates</w:t>
      </w:r>
    </w:p>
    <w:p w:rsidR="009636ED" w:rsidRDefault="009636ED" w:rsidP="0020516C">
      <w:r w:rsidRPr="009636ED">
        <w:t>Complaints policy</w:t>
      </w:r>
    </w:p>
    <w:p w:rsidR="009636ED" w:rsidRDefault="009636ED" w:rsidP="0020516C">
      <w:r>
        <w:t>Complaints procedure</w:t>
      </w:r>
    </w:p>
    <w:p w:rsidR="009636ED" w:rsidRDefault="009636ED" w:rsidP="0020516C">
      <w:r>
        <w:t>About complaints (Easy Read)</w:t>
      </w:r>
    </w:p>
    <w:p w:rsidR="00D05835" w:rsidRDefault="00D05835" w:rsidP="0020516C">
      <w:r w:rsidRPr="00D05835">
        <w:t>Whistle-blower policy</w:t>
      </w:r>
    </w:p>
    <w:p w:rsidR="009636ED" w:rsidRDefault="00237DBE" w:rsidP="0020516C">
      <w:pPr>
        <w:rPr>
          <w:b/>
        </w:rPr>
      </w:pPr>
      <w:r>
        <w:rPr>
          <w:b/>
        </w:rPr>
        <w:t>Complaints m</w:t>
      </w:r>
      <w:r w:rsidR="009636ED" w:rsidRPr="009636ED">
        <w:rPr>
          <w:b/>
        </w:rPr>
        <w:t>anagement resources</w:t>
      </w:r>
    </w:p>
    <w:p w:rsidR="00237DBE" w:rsidRDefault="00237DBE" w:rsidP="00237DBE">
      <w:r>
        <w:t>Complaints register instructions</w:t>
      </w:r>
    </w:p>
    <w:p w:rsidR="00237DBE" w:rsidRDefault="00237DBE" w:rsidP="00237DBE">
      <w:r>
        <w:t>Complaints register</w:t>
      </w:r>
    </w:p>
    <w:p w:rsidR="009636ED" w:rsidRDefault="009636ED" w:rsidP="0020516C">
      <w:r w:rsidRPr="009636ED">
        <w:t>Complaints recording sheet</w:t>
      </w:r>
    </w:p>
    <w:p w:rsidR="00570129" w:rsidRDefault="00570129" w:rsidP="0020516C">
      <w:pPr>
        <w:rPr>
          <w:b/>
        </w:rPr>
      </w:pPr>
      <w:r w:rsidRPr="009636ED">
        <w:rPr>
          <w:b/>
        </w:rPr>
        <w:t>Standard 6</w:t>
      </w:r>
      <w:r>
        <w:rPr>
          <w:b/>
        </w:rPr>
        <w:t xml:space="preserve">- </w:t>
      </w:r>
      <w:r w:rsidR="009636ED" w:rsidRPr="009636ED">
        <w:rPr>
          <w:b/>
        </w:rPr>
        <w:t>Service Management</w:t>
      </w:r>
    </w:p>
    <w:p w:rsidR="009636ED" w:rsidRDefault="00570129" w:rsidP="0020516C">
      <w:pPr>
        <w:rPr>
          <w:b/>
        </w:rPr>
      </w:pPr>
      <w:r>
        <w:rPr>
          <w:b/>
        </w:rPr>
        <w:t>Policy and procedure</w:t>
      </w:r>
      <w:r w:rsidR="009636ED" w:rsidRPr="009636ED">
        <w:rPr>
          <w:b/>
        </w:rPr>
        <w:t xml:space="preserve"> templates</w:t>
      </w:r>
    </w:p>
    <w:p w:rsidR="009636ED" w:rsidRDefault="00570129" w:rsidP="0020516C">
      <w:r>
        <w:t>Code of c</w:t>
      </w:r>
      <w:r w:rsidR="009636ED">
        <w:t>onduct</w:t>
      </w:r>
    </w:p>
    <w:p w:rsidR="009636ED" w:rsidRDefault="009636ED" w:rsidP="0020516C">
      <w:r>
        <w:t>Code of conduct (Easy Read)</w:t>
      </w:r>
    </w:p>
    <w:p w:rsidR="007053A8" w:rsidRDefault="007053A8" w:rsidP="007053A8">
      <w:r w:rsidRPr="007053A8">
        <w:t>Involvement policy</w:t>
      </w:r>
    </w:p>
    <w:p w:rsidR="007053A8" w:rsidRPr="007053A8" w:rsidRDefault="007053A8" w:rsidP="007053A8">
      <w:r w:rsidRPr="007053A8">
        <w:t>Involvement procedure</w:t>
      </w:r>
    </w:p>
    <w:p w:rsidR="00107D5F" w:rsidRDefault="00107D5F" w:rsidP="0020516C">
      <w:r>
        <w:t>Consultation (Easy Read)</w:t>
      </w:r>
    </w:p>
    <w:p w:rsidR="00107D5F" w:rsidRDefault="00107D5F" w:rsidP="0020516C">
      <w:r>
        <w:t xml:space="preserve">Continuous improvement policy </w:t>
      </w:r>
    </w:p>
    <w:p w:rsidR="00107D5F" w:rsidRDefault="00107D5F" w:rsidP="0020516C">
      <w:r>
        <w:t>Continuous improvement procedure</w:t>
      </w:r>
    </w:p>
    <w:p w:rsidR="00107D5F" w:rsidRDefault="00107D5F" w:rsidP="0020516C">
      <w:r>
        <w:t>Making services better (Easy Read)</w:t>
      </w:r>
    </w:p>
    <w:p w:rsidR="007053A8" w:rsidRDefault="007053A8" w:rsidP="007053A8">
      <w:r>
        <w:t>Risk management policy</w:t>
      </w:r>
    </w:p>
    <w:p w:rsidR="007053A8" w:rsidRDefault="007053A8" w:rsidP="007053A8">
      <w:r>
        <w:t>Direct health supports policy</w:t>
      </w:r>
    </w:p>
    <w:p w:rsidR="007053A8" w:rsidRDefault="007053A8" w:rsidP="007053A8">
      <w:r>
        <w:t>Conflict of interest policy</w:t>
      </w:r>
    </w:p>
    <w:p w:rsidR="007053A8" w:rsidRDefault="007053A8" w:rsidP="007053A8">
      <w:r>
        <w:t>Social media policy</w:t>
      </w:r>
    </w:p>
    <w:p w:rsidR="00107D5F" w:rsidRDefault="00625DF7" w:rsidP="0020516C">
      <w:pPr>
        <w:rPr>
          <w:b/>
        </w:rPr>
      </w:pPr>
      <w:r>
        <w:rPr>
          <w:b/>
        </w:rPr>
        <w:t>Service m</w:t>
      </w:r>
      <w:r w:rsidR="00107D5F" w:rsidRPr="00107D5F">
        <w:rPr>
          <w:b/>
        </w:rPr>
        <w:t>anagement resources</w:t>
      </w:r>
    </w:p>
    <w:p w:rsidR="007053A8" w:rsidRDefault="007053A8" w:rsidP="0020516C">
      <w:r w:rsidRPr="007053A8">
        <w:t>Business case template</w:t>
      </w:r>
    </w:p>
    <w:p w:rsidR="00107D5F" w:rsidRDefault="00107D5F" w:rsidP="0020516C">
      <w:r>
        <w:t>Code of conduct: staff commitment</w:t>
      </w:r>
    </w:p>
    <w:p w:rsidR="00107D5F" w:rsidRDefault="00107D5F" w:rsidP="0020516C">
      <w:r>
        <w:t>Continuous improvement plan</w:t>
      </w:r>
    </w:p>
    <w:p w:rsidR="00625DF7" w:rsidRDefault="00625DF7" w:rsidP="00625DF7">
      <w:r>
        <w:t>Continuous improvement register</w:t>
      </w:r>
    </w:p>
    <w:p w:rsidR="007053A8" w:rsidRDefault="007053A8" w:rsidP="007053A8">
      <w:r>
        <w:t>Risk register and guide</w:t>
      </w:r>
    </w:p>
    <w:p w:rsidR="007053A8" w:rsidRDefault="007053A8" w:rsidP="007053A8">
      <w:r>
        <w:t>Quality practice guide</w:t>
      </w:r>
    </w:p>
    <w:p w:rsidR="00107D5F" w:rsidRDefault="00107D5F" w:rsidP="0020516C">
      <w:pPr>
        <w:rPr>
          <w:b/>
        </w:rPr>
      </w:pPr>
      <w:r w:rsidRPr="00107D5F">
        <w:rPr>
          <w:b/>
        </w:rPr>
        <w:t>Other tools</w:t>
      </w:r>
    </w:p>
    <w:p w:rsidR="007053A8" w:rsidRDefault="007053A8" w:rsidP="007053A8">
      <w:r>
        <w:t>Quick guide: setting up a policy group</w:t>
      </w:r>
    </w:p>
    <w:p w:rsidR="007053A8" w:rsidRDefault="007053A8" w:rsidP="007053A8">
      <w:r>
        <w:t>Terms of reference- policy development and review group</w:t>
      </w:r>
    </w:p>
    <w:p w:rsidR="007053A8" w:rsidRDefault="007053A8" w:rsidP="007053A8">
      <w:r>
        <w:t>Policy group action plan</w:t>
      </w:r>
      <w:bookmarkStart w:id="0" w:name="_GoBack"/>
      <w:bookmarkEnd w:id="0"/>
    </w:p>
    <w:p w:rsidR="00107D5F" w:rsidRDefault="00107D5F" w:rsidP="0020516C">
      <w:r w:rsidRPr="00107D5F">
        <w:t>Policy template</w:t>
      </w:r>
    </w:p>
    <w:p w:rsidR="00107D5F" w:rsidRDefault="00107D5F" w:rsidP="0020516C">
      <w:r>
        <w:t>Procedure template</w:t>
      </w:r>
    </w:p>
    <w:p w:rsidR="00107D5F" w:rsidRDefault="00107D5F" w:rsidP="0020516C">
      <w:r>
        <w:t>Policy and procedure register</w:t>
      </w:r>
    </w:p>
    <w:p w:rsidR="00A707D7" w:rsidRDefault="00A707D7" w:rsidP="0020516C">
      <w:r>
        <w:t>Regularly used terms</w:t>
      </w:r>
    </w:p>
    <w:p w:rsidR="0020516C" w:rsidRPr="0020516C" w:rsidRDefault="005473BF" w:rsidP="0020516C">
      <w:r>
        <w:t>Top ten tips for accessible information</w:t>
      </w:r>
    </w:p>
    <w:p w:rsidR="0020516C" w:rsidRPr="0020516C" w:rsidRDefault="0020516C" w:rsidP="0020516C"/>
    <w:sectPr w:rsidR="0020516C" w:rsidRPr="002051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94D5B"/>
    <w:multiLevelType w:val="hybridMultilevel"/>
    <w:tmpl w:val="523C17D4"/>
    <w:lvl w:ilvl="0" w:tplc="78A24B5A">
      <w:start w:val="1"/>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D3C3014"/>
    <w:multiLevelType w:val="hybridMultilevel"/>
    <w:tmpl w:val="523C17D4"/>
    <w:lvl w:ilvl="0" w:tplc="78A24B5A">
      <w:start w:val="1"/>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1A3"/>
    <w:rsid w:val="00107D5F"/>
    <w:rsid w:val="0020516C"/>
    <w:rsid w:val="00237DBE"/>
    <w:rsid w:val="00295851"/>
    <w:rsid w:val="004D05FC"/>
    <w:rsid w:val="004E7998"/>
    <w:rsid w:val="005473BF"/>
    <w:rsid w:val="00570129"/>
    <w:rsid w:val="00625DF7"/>
    <w:rsid w:val="00631C00"/>
    <w:rsid w:val="006E05AE"/>
    <w:rsid w:val="006E21A3"/>
    <w:rsid w:val="007053A8"/>
    <w:rsid w:val="00721565"/>
    <w:rsid w:val="008A385E"/>
    <w:rsid w:val="0091472C"/>
    <w:rsid w:val="009636ED"/>
    <w:rsid w:val="00A707D7"/>
    <w:rsid w:val="00B86BEB"/>
    <w:rsid w:val="00BE1E65"/>
    <w:rsid w:val="00C96FE6"/>
    <w:rsid w:val="00CA10A9"/>
    <w:rsid w:val="00CE094D"/>
    <w:rsid w:val="00D05835"/>
    <w:rsid w:val="00E12FE0"/>
    <w:rsid w:val="00F2494A"/>
    <w:rsid w:val="00FD60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DC24A"/>
  <w15:chartTrackingRefBased/>
  <w15:docId w15:val="{540B8C8B-32B4-40C9-838C-CBA829630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BEB"/>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6E21A3"/>
    <w:pPr>
      <w:tabs>
        <w:tab w:val="right" w:leader="dot" w:pos="9016"/>
      </w:tabs>
      <w:spacing w:after="40" w:line="240" w:lineRule="auto"/>
    </w:pPr>
    <w:rPr>
      <w:rFonts w:eastAsiaTheme="minorEastAsia"/>
      <w:b/>
      <w:lang w:eastAsia="en-AU"/>
    </w:rPr>
  </w:style>
  <w:style w:type="paragraph" w:styleId="TOC2">
    <w:name w:val="toc 2"/>
    <w:basedOn w:val="Normal"/>
    <w:next w:val="Normal"/>
    <w:autoRedefine/>
    <w:uiPriority w:val="39"/>
    <w:unhideWhenUsed/>
    <w:rsid w:val="006E21A3"/>
    <w:pPr>
      <w:tabs>
        <w:tab w:val="right" w:leader="dot" w:pos="9016"/>
      </w:tabs>
      <w:spacing w:after="0" w:line="240" w:lineRule="auto"/>
      <w:ind w:left="238"/>
      <w:contextualSpacing/>
    </w:pPr>
    <w:rPr>
      <w:rFonts w:eastAsiaTheme="minorEastAsia"/>
      <w:lang w:eastAsia="en-AU"/>
    </w:rPr>
  </w:style>
  <w:style w:type="character" w:styleId="Hyperlink">
    <w:name w:val="Hyperlink"/>
    <w:basedOn w:val="DefaultParagraphFont"/>
    <w:uiPriority w:val="99"/>
    <w:unhideWhenUsed/>
    <w:rsid w:val="006E21A3"/>
    <w:rPr>
      <w:color w:val="0563C1" w:themeColor="hyperlink"/>
      <w:u w:val="single"/>
    </w:rPr>
  </w:style>
  <w:style w:type="character" w:styleId="CommentReference">
    <w:name w:val="annotation reference"/>
    <w:basedOn w:val="DefaultParagraphFont"/>
    <w:uiPriority w:val="99"/>
    <w:semiHidden/>
    <w:unhideWhenUsed/>
    <w:rsid w:val="006E21A3"/>
    <w:rPr>
      <w:sz w:val="16"/>
      <w:szCs w:val="16"/>
    </w:rPr>
  </w:style>
  <w:style w:type="paragraph" w:styleId="CommentText">
    <w:name w:val="annotation text"/>
    <w:basedOn w:val="Normal"/>
    <w:link w:val="CommentTextChar"/>
    <w:uiPriority w:val="99"/>
    <w:unhideWhenUsed/>
    <w:rsid w:val="006E21A3"/>
    <w:pPr>
      <w:spacing w:after="0" w:line="240" w:lineRule="auto"/>
    </w:pPr>
    <w:rPr>
      <w:rFonts w:eastAsiaTheme="minorEastAsia"/>
      <w:sz w:val="20"/>
      <w:szCs w:val="20"/>
      <w:lang w:eastAsia="en-AU"/>
    </w:rPr>
  </w:style>
  <w:style w:type="character" w:customStyle="1" w:styleId="CommentTextChar">
    <w:name w:val="Comment Text Char"/>
    <w:basedOn w:val="DefaultParagraphFont"/>
    <w:link w:val="CommentText"/>
    <w:uiPriority w:val="99"/>
    <w:rsid w:val="006E21A3"/>
    <w:rPr>
      <w:rFonts w:ascii="Arial" w:eastAsiaTheme="minorEastAsia" w:hAnsi="Arial"/>
      <w:sz w:val="20"/>
      <w:szCs w:val="20"/>
      <w:lang w:eastAsia="en-AU"/>
    </w:rPr>
  </w:style>
  <w:style w:type="paragraph" w:styleId="BalloonText">
    <w:name w:val="Balloon Text"/>
    <w:basedOn w:val="Normal"/>
    <w:link w:val="BalloonTextChar"/>
    <w:uiPriority w:val="99"/>
    <w:semiHidden/>
    <w:unhideWhenUsed/>
    <w:rsid w:val="006E21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1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78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8AFFC3C5.dotm</Template>
  <TotalTime>4</TotalTime>
  <Pages>3</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Pratts-Hincks</dc:creator>
  <cp:keywords/>
  <dc:description/>
  <cp:lastModifiedBy>Carmen Pratts-Hincks</cp:lastModifiedBy>
  <cp:revision>4</cp:revision>
  <cp:lastPrinted>2017-11-09T02:54:00Z</cp:lastPrinted>
  <dcterms:created xsi:type="dcterms:W3CDTF">2019-07-24T07:14:00Z</dcterms:created>
  <dcterms:modified xsi:type="dcterms:W3CDTF">2019-07-24T07:18:00Z</dcterms:modified>
</cp:coreProperties>
</file>