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A5B2" w14:textId="29D78CC0" w:rsidR="4A374E9D" w:rsidRDefault="4A374E9D" w:rsidP="3E3F76FE">
      <w:pPr>
        <w:pStyle w:val="Title"/>
        <w:spacing w:before="400" w:after="400"/>
        <w:rPr>
          <w:rFonts w:eastAsia="Arial" w:cs="Arial"/>
          <w:caps w:val="0"/>
          <w:color w:val="000000" w:themeColor="text1"/>
          <w:sz w:val="40"/>
          <w:szCs w:val="40"/>
        </w:rPr>
      </w:pPr>
      <w:r w:rsidRPr="3E3F76FE">
        <w:rPr>
          <w:rFonts w:eastAsia="Arial" w:cs="Arial"/>
          <w:caps w:val="0"/>
          <w:color w:val="000000" w:themeColor="text1"/>
          <w:sz w:val="40"/>
          <w:szCs w:val="40"/>
        </w:rPr>
        <w:t>Not a One-Stop Shop: The NDIS in Australia’</w:t>
      </w:r>
      <w:r w:rsidR="00DD6B26">
        <w:rPr>
          <w:rFonts w:eastAsia="Arial" w:cs="Arial"/>
          <w:caps w:val="0"/>
          <w:color w:val="000000" w:themeColor="text1"/>
          <w:sz w:val="40"/>
          <w:szCs w:val="40"/>
        </w:rPr>
        <w:t>s</w:t>
      </w:r>
      <w:r w:rsidRPr="3E3F76FE">
        <w:rPr>
          <w:rFonts w:eastAsia="Arial" w:cs="Arial"/>
          <w:caps w:val="0"/>
          <w:color w:val="000000" w:themeColor="text1"/>
          <w:sz w:val="40"/>
          <w:szCs w:val="40"/>
        </w:rPr>
        <w:t xml:space="preserve"> social infrastructure</w:t>
      </w:r>
    </w:p>
    <w:p w14:paraId="0203CCA7" w14:textId="42B46206" w:rsidR="0064630F" w:rsidRPr="00863B43" w:rsidRDefault="0064630F" w:rsidP="00863B43">
      <w:pPr>
        <w:rPr>
          <w:b/>
          <w:bCs/>
        </w:rPr>
      </w:pPr>
      <w:r w:rsidRPr="00863B43">
        <w:rPr>
          <w:b/>
          <w:bCs/>
        </w:rPr>
        <w:t>Per Capita – Fighting inequ</w:t>
      </w:r>
      <w:r w:rsidR="001A42F0" w:rsidRPr="00863B43">
        <w:rPr>
          <w:b/>
          <w:bCs/>
        </w:rPr>
        <w:t>ality in Australia</w:t>
      </w:r>
    </w:p>
    <w:p w14:paraId="7EBDB042" w14:textId="3B51F697" w:rsidR="00531754" w:rsidRPr="00670A45" w:rsidRDefault="001A42F0" w:rsidP="00670A45">
      <w:pPr>
        <w:rPr>
          <w:b/>
          <w:bCs/>
        </w:rPr>
      </w:pPr>
      <w:r w:rsidRPr="00863B43">
        <w:rPr>
          <w:b/>
          <w:bCs/>
        </w:rPr>
        <w:t>November 2022</w:t>
      </w:r>
    </w:p>
    <w:bookmarkStart w:id="0" w:name="_Toc120266181" w:displacedByCustomXml="next"/>
    <w:bookmarkStart w:id="1" w:name="_Toc120266217" w:displacedByCustomXml="next"/>
    <w:bookmarkStart w:id="2" w:name="_Toc120266337" w:displacedByCustomXml="next"/>
    <w:bookmarkStart w:id="3" w:name="_Toc119966529" w:displacedByCustomXml="next"/>
    <w:sdt>
      <w:sdtPr>
        <w:rPr>
          <w:rFonts w:eastAsia="Times New Roman" w:cs="Times New Roman"/>
          <w:b w:val="0"/>
          <w:sz w:val="22"/>
          <w:szCs w:val="24"/>
          <w:lang w:val="en-AU"/>
        </w:rPr>
        <w:id w:val="424386703"/>
        <w:docPartObj>
          <w:docPartGallery w:val="Table of Contents"/>
          <w:docPartUnique/>
        </w:docPartObj>
      </w:sdtPr>
      <w:sdtEndPr>
        <w:rPr>
          <w:rFonts w:ascii="Avenir Book" w:eastAsiaTheme="minorHAnsi" w:hAnsi="Avenir Book" w:cstheme="minorBidi"/>
          <w:sz w:val="24"/>
          <w:szCs w:val="22"/>
        </w:rPr>
      </w:sdtEndPr>
      <w:sdtContent>
        <w:p w14:paraId="4E1FD1DB" w14:textId="77777777" w:rsidR="00531754" w:rsidRPr="00531754" w:rsidRDefault="00531754" w:rsidP="00917ED0">
          <w:pPr>
            <w:pStyle w:val="TOCHeading"/>
          </w:pPr>
          <w:r w:rsidRPr="00531754">
            <w:t>Table of Contents</w:t>
          </w:r>
        </w:p>
        <w:p w14:paraId="08794485" w14:textId="6D85F245" w:rsidR="00C6136E" w:rsidRDefault="00531754">
          <w:pPr>
            <w:pStyle w:val="TOC1"/>
            <w:rPr>
              <w:rFonts w:asciiTheme="minorHAnsi" w:eastAsiaTheme="minorEastAsia" w:hAnsiTheme="minorHAnsi" w:cstheme="minorBidi"/>
              <w:b w:val="0"/>
              <w:bCs w:val="0"/>
              <w:noProof/>
              <w:sz w:val="22"/>
              <w:szCs w:val="22"/>
              <w:lang w:eastAsia="en-AU"/>
            </w:rPr>
          </w:pPr>
          <w:r w:rsidRPr="00425687">
            <w:rPr>
              <w:rFonts w:ascii="Avenir Book" w:hAnsi="Avenir Book"/>
              <w:caps/>
            </w:rPr>
            <w:fldChar w:fldCharType="begin"/>
          </w:r>
          <w:r w:rsidRPr="00425687">
            <w:rPr>
              <w:rFonts w:ascii="Avenir Book" w:hAnsi="Avenir Book"/>
            </w:rPr>
            <w:instrText xml:space="preserve"> TOC \o "1-3" \h \z \u </w:instrText>
          </w:r>
          <w:r w:rsidRPr="00425687">
            <w:rPr>
              <w:rFonts w:ascii="Avenir Book" w:hAnsi="Avenir Book"/>
              <w:caps/>
            </w:rPr>
            <w:fldChar w:fldCharType="separate"/>
          </w:r>
          <w:hyperlink w:anchor="_Toc130942908" w:history="1">
            <w:r w:rsidR="00C6136E" w:rsidRPr="007B6A89">
              <w:rPr>
                <w:rStyle w:val="Hyperlink"/>
                <w:noProof/>
              </w:rPr>
              <w:t>About Per Capita</w:t>
            </w:r>
            <w:r w:rsidR="00C6136E">
              <w:rPr>
                <w:noProof/>
                <w:webHidden/>
              </w:rPr>
              <w:tab/>
            </w:r>
            <w:r w:rsidR="00C6136E">
              <w:rPr>
                <w:noProof/>
                <w:webHidden/>
              </w:rPr>
              <w:fldChar w:fldCharType="begin"/>
            </w:r>
            <w:r w:rsidR="00C6136E">
              <w:rPr>
                <w:noProof/>
                <w:webHidden/>
              </w:rPr>
              <w:instrText xml:space="preserve"> PAGEREF _Toc130942908 \h </w:instrText>
            </w:r>
            <w:r w:rsidR="00C6136E">
              <w:rPr>
                <w:noProof/>
                <w:webHidden/>
              </w:rPr>
            </w:r>
            <w:r w:rsidR="00C6136E">
              <w:rPr>
                <w:noProof/>
                <w:webHidden/>
              </w:rPr>
              <w:fldChar w:fldCharType="separate"/>
            </w:r>
            <w:r w:rsidR="00C6136E">
              <w:rPr>
                <w:noProof/>
                <w:webHidden/>
              </w:rPr>
              <w:t>2</w:t>
            </w:r>
            <w:r w:rsidR="00C6136E">
              <w:rPr>
                <w:noProof/>
                <w:webHidden/>
              </w:rPr>
              <w:fldChar w:fldCharType="end"/>
            </w:r>
          </w:hyperlink>
        </w:p>
        <w:p w14:paraId="2F465365" w14:textId="1C9A5024" w:rsidR="00C6136E" w:rsidRDefault="00000000">
          <w:pPr>
            <w:pStyle w:val="TOC2"/>
            <w:rPr>
              <w:rFonts w:asciiTheme="minorHAnsi" w:eastAsiaTheme="minorEastAsia" w:hAnsiTheme="minorHAnsi" w:cstheme="minorBidi"/>
              <w:sz w:val="22"/>
              <w:szCs w:val="22"/>
              <w:lang w:eastAsia="en-AU"/>
            </w:rPr>
          </w:pPr>
          <w:hyperlink w:anchor="_Toc130942909" w:history="1">
            <w:r w:rsidR="00C6136E" w:rsidRPr="007B6A89">
              <w:rPr>
                <w:rStyle w:val="Hyperlink"/>
              </w:rPr>
              <w:t>Our approach to public policy</w:t>
            </w:r>
            <w:r w:rsidR="00C6136E">
              <w:rPr>
                <w:webHidden/>
              </w:rPr>
              <w:tab/>
            </w:r>
            <w:r w:rsidR="00C6136E">
              <w:rPr>
                <w:webHidden/>
              </w:rPr>
              <w:fldChar w:fldCharType="begin"/>
            </w:r>
            <w:r w:rsidR="00C6136E">
              <w:rPr>
                <w:webHidden/>
              </w:rPr>
              <w:instrText xml:space="preserve"> PAGEREF _Toc130942909 \h </w:instrText>
            </w:r>
            <w:r w:rsidR="00C6136E">
              <w:rPr>
                <w:webHidden/>
              </w:rPr>
            </w:r>
            <w:r w:rsidR="00C6136E">
              <w:rPr>
                <w:webHidden/>
              </w:rPr>
              <w:fldChar w:fldCharType="separate"/>
            </w:r>
            <w:r w:rsidR="00C6136E">
              <w:rPr>
                <w:webHidden/>
              </w:rPr>
              <w:t>3</w:t>
            </w:r>
            <w:r w:rsidR="00C6136E">
              <w:rPr>
                <w:webHidden/>
              </w:rPr>
              <w:fldChar w:fldCharType="end"/>
            </w:r>
          </w:hyperlink>
        </w:p>
        <w:p w14:paraId="37FA228F" w14:textId="08ECA56E" w:rsidR="00C6136E" w:rsidRDefault="00000000">
          <w:pPr>
            <w:pStyle w:val="TOC2"/>
            <w:rPr>
              <w:rFonts w:asciiTheme="minorHAnsi" w:eastAsiaTheme="minorEastAsia" w:hAnsiTheme="minorHAnsi" w:cstheme="minorBidi"/>
              <w:sz w:val="22"/>
              <w:szCs w:val="22"/>
              <w:lang w:eastAsia="en-AU"/>
            </w:rPr>
          </w:pPr>
          <w:hyperlink w:anchor="_Toc130942910" w:history="1">
            <w:r w:rsidR="00C6136E" w:rsidRPr="007B6A89">
              <w:rPr>
                <w:rStyle w:val="Hyperlink"/>
              </w:rPr>
              <w:t>We live and work in hope and solidarity</w:t>
            </w:r>
            <w:r w:rsidR="00C6136E">
              <w:rPr>
                <w:webHidden/>
              </w:rPr>
              <w:tab/>
            </w:r>
            <w:r w:rsidR="00C6136E">
              <w:rPr>
                <w:webHidden/>
              </w:rPr>
              <w:fldChar w:fldCharType="begin"/>
            </w:r>
            <w:r w:rsidR="00C6136E">
              <w:rPr>
                <w:webHidden/>
              </w:rPr>
              <w:instrText xml:space="preserve"> PAGEREF _Toc130942910 \h </w:instrText>
            </w:r>
            <w:r w:rsidR="00C6136E">
              <w:rPr>
                <w:webHidden/>
              </w:rPr>
            </w:r>
            <w:r w:rsidR="00C6136E">
              <w:rPr>
                <w:webHidden/>
              </w:rPr>
              <w:fldChar w:fldCharType="separate"/>
            </w:r>
            <w:r w:rsidR="00C6136E">
              <w:rPr>
                <w:webHidden/>
              </w:rPr>
              <w:t>3</w:t>
            </w:r>
            <w:r w:rsidR="00C6136E">
              <w:rPr>
                <w:webHidden/>
              </w:rPr>
              <w:fldChar w:fldCharType="end"/>
            </w:r>
          </w:hyperlink>
        </w:p>
        <w:p w14:paraId="120C8BC3" w14:textId="468B7729" w:rsidR="00C6136E" w:rsidRDefault="00000000">
          <w:pPr>
            <w:pStyle w:val="TOC2"/>
            <w:rPr>
              <w:rFonts w:asciiTheme="minorHAnsi" w:eastAsiaTheme="minorEastAsia" w:hAnsiTheme="minorHAnsi" w:cstheme="minorBidi"/>
              <w:sz w:val="22"/>
              <w:szCs w:val="22"/>
              <w:lang w:eastAsia="en-AU"/>
            </w:rPr>
          </w:pPr>
          <w:hyperlink w:anchor="_Toc130942911" w:history="1">
            <w:r w:rsidR="00C6136E" w:rsidRPr="007B6A89">
              <w:rPr>
                <w:rStyle w:val="Hyperlink"/>
              </w:rPr>
              <w:t>About the author</w:t>
            </w:r>
            <w:r w:rsidR="00C6136E">
              <w:rPr>
                <w:webHidden/>
              </w:rPr>
              <w:tab/>
            </w:r>
            <w:r w:rsidR="00C6136E">
              <w:rPr>
                <w:webHidden/>
              </w:rPr>
              <w:fldChar w:fldCharType="begin"/>
            </w:r>
            <w:r w:rsidR="00C6136E">
              <w:rPr>
                <w:webHidden/>
              </w:rPr>
              <w:instrText xml:space="preserve"> PAGEREF _Toc130942911 \h </w:instrText>
            </w:r>
            <w:r w:rsidR="00C6136E">
              <w:rPr>
                <w:webHidden/>
              </w:rPr>
            </w:r>
            <w:r w:rsidR="00C6136E">
              <w:rPr>
                <w:webHidden/>
              </w:rPr>
              <w:fldChar w:fldCharType="separate"/>
            </w:r>
            <w:r w:rsidR="00C6136E">
              <w:rPr>
                <w:webHidden/>
              </w:rPr>
              <w:t>3</w:t>
            </w:r>
            <w:r w:rsidR="00C6136E">
              <w:rPr>
                <w:webHidden/>
              </w:rPr>
              <w:fldChar w:fldCharType="end"/>
            </w:r>
          </w:hyperlink>
        </w:p>
        <w:p w14:paraId="065A7A15" w14:textId="547E43AB" w:rsidR="00C6136E" w:rsidRDefault="00000000">
          <w:pPr>
            <w:pStyle w:val="TOC1"/>
            <w:rPr>
              <w:rFonts w:asciiTheme="minorHAnsi" w:eastAsiaTheme="minorEastAsia" w:hAnsiTheme="minorHAnsi" w:cstheme="minorBidi"/>
              <w:b w:val="0"/>
              <w:bCs w:val="0"/>
              <w:noProof/>
              <w:sz w:val="22"/>
              <w:szCs w:val="22"/>
              <w:lang w:eastAsia="en-AU"/>
            </w:rPr>
          </w:pPr>
          <w:hyperlink w:anchor="_Toc130942912" w:history="1">
            <w:r w:rsidR="00C6136E" w:rsidRPr="007B6A89">
              <w:rPr>
                <w:rStyle w:val="Hyperlink"/>
                <w:noProof/>
              </w:rPr>
              <w:t>About NDS</w:t>
            </w:r>
            <w:r w:rsidR="00C6136E">
              <w:rPr>
                <w:noProof/>
                <w:webHidden/>
              </w:rPr>
              <w:tab/>
            </w:r>
            <w:r w:rsidR="00C6136E">
              <w:rPr>
                <w:noProof/>
                <w:webHidden/>
              </w:rPr>
              <w:fldChar w:fldCharType="begin"/>
            </w:r>
            <w:r w:rsidR="00C6136E">
              <w:rPr>
                <w:noProof/>
                <w:webHidden/>
              </w:rPr>
              <w:instrText xml:space="preserve"> PAGEREF _Toc130942912 \h </w:instrText>
            </w:r>
            <w:r w:rsidR="00C6136E">
              <w:rPr>
                <w:noProof/>
                <w:webHidden/>
              </w:rPr>
            </w:r>
            <w:r w:rsidR="00C6136E">
              <w:rPr>
                <w:noProof/>
                <w:webHidden/>
              </w:rPr>
              <w:fldChar w:fldCharType="separate"/>
            </w:r>
            <w:r w:rsidR="00C6136E">
              <w:rPr>
                <w:noProof/>
                <w:webHidden/>
              </w:rPr>
              <w:t>4</w:t>
            </w:r>
            <w:r w:rsidR="00C6136E">
              <w:rPr>
                <w:noProof/>
                <w:webHidden/>
              </w:rPr>
              <w:fldChar w:fldCharType="end"/>
            </w:r>
          </w:hyperlink>
        </w:p>
        <w:p w14:paraId="580A1A9F" w14:textId="0300855A" w:rsidR="00C6136E" w:rsidRDefault="00000000">
          <w:pPr>
            <w:pStyle w:val="TOC1"/>
            <w:rPr>
              <w:rFonts w:asciiTheme="minorHAnsi" w:eastAsiaTheme="minorEastAsia" w:hAnsiTheme="minorHAnsi" w:cstheme="minorBidi"/>
              <w:b w:val="0"/>
              <w:bCs w:val="0"/>
              <w:noProof/>
              <w:sz w:val="22"/>
              <w:szCs w:val="22"/>
              <w:lang w:eastAsia="en-AU"/>
            </w:rPr>
          </w:pPr>
          <w:hyperlink w:anchor="_Toc130942913" w:history="1">
            <w:r w:rsidR="00C6136E" w:rsidRPr="007B6A89">
              <w:rPr>
                <w:rStyle w:val="Hyperlink"/>
                <w:noProof/>
              </w:rPr>
              <w:t>Summary and Recommendations</w:t>
            </w:r>
            <w:r w:rsidR="00C6136E">
              <w:rPr>
                <w:noProof/>
                <w:webHidden/>
              </w:rPr>
              <w:tab/>
            </w:r>
            <w:r w:rsidR="00C6136E">
              <w:rPr>
                <w:noProof/>
                <w:webHidden/>
              </w:rPr>
              <w:fldChar w:fldCharType="begin"/>
            </w:r>
            <w:r w:rsidR="00C6136E">
              <w:rPr>
                <w:noProof/>
                <w:webHidden/>
              </w:rPr>
              <w:instrText xml:space="preserve"> PAGEREF _Toc130942913 \h </w:instrText>
            </w:r>
            <w:r w:rsidR="00C6136E">
              <w:rPr>
                <w:noProof/>
                <w:webHidden/>
              </w:rPr>
            </w:r>
            <w:r w:rsidR="00C6136E">
              <w:rPr>
                <w:noProof/>
                <w:webHidden/>
              </w:rPr>
              <w:fldChar w:fldCharType="separate"/>
            </w:r>
            <w:r w:rsidR="00C6136E">
              <w:rPr>
                <w:noProof/>
                <w:webHidden/>
              </w:rPr>
              <w:t>5</w:t>
            </w:r>
            <w:r w:rsidR="00C6136E">
              <w:rPr>
                <w:noProof/>
                <w:webHidden/>
              </w:rPr>
              <w:fldChar w:fldCharType="end"/>
            </w:r>
          </w:hyperlink>
        </w:p>
        <w:p w14:paraId="16AC18EF" w14:textId="4FC0A505" w:rsidR="00C6136E" w:rsidRDefault="00000000">
          <w:pPr>
            <w:pStyle w:val="TOC2"/>
            <w:rPr>
              <w:rFonts w:asciiTheme="minorHAnsi" w:eastAsiaTheme="minorEastAsia" w:hAnsiTheme="minorHAnsi" w:cstheme="minorBidi"/>
              <w:sz w:val="22"/>
              <w:szCs w:val="22"/>
              <w:lang w:eastAsia="en-AU"/>
            </w:rPr>
          </w:pPr>
          <w:hyperlink w:anchor="_Toc130942914" w:history="1">
            <w:r w:rsidR="00C6136E" w:rsidRPr="007B6A89">
              <w:rPr>
                <w:rStyle w:val="Hyperlink"/>
              </w:rPr>
              <w:t>Recommendation 1: Additional transitional investment in the short term</w:t>
            </w:r>
            <w:r w:rsidR="00C6136E">
              <w:rPr>
                <w:webHidden/>
              </w:rPr>
              <w:tab/>
            </w:r>
            <w:r w:rsidR="00C6136E">
              <w:rPr>
                <w:webHidden/>
              </w:rPr>
              <w:fldChar w:fldCharType="begin"/>
            </w:r>
            <w:r w:rsidR="00C6136E">
              <w:rPr>
                <w:webHidden/>
              </w:rPr>
              <w:instrText xml:space="preserve"> PAGEREF _Toc130942914 \h </w:instrText>
            </w:r>
            <w:r w:rsidR="00C6136E">
              <w:rPr>
                <w:webHidden/>
              </w:rPr>
            </w:r>
            <w:r w:rsidR="00C6136E">
              <w:rPr>
                <w:webHidden/>
              </w:rPr>
              <w:fldChar w:fldCharType="separate"/>
            </w:r>
            <w:r w:rsidR="00C6136E">
              <w:rPr>
                <w:webHidden/>
              </w:rPr>
              <w:t>7</w:t>
            </w:r>
            <w:r w:rsidR="00C6136E">
              <w:rPr>
                <w:webHidden/>
              </w:rPr>
              <w:fldChar w:fldCharType="end"/>
            </w:r>
          </w:hyperlink>
        </w:p>
        <w:p w14:paraId="63455420" w14:textId="174DC8EF" w:rsidR="00C6136E" w:rsidRDefault="00000000">
          <w:pPr>
            <w:pStyle w:val="TOC2"/>
            <w:rPr>
              <w:rFonts w:asciiTheme="minorHAnsi" w:eastAsiaTheme="minorEastAsia" w:hAnsiTheme="minorHAnsi" w:cstheme="minorBidi"/>
              <w:sz w:val="22"/>
              <w:szCs w:val="22"/>
              <w:lang w:eastAsia="en-AU"/>
            </w:rPr>
          </w:pPr>
          <w:hyperlink w:anchor="_Toc130942915" w:history="1">
            <w:r w:rsidR="00C6136E" w:rsidRPr="007B6A89">
              <w:rPr>
                <w:rStyle w:val="Hyperlink"/>
              </w:rPr>
              <w:t>Recommendation 2: Scale investment to achieve scheme objectives in the medium term</w:t>
            </w:r>
            <w:r w:rsidR="00C6136E">
              <w:rPr>
                <w:webHidden/>
              </w:rPr>
              <w:tab/>
            </w:r>
            <w:r w:rsidR="00C6136E">
              <w:rPr>
                <w:webHidden/>
              </w:rPr>
              <w:fldChar w:fldCharType="begin"/>
            </w:r>
            <w:r w:rsidR="00C6136E">
              <w:rPr>
                <w:webHidden/>
              </w:rPr>
              <w:instrText xml:space="preserve"> PAGEREF _Toc130942915 \h </w:instrText>
            </w:r>
            <w:r w:rsidR="00C6136E">
              <w:rPr>
                <w:webHidden/>
              </w:rPr>
            </w:r>
            <w:r w:rsidR="00C6136E">
              <w:rPr>
                <w:webHidden/>
              </w:rPr>
              <w:fldChar w:fldCharType="separate"/>
            </w:r>
            <w:r w:rsidR="00C6136E">
              <w:rPr>
                <w:webHidden/>
              </w:rPr>
              <w:t>7</w:t>
            </w:r>
            <w:r w:rsidR="00C6136E">
              <w:rPr>
                <w:webHidden/>
              </w:rPr>
              <w:fldChar w:fldCharType="end"/>
            </w:r>
          </w:hyperlink>
        </w:p>
        <w:p w14:paraId="75B93E84" w14:textId="148B5012" w:rsidR="00C6136E" w:rsidRDefault="00000000">
          <w:pPr>
            <w:pStyle w:val="TOC2"/>
            <w:rPr>
              <w:rFonts w:asciiTheme="minorHAnsi" w:eastAsiaTheme="minorEastAsia" w:hAnsiTheme="minorHAnsi" w:cstheme="minorBidi"/>
              <w:sz w:val="22"/>
              <w:szCs w:val="22"/>
              <w:lang w:eastAsia="en-AU"/>
            </w:rPr>
          </w:pPr>
          <w:hyperlink w:anchor="_Toc130942916" w:history="1">
            <w:r w:rsidR="00C6136E" w:rsidRPr="007B6A89">
              <w:rPr>
                <w:rStyle w:val="Hyperlink"/>
              </w:rPr>
              <w:t>Recommendation 3: Robust data capture process pertaining to Tier 2</w:t>
            </w:r>
            <w:r w:rsidR="00C6136E">
              <w:rPr>
                <w:webHidden/>
              </w:rPr>
              <w:tab/>
            </w:r>
            <w:r w:rsidR="00C6136E">
              <w:rPr>
                <w:webHidden/>
              </w:rPr>
              <w:fldChar w:fldCharType="begin"/>
            </w:r>
            <w:r w:rsidR="00C6136E">
              <w:rPr>
                <w:webHidden/>
              </w:rPr>
              <w:instrText xml:space="preserve"> PAGEREF _Toc130942916 \h </w:instrText>
            </w:r>
            <w:r w:rsidR="00C6136E">
              <w:rPr>
                <w:webHidden/>
              </w:rPr>
            </w:r>
            <w:r w:rsidR="00C6136E">
              <w:rPr>
                <w:webHidden/>
              </w:rPr>
              <w:fldChar w:fldCharType="separate"/>
            </w:r>
            <w:r w:rsidR="00C6136E">
              <w:rPr>
                <w:webHidden/>
              </w:rPr>
              <w:t>8</w:t>
            </w:r>
            <w:r w:rsidR="00C6136E">
              <w:rPr>
                <w:webHidden/>
              </w:rPr>
              <w:fldChar w:fldCharType="end"/>
            </w:r>
          </w:hyperlink>
        </w:p>
        <w:p w14:paraId="5EA0478F" w14:textId="0C71B5A5" w:rsidR="00C6136E" w:rsidRDefault="00000000">
          <w:pPr>
            <w:pStyle w:val="TOC2"/>
            <w:rPr>
              <w:rFonts w:asciiTheme="minorHAnsi" w:eastAsiaTheme="minorEastAsia" w:hAnsiTheme="minorHAnsi" w:cstheme="minorBidi"/>
              <w:sz w:val="22"/>
              <w:szCs w:val="22"/>
              <w:lang w:eastAsia="en-AU"/>
            </w:rPr>
          </w:pPr>
          <w:hyperlink w:anchor="_Toc130942917" w:history="1">
            <w:r w:rsidR="00C6136E" w:rsidRPr="007B6A89">
              <w:rPr>
                <w:rStyle w:val="Hyperlink"/>
              </w:rPr>
              <w:t>Recommendation 4: Additional funding for volunteer facilitation</w:t>
            </w:r>
            <w:r w:rsidR="00C6136E">
              <w:rPr>
                <w:webHidden/>
              </w:rPr>
              <w:tab/>
            </w:r>
            <w:r w:rsidR="00C6136E">
              <w:rPr>
                <w:webHidden/>
              </w:rPr>
              <w:fldChar w:fldCharType="begin"/>
            </w:r>
            <w:r w:rsidR="00C6136E">
              <w:rPr>
                <w:webHidden/>
              </w:rPr>
              <w:instrText xml:space="preserve"> PAGEREF _Toc130942917 \h </w:instrText>
            </w:r>
            <w:r w:rsidR="00C6136E">
              <w:rPr>
                <w:webHidden/>
              </w:rPr>
            </w:r>
            <w:r w:rsidR="00C6136E">
              <w:rPr>
                <w:webHidden/>
              </w:rPr>
              <w:fldChar w:fldCharType="separate"/>
            </w:r>
            <w:r w:rsidR="00C6136E">
              <w:rPr>
                <w:webHidden/>
              </w:rPr>
              <w:t>8</w:t>
            </w:r>
            <w:r w:rsidR="00C6136E">
              <w:rPr>
                <w:webHidden/>
              </w:rPr>
              <w:fldChar w:fldCharType="end"/>
            </w:r>
          </w:hyperlink>
        </w:p>
        <w:p w14:paraId="45E631A9" w14:textId="26D59AF8" w:rsidR="00C6136E" w:rsidRDefault="00000000">
          <w:pPr>
            <w:pStyle w:val="TOC2"/>
            <w:rPr>
              <w:rFonts w:asciiTheme="minorHAnsi" w:eastAsiaTheme="minorEastAsia" w:hAnsiTheme="minorHAnsi" w:cstheme="minorBidi"/>
              <w:sz w:val="22"/>
              <w:szCs w:val="22"/>
              <w:lang w:eastAsia="en-AU"/>
            </w:rPr>
          </w:pPr>
          <w:hyperlink w:anchor="_Toc130942918" w:history="1">
            <w:r w:rsidR="00C6136E" w:rsidRPr="007B6A89">
              <w:rPr>
                <w:rStyle w:val="Hyperlink"/>
              </w:rPr>
              <w:t>Recommendation 5: Capacity replacement investment in the short term</w:t>
            </w:r>
            <w:r w:rsidR="00C6136E">
              <w:rPr>
                <w:webHidden/>
              </w:rPr>
              <w:tab/>
            </w:r>
            <w:r w:rsidR="00C6136E">
              <w:rPr>
                <w:webHidden/>
              </w:rPr>
              <w:fldChar w:fldCharType="begin"/>
            </w:r>
            <w:r w:rsidR="00C6136E">
              <w:rPr>
                <w:webHidden/>
              </w:rPr>
              <w:instrText xml:space="preserve"> PAGEREF _Toc130942918 \h </w:instrText>
            </w:r>
            <w:r w:rsidR="00C6136E">
              <w:rPr>
                <w:webHidden/>
              </w:rPr>
            </w:r>
            <w:r w:rsidR="00C6136E">
              <w:rPr>
                <w:webHidden/>
              </w:rPr>
              <w:fldChar w:fldCharType="separate"/>
            </w:r>
            <w:r w:rsidR="00C6136E">
              <w:rPr>
                <w:webHidden/>
              </w:rPr>
              <w:t>8</w:t>
            </w:r>
            <w:r w:rsidR="00C6136E">
              <w:rPr>
                <w:webHidden/>
              </w:rPr>
              <w:fldChar w:fldCharType="end"/>
            </w:r>
          </w:hyperlink>
        </w:p>
        <w:p w14:paraId="2B0BEBC6" w14:textId="4A508E33" w:rsidR="00C6136E" w:rsidRDefault="00000000">
          <w:pPr>
            <w:pStyle w:val="TOC2"/>
            <w:rPr>
              <w:rFonts w:asciiTheme="minorHAnsi" w:eastAsiaTheme="minorEastAsia" w:hAnsiTheme="minorHAnsi" w:cstheme="minorBidi"/>
              <w:sz w:val="22"/>
              <w:szCs w:val="22"/>
              <w:lang w:eastAsia="en-AU"/>
            </w:rPr>
          </w:pPr>
          <w:hyperlink w:anchor="_Toc130942919" w:history="1">
            <w:r w:rsidR="00C6136E" w:rsidRPr="007B6A89">
              <w:rPr>
                <w:rStyle w:val="Hyperlink"/>
              </w:rPr>
              <w:t>Recommendation 6: Stabilisation of funding provision</w:t>
            </w:r>
            <w:r w:rsidR="00C6136E">
              <w:rPr>
                <w:webHidden/>
              </w:rPr>
              <w:tab/>
            </w:r>
            <w:r w:rsidR="00C6136E">
              <w:rPr>
                <w:webHidden/>
              </w:rPr>
              <w:fldChar w:fldCharType="begin"/>
            </w:r>
            <w:r w:rsidR="00C6136E">
              <w:rPr>
                <w:webHidden/>
              </w:rPr>
              <w:instrText xml:space="preserve"> PAGEREF _Toc130942919 \h </w:instrText>
            </w:r>
            <w:r w:rsidR="00C6136E">
              <w:rPr>
                <w:webHidden/>
              </w:rPr>
            </w:r>
            <w:r w:rsidR="00C6136E">
              <w:rPr>
                <w:webHidden/>
              </w:rPr>
              <w:fldChar w:fldCharType="separate"/>
            </w:r>
            <w:r w:rsidR="00C6136E">
              <w:rPr>
                <w:webHidden/>
              </w:rPr>
              <w:t>8</w:t>
            </w:r>
            <w:r w:rsidR="00C6136E">
              <w:rPr>
                <w:webHidden/>
              </w:rPr>
              <w:fldChar w:fldCharType="end"/>
            </w:r>
          </w:hyperlink>
        </w:p>
        <w:p w14:paraId="0360DA6F" w14:textId="311C5966" w:rsidR="00C6136E" w:rsidRDefault="00000000">
          <w:pPr>
            <w:pStyle w:val="TOC2"/>
            <w:rPr>
              <w:rFonts w:asciiTheme="minorHAnsi" w:eastAsiaTheme="minorEastAsia" w:hAnsiTheme="minorHAnsi" w:cstheme="minorBidi"/>
              <w:sz w:val="22"/>
              <w:szCs w:val="22"/>
              <w:lang w:eastAsia="en-AU"/>
            </w:rPr>
          </w:pPr>
          <w:hyperlink w:anchor="_Toc130942920" w:history="1">
            <w:r w:rsidR="00C6136E" w:rsidRPr="007B6A89">
              <w:rPr>
                <w:rStyle w:val="Hyperlink"/>
              </w:rPr>
              <w:t>Recommendation 7: More granular data provision at Local (Council) level</w:t>
            </w:r>
            <w:r w:rsidR="00C6136E">
              <w:rPr>
                <w:webHidden/>
              </w:rPr>
              <w:tab/>
            </w:r>
            <w:r w:rsidR="00C6136E">
              <w:rPr>
                <w:webHidden/>
              </w:rPr>
              <w:fldChar w:fldCharType="begin"/>
            </w:r>
            <w:r w:rsidR="00C6136E">
              <w:rPr>
                <w:webHidden/>
              </w:rPr>
              <w:instrText xml:space="preserve"> PAGEREF _Toc130942920 \h </w:instrText>
            </w:r>
            <w:r w:rsidR="00C6136E">
              <w:rPr>
                <w:webHidden/>
              </w:rPr>
            </w:r>
            <w:r w:rsidR="00C6136E">
              <w:rPr>
                <w:webHidden/>
              </w:rPr>
              <w:fldChar w:fldCharType="separate"/>
            </w:r>
            <w:r w:rsidR="00C6136E">
              <w:rPr>
                <w:webHidden/>
              </w:rPr>
              <w:t>9</w:t>
            </w:r>
            <w:r w:rsidR="00C6136E">
              <w:rPr>
                <w:webHidden/>
              </w:rPr>
              <w:fldChar w:fldCharType="end"/>
            </w:r>
          </w:hyperlink>
        </w:p>
        <w:p w14:paraId="35A87D16" w14:textId="353FAF39" w:rsidR="00C6136E" w:rsidRDefault="00000000">
          <w:pPr>
            <w:pStyle w:val="TOC2"/>
            <w:rPr>
              <w:rFonts w:asciiTheme="minorHAnsi" w:eastAsiaTheme="minorEastAsia" w:hAnsiTheme="minorHAnsi" w:cstheme="minorBidi"/>
              <w:sz w:val="22"/>
              <w:szCs w:val="22"/>
              <w:lang w:eastAsia="en-AU"/>
            </w:rPr>
          </w:pPr>
          <w:hyperlink w:anchor="_Toc130942921" w:history="1">
            <w:r w:rsidR="00C6136E" w:rsidRPr="007B6A89">
              <w:rPr>
                <w:rStyle w:val="Hyperlink"/>
              </w:rPr>
              <w:t>Recommendation 8: Provision of State level disability services investment data</w:t>
            </w:r>
            <w:r w:rsidR="00C6136E">
              <w:rPr>
                <w:webHidden/>
              </w:rPr>
              <w:tab/>
            </w:r>
            <w:r w:rsidR="00C6136E">
              <w:rPr>
                <w:webHidden/>
              </w:rPr>
              <w:fldChar w:fldCharType="begin"/>
            </w:r>
            <w:r w:rsidR="00C6136E">
              <w:rPr>
                <w:webHidden/>
              </w:rPr>
              <w:instrText xml:space="preserve"> PAGEREF _Toc130942921 \h </w:instrText>
            </w:r>
            <w:r w:rsidR="00C6136E">
              <w:rPr>
                <w:webHidden/>
              </w:rPr>
            </w:r>
            <w:r w:rsidR="00C6136E">
              <w:rPr>
                <w:webHidden/>
              </w:rPr>
              <w:fldChar w:fldCharType="separate"/>
            </w:r>
            <w:r w:rsidR="00C6136E">
              <w:rPr>
                <w:webHidden/>
              </w:rPr>
              <w:t>9</w:t>
            </w:r>
            <w:r w:rsidR="00C6136E">
              <w:rPr>
                <w:webHidden/>
              </w:rPr>
              <w:fldChar w:fldCharType="end"/>
            </w:r>
          </w:hyperlink>
        </w:p>
        <w:p w14:paraId="1BD387A4" w14:textId="23C3D17A" w:rsidR="00C6136E" w:rsidRDefault="00000000">
          <w:pPr>
            <w:pStyle w:val="TOC1"/>
            <w:rPr>
              <w:rFonts w:asciiTheme="minorHAnsi" w:eastAsiaTheme="minorEastAsia" w:hAnsiTheme="minorHAnsi" w:cstheme="minorBidi"/>
              <w:b w:val="0"/>
              <w:bCs w:val="0"/>
              <w:noProof/>
              <w:sz w:val="22"/>
              <w:szCs w:val="22"/>
              <w:lang w:eastAsia="en-AU"/>
            </w:rPr>
          </w:pPr>
          <w:hyperlink w:anchor="_Toc130942922" w:history="1">
            <w:r w:rsidR="00C6136E" w:rsidRPr="007B6A89">
              <w:rPr>
                <w:rStyle w:val="Hyperlink"/>
                <w:noProof/>
              </w:rPr>
              <w:t>Scope of Research</w:t>
            </w:r>
            <w:r w:rsidR="00C6136E">
              <w:rPr>
                <w:noProof/>
                <w:webHidden/>
              </w:rPr>
              <w:tab/>
            </w:r>
            <w:r w:rsidR="00C6136E">
              <w:rPr>
                <w:noProof/>
                <w:webHidden/>
              </w:rPr>
              <w:fldChar w:fldCharType="begin"/>
            </w:r>
            <w:r w:rsidR="00C6136E">
              <w:rPr>
                <w:noProof/>
                <w:webHidden/>
              </w:rPr>
              <w:instrText xml:space="preserve"> PAGEREF _Toc130942922 \h </w:instrText>
            </w:r>
            <w:r w:rsidR="00C6136E">
              <w:rPr>
                <w:noProof/>
                <w:webHidden/>
              </w:rPr>
            </w:r>
            <w:r w:rsidR="00C6136E">
              <w:rPr>
                <w:noProof/>
                <w:webHidden/>
              </w:rPr>
              <w:fldChar w:fldCharType="separate"/>
            </w:r>
            <w:r w:rsidR="00C6136E">
              <w:rPr>
                <w:noProof/>
                <w:webHidden/>
              </w:rPr>
              <w:t>10</w:t>
            </w:r>
            <w:r w:rsidR="00C6136E">
              <w:rPr>
                <w:noProof/>
                <w:webHidden/>
              </w:rPr>
              <w:fldChar w:fldCharType="end"/>
            </w:r>
          </w:hyperlink>
        </w:p>
        <w:p w14:paraId="1D075F78" w14:textId="7F63229A" w:rsidR="00C6136E" w:rsidRDefault="00000000">
          <w:pPr>
            <w:pStyle w:val="TOC1"/>
            <w:rPr>
              <w:rFonts w:asciiTheme="minorHAnsi" w:eastAsiaTheme="minorEastAsia" w:hAnsiTheme="minorHAnsi" w:cstheme="minorBidi"/>
              <w:b w:val="0"/>
              <w:bCs w:val="0"/>
              <w:noProof/>
              <w:sz w:val="22"/>
              <w:szCs w:val="22"/>
              <w:lang w:eastAsia="en-AU"/>
            </w:rPr>
          </w:pPr>
          <w:hyperlink w:anchor="_Toc130942923" w:history="1">
            <w:r w:rsidR="00C6136E" w:rsidRPr="007B6A89">
              <w:rPr>
                <w:rStyle w:val="Hyperlink"/>
                <w:noProof/>
              </w:rPr>
              <w:t>Acronyms, Abbreviations and Key Definitions</w:t>
            </w:r>
            <w:r w:rsidR="00C6136E">
              <w:rPr>
                <w:noProof/>
                <w:webHidden/>
              </w:rPr>
              <w:tab/>
            </w:r>
            <w:r w:rsidR="00C6136E">
              <w:rPr>
                <w:noProof/>
                <w:webHidden/>
              </w:rPr>
              <w:fldChar w:fldCharType="begin"/>
            </w:r>
            <w:r w:rsidR="00C6136E">
              <w:rPr>
                <w:noProof/>
                <w:webHidden/>
              </w:rPr>
              <w:instrText xml:space="preserve"> PAGEREF _Toc130942923 \h </w:instrText>
            </w:r>
            <w:r w:rsidR="00C6136E">
              <w:rPr>
                <w:noProof/>
                <w:webHidden/>
              </w:rPr>
            </w:r>
            <w:r w:rsidR="00C6136E">
              <w:rPr>
                <w:noProof/>
                <w:webHidden/>
              </w:rPr>
              <w:fldChar w:fldCharType="separate"/>
            </w:r>
            <w:r w:rsidR="00C6136E">
              <w:rPr>
                <w:noProof/>
                <w:webHidden/>
              </w:rPr>
              <w:t>10</w:t>
            </w:r>
            <w:r w:rsidR="00C6136E">
              <w:rPr>
                <w:noProof/>
                <w:webHidden/>
              </w:rPr>
              <w:fldChar w:fldCharType="end"/>
            </w:r>
          </w:hyperlink>
        </w:p>
        <w:p w14:paraId="3EE63D9C" w14:textId="592572CF" w:rsidR="00C6136E" w:rsidRDefault="00000000">
          <w:pPr>
            <w:pStyle w:val="TOC2"/>
            <w:rPr>
              <w:rFonts w:asciiTheme="minorHAnsi" w:eastAsiaTheme="minorEastAsia" w:hAnsiTheme="minorHAnsi" w:cstheme="minorBidi"/>
              <w:sz w:val="22"/>
              <w:szCs w:val="22"/>
              <w:lang w:eastAsia="en-AU"/>
            </w:rPr>
          </w:pPr>
          <w:hyperlink w:anchor="_Toc130942924" w:history="1">
            <w:r w:rsidR="00C6136E" w:rsidRPr="007B6A89">
              <w:rPr>
                <w:rStyle w:val="Hyperlink"/>
              </w:rPr>
              <w:t>Acronyms and Abbreviations</w:t>
            </w:r>
            <w:r w:rsidR="00C6136E">
              <w:rPr>
                <w:webHidden/>
              </w:rPr>
              <w:tab/>
            </w:r>
            <w:r w:rsidR="00C6136E">
              <w:rPr>
                <w:webHidden/>
              </w:rPr>
              <w:fldChar w:fldCharType="begin"/>
            </w:r>
            <w:r w:rsidR="00C6136E">
              <w:rPr>
                <w:webHidden/>
              </w:rPr>
              <w:instrText xml:space="preserve"> PAGEREF _Toc130942924 \h </w:instrText>
            </w:r>
            <w:r w:rsidR="00C6136E">
              <w:rPr>
                <w:webHidden/>
              </w:rPr>
            </w:r>
            <w:r w:rsidR="00C6136E">
              <w:rPr>
                <w:webHidden/>
              </w:rPr>
              <w:fldChar w:fldCharType="separate"/>
            </w:r>
            <w:r w:rsidR="00C6136E">
              <w:rPr>
                <w:webHidden/>
              </w:rPr>
              <w:t>10</w:t>
            </w:r>
            <w:r w:rsidR="00C6136E">
              <w:rPr>
                <w:webHidden/>
              </w:rPr>
              <w:fldChar w:fldCharType="end"/>
            </w:r>
          </w:hyperlink>
        </w:p>
        <w:p w14:paraId="21D65A4C" w14:textId="66FF8439" w:rsidR="00C6136E" w:rsidRDefault="00000000">
          <w:pPr>
            <w:pStyle w:val="TOC2"/>
            <w:rPr>
              <w:rFonts w:asciiTheme="minorHAnsi" w:eastAsiaTheme="minorEastAsia" w:hAnsiTheme="minorHAnsi" w:cstheme="minorBidi"/>
              <w:sz w:val="22"/>
              <w:szCs w:val="22"/>
              <w:lang w:eastAsia="en-AU"/>
            </w:rPr>
          </w:pPr>
          <w:hyperlink w:anchor="_Toc130942925" w:history="1">
            <w:r w:rsidR="00C6136E" w:rsidRPr="007B6A89">
              <w:rPr>
                <w:rStyle w:val="Hyperlink"/>
              </w:rPr>
              <w:t>Key Definitions</w:t>
            </w:r>
            <w:r w:rsidR="00C6136E">
              <w:rPr>
                <w:webHidden/>
              </w:rPr>
              <w:tab/>
            </w:r>
            <w:r w:rsidR="00C6136E">
              <w:rPr>
                <w:webHidden/>
              </w:rPr>
              <w:fldChar w:fldCharType="begin"/>
            </w:r>
            <w:r w:rsidR="00C6136E">
              <w:rPr>
                <w:webHidden/>
              </w:rPr>
              <w:instrText xml:space="preserve"> PAGEREF _Toc130942925 \h </w:instrText>
            </w:r>
            <w:r w:rsidR="00C6136E">
              <w:rPr>
                <w:webHidden/>
              </w:rPr>
            </w:r>
            <w:r w:rsidR="00C6136E">
              <w:rPr>
                <w:webHidden/>
              </w:rPr>
              <w:fldChar w:fldCharType="separate"/>
            </w:r>
            <w:r w:rsidR="00C6136E">
              <w:rPr>
                <w:webHidden/>
              </w:rPr>
              <w:t>11</w:t>
            </w:r>
            <w:r w:rsidR="00C6136E">
              <w:rPr>
                <w:webHidden/>
              </w:rPr>
              <w:fldChar w:fldCharType="end"/>
            </w:r>
          </w:hyperlink>
        </w:p>
        <w:p w14:paraId="3752DA2B" w14:textId="47A14858" w:rsidR="00C6136E" w:rsidRDefault="00000000">
          <w:pPr>
            <w:pStyle w:val="TOC1"/>
            <w:rPr>
              <w:rFonts w:asciiTheme="minorHAnsi" w:eastAsiaTheme="minorEastAsia" w:hAnsiTheme="minorHAnsi" w:cstheme="minorBidi"/>
              <w:b w:val="0"/>
              <w:bCs w:val="0"/>
              <w:noProof/>
              <w:sz w:val="22"/>
              <w:szCs w:val="22"/>
              <w:lang w:eastAsia="en-AU"/>
            </w:rPr>
          </w:pPr>
          <w:hyperlink w:anchor="_Toc130942926" w:history="1">
            <w:r w:rsidR="00C6136E" w:rsidRPr="007B6A89">
              <w:rPr>
                <w:rStyle w:val="Hyperlink"/>
                <w:noProof/>
              </w:rPr>
              <w:t>Introduction</w:t>
            </w:r>
            <w:r w:rsidR="00C6136E">
              <w:rPr>
                <w:noProof/>
                <w:webHidden/>
              </w:rPr>
              <w:tab/>
            </w:r>
            <w:r w:rsidR="00C6136E">
              <w:rPr>
                <w:noProof/>
                <w:webHidden/>
              </w:rPr>
              <w:fldChar w:fldCharType="begin"/>
            </w:r>
            <w:r w:rsidR="00C6136E">
              <w:rPr>
                <w:noProof/>
                <w:webHidden/>
              </w:rPr>
              <w:instrText xml:space="preserve"> PAGEREF _Toc130942926 \h </w:instrText>
            </w:r>
            <w:r w:rsidR="00C6136E">
              <w:rPr>
                <w:noProof/>
                <w:webHidden/>
              </w:rPr>
            </w:r>
            <w:r w:rsidR="00C6136E">
              <w:rPr>
                <w:noProof/>
                <w:webHidden/>
              </w:rPr>
              <w:fldChar w:fldCharType="separate"/>
            </w:r>
            <w:r w:rsidR="00C6136E">
              <w:rPr>
                <w:noProof/>
                <w:webHidden/>
              </w:rPr>
              <w:t>12</w:t>
            </w:r>
            <w:r w:rsidR="00C6136E">
              <w:rPr>
                <w:noProof/>
                <w:webHidden/>
              </w:rPr>
              <w:fldChar w:fldCharType="end"/>
            </w:r>
          </w:hyperlink>
        </w:p>
        <w:p w14:paraId="0088852F" w14:textId="012E2D73" w:rsidR="00C6136E" w:rsidRDefault="00000000">
          <w:pPr>
            <w:pStyle w:val="TOC2"/>
            <w:rPr>
              <w:rFonts w:asciiTheme="minorHAnsi" w:eastAsiaTheme="minorEastAsia" w:hAnsiTheme="minorHAnsi" w:cstheme="minorBidi"/>
              <w:sz w:val="22"/>
              <w:szCs w:val="22"/>
              <w:lang w:eastAsia="en-AU"/>
            </w:rPr>
          </w:pPr>
          <w:hyperlink w:anchor="_Toc130942927" w:history="1">
            <w:r w:rsidR="00C6136E" w:rsidRPr="007B6A89">
              <w:rPr>
                <w:rStyle w:val="Hyperlink"/>
              </w:rPr>
              <w:t>Understanding the intention of Tier 1 and Tier 2 supports in Disability Care</w:t>
            </w:r>
            <w:r w:rsidR="00C6136E">
              <w:rPr>
                <w:webHidden/>
              </w:rPr>
              <w:tab/>
            </w:r>
            <w:r w:rsidR="00C6136E">
              <w:rPr>
                <w:webHidden/>
              </w:rPr>
              <w:fldChar w:fldCharType="begin"/>
            </w:r>
            <w:r w:rsidR="00C6136E">
              <w:rPr>
                <w:webHidden/>
              </w:rPr>
              <w:instrText xml:space="preserve"> PAGEREF _Toc130942927 \h </w:instrText>
            </w:r>
            <w:r w:rsidR="00C6136E">
              <w:rPr>
                <w:webHidden/>
              </w:rPr>
            </w:r>
            <w:r w:rsidR="00C6136E">
              <w:rPr>
                <w:webHidden/>
              </w:rPr>
              <w:fldChar w:fldCharType="separate"/>
            </w:r>
            <w:r w:rsidR="00C6136E">
              <w:rPr>
                <w:webHidden/>
              </w:rPr>
              <w:t>14</w:t>
            </w:r>
            <w:r w:rsidR="00C6136E">
              <w:rPr>
                <w:webHidden/>
              </w:rPr>
              <w:fldChar w:fldCharType="end"/>
            </w:r>
          </w:hyperlink>
        </w:p>
        <w:p w14:paraId="1069FC39" w14:textId="47D57591" w:rsidR="00C6136E" w:rsidRDefault="00000000">
          <w:pPr>
            <w:pStyle w:val="TOC1"/>
            <w:rPr>
              <w:rFonts w:asciiTheme="minorHAnsi" w:eastAsiaTheme="minorEastAsia" w:hAnsiTheme="minorHAnsi" w:cstheme="minorBidi"/>
              <w:b w:val="0"/>
              <w:bCs w:val="0"/>
              <w:noProof/>
              <w:sz w:val="22"/>
              <w:szCs w:val="22"/>
              <w:lang w:eastAsia="en-AU"/>
            </w:rPr>
          </w:pPr>
          <w:hyperlink w:anchor="_Toc130942928" w:history="1">
            <w:r w:rsidR="00C6136E" w:rsidRPr="007B6A89">
              <w:rPr>
                <w:rStyle w:val="Hyperlink"/>
                <w:noProof/>
              </w:rPr>
              <w:t>Overall national level trends in disability expenditure grants</w:t>
            </w:r>
            <w:r w:rsidR="00C6136E">
              <w:rPr>
                <w:noProof/>
                <w:webHidden/>
              </w:rPr>
              <w:tab/>
            </w:r>
            <w:r w:rsidR="00C6136E">
              <w:rPr>
                <w:noProof/>
                <w:webHidden/>
              </w:rPr>
              <w:fldChar w:fldCharType="begin"/>
            </w:r>
            <w:r w:rsidR="00C6136E">
              <w:rPr>
                <w:noProof/>
                <w:webHidden/>
              </w:rPr>
              <w:instrText xml:space="preserve"> PAGEREF _Toc130942928 \h </w:instrText>
            </w:r>
            <w:r w:rsidR="00C6136E">
              <w:rPr>
                <w:noProof/>
                <w:webHidden/>
              </w:rPr>
            </w:r>
            <w:r w:rsidR="00C6136E">
              <w:rPr>
                <w:noProof/>
                <w:webHidden/>
              </w:rPr>
              <w:fldChar w:fldCharType="separate"/>
            </w:r>
            <w:r w:rsidR="00C6136E">
              <w:rPr>
                <w:noProof/>
                <w:webHidden/>
              </w:rPr>
              <w:t>16</w:t>
            </w:r>
            <w:r w:rsidR="00C6136E">
              <w:rPr>
                <w:noProof/>
                <w:webHidden/>
              </w:rPr>
              <w:fldChar w:fldCharType="end"/>
            </w:r>
          </w:hyperlink>
        </w:p>
        <w:p w14:paraId="4CFDC743" w14:textId="0FE44BE5" w:rsidR="00C6136E" w:rsidRDefault="00000000">
          <w:pPr>
            <w:pStyle w:val="TOC2"/>
            <w:rPr>
              <w:rFonts w:asciiTheme="minorHAnsi" w:eastAsiaTheme="minorEastAsia" w:hAnsiTheme="minorHAnsi" w:cstheme="minorBidi"/>
              <w:sz w:val="22"/>
              <w:szCs w:val="22"/>
              <w:lang w:eastAsia="en-AU"/>
            </w:rPr>
          </w:pPr>
          <w:hyperlink w:anchor="_Toc130942929" w:history="1">
            <w:r w:rsidR="00C6136E" w:rsidRPr="007B6A89">
              <w:rPr>
                <w:rStyle w:val="Hyperlink"/>
              </w:rPr>
              <w:t>International comparisons of total welfare investment</w:t>
            </w:r>
            <w:r w:rsidR="00C6136E">
              <w:rPr>
                <w:webHidden/>
              </w:rPr>
              <w:tab/>
            </w:r>
            <w:r w:rsidR="00C6136E">
              <w:rPr>
                <w:webHidden/>
              </w:rPr>
              <w:fldChar w:fldCharType="begin"/>
            </w:r>
            <w:r w:rsidR="00C6136E">
              <w:rPr>
                <w:webHidden/>
              </w:rPr>
              <w:instrText xml:space="preserve"> PAGEREF _Toc130942929 \h </w:instrText>
            </w:r>
            <w:r w:rsidR="00C6136E">
              <w:rPr>
                <w:webHidden/>
              </w:rPr>
            </w:r>
            <w:r w:rsidR="00C6136E">
              <w:rPr>
                <w:webHidden/>
              </w:rPr>
              <w:fldChar w:fldCharType="separate"/>
            </w:r>
            <w:r w:rsidR="00C6136E">
              <w:rPr>
                <w:webHidden/>
              </w:rPr>
              <w:t>17</w:t>
            </w:r>
            <w:r w:rsidR="00C6136E">
              <w:rPr>
                <w:webHidden/>
              </w:rPr>
              <w:fldChar w:fldCharType="end"/>
            </w:r>
          </w:hyperlink>
        </w:p>
        <w:p w14:paraId="3ED22F4B" w14:textId="7637CFF9" w:rsidR="00C6136E" w:rsidRDefault="00000000">
          <w:pPr>
            <w:pStyle w:val="TOC2"/>
            <w:rPr>
              <w:rFonts w:asciiTheme="minorHAnsi" w:eastAsiaTheme="minorEastAsia" w:hAnsiTheme="minorHAnsi" w:cstheme="minorBidi"/>
              <w:sz w:val="22"/>
              <w:szCs w:val="22"/>
              <w:lang w:eastAsia="en-AU"/>
            </w:rPr>
          </w:pPr>
          <w:hyperlink w:anchor="_Toc130942930" w:history="1">
            <w:r w:rsidR="00C6136E" w:rsidRPr="007B6A89">
              <w:rPr>
                <w:rStyle w:val="Hyperlink"/>
              </w:rPr>
              <w:t>Trends in State and Federal Welfare Investment</w:t>
            </w:r>
            <w:r w:rsidR="00C6136E">
              <w:rPr>
                <w:webHidden/>
              </w:rPr>
              <w:tab/>
            </w:r>
            <w:r w:rsidR="00C6136E">
              <w:rPr>
                <w:webHidden/>
              </w:rPr>
              <w:fldChar w:fldCharType="begin"/>
            </w:r>
            <w:r w:rsidR="00C6136E">
              <w:rPr>
                <w:webHidden/>
              </w:rPr>
              <w:instrText xml:space="preserve"> PAGEREF _Toc130942930 \h </w:instrText>
            </w:r>
            <w:r w:rsidR="00C6136E">
              <w:rPr>
                <w:webHidden/>
              </w:rPr>
            </w:r>
            <w:r w:rsidR="00C6136E">
              <w:rPr>
                <w:webHidden/>
              </w:rPr>
              <w:fldChar w:fldCharType="separate"/>
            </w:r>
            <w:r w:rsidR="00C6136E">
              <w:rPr>
                <w:webHidden/>
              </w:rPr>
              <w:t>20</w:t>
            </w:r>
            <w:r w:rsidR="00C6136E">
              <w:rPr>
                <w:webHidden/>
              </w:rPr>
              <w:fldChar w:fldCharType="end"/>
            </w:r>
          </w:hyperlink>
        </w:p>
        <w:p w14:paraId="206D193A" w14:textId="1E2E5E4E" w:rsidR="00C6136E" w:rsidRDefault="00000000">
          <w:pPr>
            <w:pStyle w:val="TOC1"/>
            <w:rPr>
              <w:rFonts w:asciiTheme="minorHAnsi" w:eastAsiaTheme="minorEastAsia" w:hAnsiTheme="minorHAnsi" w:cstheme="minorBidi"/>
              <w:b w:val="0"/>
              <w:bCs w:val="0"/>
              <w:noProof/>
              <w:sz w:val="22"/>
              <w:szCs w:val="22"/>
              <w:lang w:eastAsia="en-AU"/>
            </w:rPr>
          </w:pPr>
          <w:hyperlink w:anchor="_Toc130942931" w:history="1">
            <w:r w:rsidR="00C6136E" w:rsidRPr="007B6A89">
              <w:rPr>
                <w:rStyle w:val="Hyperlink"/>
                <w:noProof/>
              </w:rPr>
              <w:t>Trends in disability services specific expenditure (2017 to 2022)</w:t>
            </w:r>
            <w:r w:rsidR="00C6136E">
              <w:rPr>
                <w:noProof/>
                <w:webHidden/>
              </w:rPr>
              <w:tab/>
            </w:r>
            <w:r w:rsidR="00C6136E">
              <w:rPr>
                <w:noProof/>
                <w:webHidden/>
              </w:rPr>
              <w:fldChar w:fldCharType="begin"/>
            </w:r>
            <w:r w:rsidR="00C6136E">
              <w:rPr>
                <w:noProof/>
                <w:webHidden/>
              </w:rPr>
              <w:instrText xml:space="preserve"> PAGEREF _Toc130942931 \h </w:instrText>
            </w:r>
            <w:r w:rsidR="00C6136E">
              <w:rPr>
                <w:noProof/>
                <w:webHidden/>
              </w:rPr>
            </w:r>
            <w:r w:rsidR="00C6136E">
              <w:rPr>
                <w:noProof/>
                <w:webHidden/>
              </w:rPr>
              <w:fldChar w:fldCharType="separate"/>
            </w:r>
            <w:r w:rsidR="00C6136E">
              <w:rPr>
                <w:noProof/>
                <w:webHidden/>
              </w:rPr>
              <w:t>23</w:t>
            </w:r>
            <w:r w:rsidR="00C6136E">
              <w:rPr>
                <w:noProof/>
                <w:webHidden/>
              </w:rPr>
              <w:fldChar w:fldCharType="end"/>
            </w:r>
          </w:hyperlink>
        </w:p>
        <w:p w14:paraId="146D9CC4" w14:textId="05D9CC89" w:rsidR="00C6136E" w:rsidRDefault="00000000">
          <w:pPr>
            <w:pStyle w:val="TOC2"/>
            <w:rPr>
              <w:rFonts w:asciiTheme="minorHAnsi" w:eastAsiaTheme="minorEastAsia" w:hAnsiTheme="minorHAnsi" w:cstheme="minorBidi"/>
              <w:sz w:val="22"/>
              <w:szCs w:val="22"/>
              <w:lang w:eastAsia="en-AU"/>
            </w:rPr>
          </w:pPr>
          <w:hyperlink w:anchor="_Toc130942932" w:history="1">
            <w:r w:rsidR="00C6136E" w:rsidRPr="007B6A89">
              <w:rPr>
                <w:rStyle w:val="Hyperlink"/>
              </w:rPr>
              <w:t>Analysis of Tier 2 aligned expenditures: low rates and inconsistency</w:t>
            </w:r>
            <w:r w:rsidR="00C6136E">
              <w:rPr>
                <w:webHidden/>
              </w:rPr>
              <w:tab/>
            </w:r>
            <w:r w:rsidR="00C6136E">
              <w:rPr>
                <w:webHidden/>
              </w:rPr>
              <w:fldChar w:fldCharType="begin"/>
            </w:r>
            <w:r w:rsidR="00C6136E">
              <w:rPr>
                <w:webHidden/>
              </w:rPr>
              <w:instrText xml:space="preserve"> PAGEREF _Toc130942932 \h </w:instrText>
            </w:r>
            <w:r w:rsidR="00C6136E">
              <w:rPr>
                <w:webHidden/>
              </w:rPr>
            </w:r>
            <w:r w:rsidR="00C6136E">
              <w:rPr>
                <w:webHidden/>
              </w:rPr>
              <w:fldChar w:fldCharType="separate"/>
            </w:r>
            <w:r w:rsidR="00C6136E">
              <w:rPr>
                <w:webHidden/>
              </w:rPr>
              <w:t>24</w:t>
            </w:r>
            <w:r w:rsidR="00C6136E">
              <w:rPr>
                <w:webHidden/>
              </w:rPr>
              <w:fldChar w:fldCharType="end"/>
            </w:r>
          </w:hyperlink>
        </w:p>
        <w:p w14:paraId="4C23C4BF" w14:textId="2AE9DC02" w:rsidR="00C6136E" w:rsidRDefault="00000000">
          <w:pPr>
            <w:pStyle w:val="TOC3"/>
            <w:tabs>
              <w:tab w:val="right" w:leader="dot" w:pos="9730"/>
            </w:tabs>
            <w:rPr>
              <w:rFonts w:asciiTheme="minorHAnsi" w:eastAsiaTheme="minorEastAsia" w:hAnsiTheme="minorHAnsi" w:cstheme="minorBidi"/>
              <w:iCs w:val="0"/>
              <w:noProof/>
              <w:sz w:val="22"/>
              <w:szCs w:val="22"/>
              <w:lang w:eastAsia="en-AU"/>
            </w:rPr>
          </w:pPr>
          <w:hyperlink w:anchor="_Toc130942933" w:history="1">
            <w:r w:rsidR="00C6136E" w:rsidRPr="007B6A89">
              <w:rPr>
                <w:rStyle w:val="Hyperlink"/>
                <w:noProof/>
              </w:rPr>
              <w:t>Extension funding</w:t>
            </w:r>
            <w:r w:rsidR="00C6136E">
              <w:rPr>
                <w:noProof/>
                <w:webHidden/>
              </w:rPr>
              <w:tab/>
            </w:r>
            <w:r w:rsidR="00C6136E">
              <w:rPr>
                <w:noProof/>
                <w:webHidden/>
              </w:rPr>
              <w:fldChar w:fldCharType="begin"/>
            </w:r>
            <w:r w:rsidR="00C6136E">
              <w:rPr>
                <w:noProof/>
                <w:webHidden/>
              </w:rPr>
              <w:instrText xml:space="preserve"> PAGEREF _Toc130942933 \h </w:instrText>
            </w:r>
            <w:r w:rsidR="00C6136E">
              <w:rPr>
                <w:noProof/>
                <w:webHidden/>
              </w:rPr>
            </w:r>
            <w:r w:rsidR="00C6136E">
              <w:rPr>
                <w:noProof/>
                <w:webHidden/>
              </w:rPr>
              <w:fldChar w:fldCharType="separate"/>
            </w:r>
            <w:r w:rsidR="00C6136E">
              <w:rPr>
                <w:noProof/>
                <w:webHidden/>
              </w:rPr>
              <w:t>27</w:t>
            </w:r>
            <w:r w:rsidR="00C6136E">
              <w:rPr>
                <w:noProof/>
                <w:webHidden/>
              </w:rPr>
              <w:fldChar w:fldCharType="end"/>
            </w:r>
          </w:hyperlink>
        </w:p>
        <w:p w14:paraId="133FC069" w14:textId="508A5306" w:rsidR="00C6136E" w:rsidRDefault="00000000">
          <w:pPr>
            <w:pStyle w:val="TOC2"/>
            <w:rPr>
              <w:rFonts w:asciiTheme="minorHAnsi" w:eastAsiaTheme="minorEastAsia" w:hAnsiTheme="minorHAnsi" w:cstheme="minorBidi"/>
              <w:sz w:val="22"/>
              <w:szCs w:val="22"/>
              <w:lang w:eastAsia="en-AU"/>
            </w:rPr>
          </w:pPr>
          <w:hyperlink w:anchor="_Toc130942934" w:history="1">
            <w:r w:rsidR="00C6136E" w:rsidRPr="007B6A89">
              <w:rPr>
                <w:rStyle w:val="Hyperlink"/>
              </w:rPr>
              <w:t>Examining State level investment in Tier 2 services (Pre and Post the NDIS rollout)</w:t>
            </w:r>
            <w:r w:rsidR="00C6136E">
              <w:rPr>
                <w:webHidden/>
              </w:rPr>
              <w:tab/>
            </w:r>
            <w:r w:rsidR="00C6136E">
              <w:rPr>
                <w:webHidden/>
              </w:rPr>
              <w:fldChar w:fldCharType="begin"/>
            </w:r>
            <w:r w:rsidR="00C6136E">
              <w:rPr>
                <w:webHidden/>
              </w:rPr>
              <w:instrText xml:space="preserve"> PAGEREF _Toc130942934 \h </w:instrText>
            </w:r>
            <w:r w:rsidR="00C6136E">
              <w:rPr>
                <w:webHidden/>
              </w:rPr>
            </w:r>
            <w:r w:rsidR="00C6136E">
              <w:rPr>
                <w:webHidden/>
              </w:rPr>
              <w:fldChar w:fldCharType="separate"/>
            </w:r>
            <w:r w:rsidR="00C6136E">
              <w:rPr>
                <w:webHidden/>
              </w:rPr>
              <w:t>27</w:t>
            </w:r>
            <w:r w:rsidR="00C6136E">
              <w:rPr>
                <w:webHidden/>
              </w:rPr>
              <w:fldChar w:fldCharType="end"/>
            </w:r>
          </w:hyperlink>
        </w:p>
        <w:p w14:paraId="0FC53AA3" w14:textId="4CF19651" w:rsidR="00C6136E" w:rsidRDefault="00000000">
          <w:pPr>
            <w:pStyle w:val="TOC3"/>
            <w:tabs>
              <w:tab w:val="right" w:leader="dot" w:pos="9730"/>
            </w:tabs>
            <w:rPr>
              <w:rFonts w:asciiTheme="minorHAnsi" w:eastAsiaTheme="minorEastAsia" w:hAnsiTheme="minorHAnsi" w:cstheme="minorBidi"/>
              <w:iCs w:val="0"/>
              <w:noProof/>
              <w:sz w:val="22"/>
              <w:szCs w:val="22"/>
              <w:lang w:eastAsia="en-AU"/>
            </w:rPr>
          </w:pPr>
          <w:hyperlink w:anchor="_Toc130942935" w:history="1">
            <w:r w:rsidR="00C6136E" w:rsidRPr="007B6A89">
              <w:rPr>
                <w:rStyle w:val="Hyperlink"/>
                <w:noProof/>
              </w:rPr>
              <w:t>Examining patterns of disability and welfare expenditure at a Local Government level</w:t>
            </w:r>
            <w:r w:rsidR="00C6136E">
              <w:rPr>
                <w:noProof/>
                <w:webHidden/>
              </w:rPr>
              <w:tab/>
            </w:r>
            <w:r w:rsidR="00C6136E">
              <w:rPr>
                <w:noProof/>
                <w:webHidden/>
              </w:rPr>
              <w:fldChar w:fldCharType="begin"/>
            </w:r>
            <w:r w:rsidR="00C6136E">
              <w:rPr>
                <w:noProof/>
                <w:webHidden/>
              </w:rPr>
              <w:instrText xml:space="preserve"> PAGEREF _Toc130942935 \h </w:instrText>
            </w:r>
            <w:r w:rsidR="00C6136E">
              <w:rPr>
                <w:noProof/>
                <w:webHidden/>
              </w:rPr>
            </w:r>
            <w:r w:rsidR="00C6136E">
              <w:rPr>
                <w:noProof/>
                <w:webHidden/>
              </w:rPr>
              <w:fldChar w:fldCharType="separate"/>
            </w:r>
            <w:r w:rsidR="00C6136E">
              <w:rPr>
                <w:noProof/>
                <w:webHidden/>
              </w:rPr>
              <w:t>29</w:t>
            </w:r>
            <w:r w:rsidR="00C6136E">
              <w:rPr>
                <w:noProof/>
                <w:webHidden/>
              </w:rPr>
              <w:fldChar w:fldCharType="end"/>
            </w:r>
          </w:hyperlink>
        </w:p>
        <w:p w14:paraId="1C67456D" w14:textId="42D337CC" w:rsidR="00C6136E" w:rsidRDefault="00000000">
          <w:pPr>
            <w:pStyle w:val="TOC2"/>
            <w:rPr>
              <w:rFonts w:asciiTheme="minorHAnsi" w:eastAsiaTheme="minorEastAsia" w:hAnsiTheme="minorHAnsi" w:cstheme="minorBidi"/>
              <w:sz w:val="22"/>
              <w:szCs w:val="22"/>
              <w:lang w:eastAsia="en-AU"/>
            </w:rPr>
          </w:pPr>
          <w:hyperlink w:anchor="_Toc130942936" w:history="1">
            <w:r w:rsidR="00C6136E" w:rsidRPr="007B6A89">
              <w:rPr>
                <w:rStyle w:val="Hyperlink"/>
              </w:rPr>
              <w:t>Trends in donation fundraising</w:t>
            </w:r>
            <w:r w:rsidR="00C6136E">
              <w:rPr>
                <w:webHidden/>
              </w:rPr>
              <w:tab/>
            </w:r>
            <w:r w:rsidR="00C6136E">
              <w:rPr>
                <w:webHidden/>
              </w:rPr>
              <w:fldChar w:fldCharType="begin"/>
            </w:r>
            <w:r w:rsidR="00C6136E">
              <w:rPr>
                <w:webHidden/>
              </w:rPr>
              <w:instrText xml:space="preserve"> PAGEREF _Toc130942936 \h </w:instrText>
            </w:r>
            <w:r w:rsidR="00C6136E">
              <w:rPr>
                <w:webHidden/>
              </w:rPr>
            </w:r>
            <w:r w:rsidR="00C6136E">
              <w:rPr>
                <w:webHidden/>
              </w:rPr>
              <w:fldChar w:fldCharType="separate"/>
            </w:r>
            <w:r w:rsidR="00C6136E">
              <w:rPr>
                <w:webHidden/>
              </w:rPr>
              <w:t>32</w:t>
            </w:r>
            <w:r w:rsidR="00C6136E">
              <w:rPr>
                <w:webHidden/>
              </w:rPr>
              <w:fldChar w:fldCharType="end"/>
            </w:r>
          </w:hyperlink>
        </w:p>
        <w:p w14:paraId="40DF21A4" w14:textId="15251448" w:rsidR="00C6136E" w:rsidRDefault="00000000">
          <w:pPr>
            <w:pStyle w:val="TOC3"/>
            <w:tabs>
              <w:tab w:val="right" w:leader="dot" w:pos="9730"/>
            </w:tabs>
            <w:rPr>
              <w:rFonts w:asciiTheme="minorHAnsi" w:eastAsiaTheme="minorEastAsia" w:hAnsiTheme="minorHAnsi" w:cstheme="minorBidi"/>
              <w:iCs w:val="0"/>
              <w:noProof/>
              <w:sz w:val="22"/>
              <w:szCs w:val="22"/>
              <w:lang w:eastAsia="en-AU"/>
            </w:rPr>
          </w:pPr>
          <w:hyperlink w:anchor="_Toc130942937" w:history="1">
            <w:r w:rsidR="00C6136E" w:rsidRPr="007B6A89">
              <w:rPr>
                <w:rStyle w:val="Hyperlink"/>
                <w:noProof/>
              </w:rPr>
              <w:t>The modest increases in council funding and the decline in state level funding are likely to impinge upon the continuity and quality of information services, referral services and group-based supports. Given the key role that service referrals and other Tier 2-like support services play in supporting and facilitating accessing to housing services, it is instructive to consider the likely impact on homelessness risk among people with disability as a result of declining donor funding.</w:t>
            </w:r>
            <w:r w:rsidR="00C6136E">
              <w:rPr>
                <w:noProof/>
                <w:webHidden/>
              </w:rPr>
              <w:tab/>
            </w:r>
            <w:r w:rsidR="00C6136E">
              <w:rPr>
                <w:noProof/>
                <w:webHidden/>
              </w:rPr>
              <w:fldChar w:fldCharType="begin"/>
            </w:r>
            <w:r w:rsidR="00C6136E">
              <w:rPr>
                <w:noProof/>
                <w:webHidden/>
              </w:rPr>
              <w:instrText xml:space="preserve"> PAGEREF _Toc130942937 \h </w:instrText>
            </w:r>
            <w:r w:rsidR="00C6136E">
              <w:rPr>
                <w:noProof/>
                <w:webHidden/>
              </w:rPr>
            </w:r>
            <w:r w:rsidR="00C6136E">
              <w:rPr>
                <w:noProof/>
                <w:webHidden/>
              </w:rPr>
              <w:fldChar w:fldCharType="separate"/>
            </w:r>
            <w:r w:rsidR="00C6136E">
              <w:rPr>
                <w:noProof/>
                <w:webHidden/>
              </w:rPr>
              <w:t>32</w:t>
            </w:r>
            <w:r w:rsidR="00C6136E">
              <w:rPr>
                <w:noProof/>
                <w:webHidden/>
              </w:rPr>
              <w:fldChar w:fldCharType="end"/>
            </w:r>
          </w:hyperlink>
        </w:p>
        <w:p w14:paraId="4B1A6F83" w14:textId="0E428C16" w:rsidR="00C6136E" w:rsidRDefault="00000000">
          <w:pPr>
            <w:pStyle w:val="TOC3"/>
            <w:tabs>
              <w:tab w:val="right" w:leader="dot" w:pos="9730"/>
            </w:tabs>
            <w:rPr>
              <w:rFonts w:asciiTheme="minorHAnsi" w:eastAsiaTheme="minorEastAsia" w:hAnsiTheme="minorHAnsi" w:cstheme="minorBidi"/>
              <w:iCs w:val="0"/>
              <w:noProof/>
              <w:sz w:val="22"/>
              <w:szCs w:val="22"/>
              <w:lang w:eastAsia="en-AU"/>
            </w:rPr>
          </w:pPr>
          <w:hyperlink w:anchor="_Toc130942938" w:history="1">
            <w:r w:rsidR="00C6136E" w:rsidRPr="007B6A89">
              <w:rPr>
                <w:rStyle w:val="Hyperlink"/>
                <w:noProof/>
              </w:rPr>
              <w:t>Case study: Trends in homelessness by disability status</w:t>
            </w:r>
            <w:r w:rsidR="00C6136E">
              <w:rPr>
                <w:noProof/>
                <w:webHidden/>
              </w:rPr>
              <w:tab/>
            </w:r>
            <w:r w:rsidR="00C6136E">
              <w:rPr>
                <w:noProof/>
                <w:webHidden/>
              </w:rPr>
              <w:fldChar w:fldCharType="begin"/>
            </w:r>
            <w:r w:rsidR="00C6136E">
              <w:rPr>
                <w:noProof/>
                <w:webHidden/>
              </w:rPr>
              <w:instrText xml:space="preserve"> PAGEREF _Toc130942938 \h </w:instrText>
            </w:r>
            <w:r w:rsidR="00C6136E">
              <w:rPr>
                <w:noProof/>
                <w:webHidden/>
              </w:rPr>
            </w:r>
            <w:r w:rsidR="00C6136E">
              <w:rPr>
                <w:noProof/>
                <w:webHidden/>
              </w:rPr>
              <w:fldChar w:fldCharType="separate"/>
            </w:r>
            <w:r w:rsidR="00C6136E">
              <w:rPr>
                <w:noProof/>
                <w:webHidden/>
              </w:rPr>
              <w:t>32</w:t>
            </w:r>
            <w:r w:rsidR="00C6136E">
              <w:rPr>
                <w:noProof/>
                <w:webHidden/>
              </w:rPr>
              <w:fldChar w:fldCharType="end"/>
            </w:r>
          </w:hyperlink>
        </w:p>
        <w:p w14:paraId="5034D3C0" w14:textId="4D2CD20B" w:rsidR="00C6136E" w:rsidRDefault="00000000">
          <w:pPr>
            <w:pStyle w:val="TOC2"/>
            <w:rPr>
              <w:rFonts w:asciiTheme="minorHAnsi" w:eastAsiaTheme="minorEastAsia" w:hAnsiTheme="minorHAnsi" w:cstheme="minorBidi"/>
              <w:sz w:val="22"/>
              <w:szCs w:val="22"/>
              <w:lang w:eastAsia="en-AU"/>
            </w:rPr>
          </w:pPr>
          <w:hyperlink w:anchor="_Toc130942939" w:history="1">
            <w:r w:rsidR="00C6136E" w:rsidRPr="007B6A89">
              <w:rPr>
                <w:rStyle w:val="Hyperlink"/>
              </w:rPr>
              <w:t>Recommendation 1: Additional transitional investment in the short term</w:t>
            </w:r>
            <w:r w:rsidR="00C6136E">
              <w:rPr>
                <w:webHidden/>
              </w:rPr>
              <w:tab/>
            </w:r>
            <w:r w:rsidR="00C6136E">
              <w:rPr>
                <w:webHidden/>
              </w:rPr>
              <w:fldChar w:fldCharType="begin"/>
            </w:r>
            <w:r w:rsidR="00C6136E">
              <w:rPr>
                <w:webHidden/>
              </w:rPr>
              <w:instrText xml:space="preserve"> PAGEREF _Toc130942939 \h </w:instrText>
            </w:r>
            <w:r w:rsidR="00C6136E">
              <w:rPr>
                <w:webHidden/>
              </w:rPr>
            </w:r>
            <w:r w:rsidR="00C6136E">
              <w:rPr>
                <w:webHidden/>
              </w:rPr>
              <w:fldChar w:fldCharType="separate"/>
            </w:r>
            <w:r w:rsidR="00C6136E">
              <w:rPr>
                <w:webHidden/>
              </w:rPr>
              <w:t>35</w:t>
            </w:r>
            <w:r w:rsidR="00C6136E">
              <w:rPr>
                <w:webHidden/>
              </w:rPr>
              <w:fldChar w:fldCharType="end"/>
            </w:r>
          </w:hyperlink>
        </w:p>
        <w:p w14:paraId="15AC3A74" w14:textId="3C3D7A9D" w:rsidR="00C6136E" w:rsidRDefault="00000000">
          <w:pPr>
            <w:pStyle w:val="TOC2"/>
            <w:rPr>
              <w:rFonts w:asciiTheme="minorHAnsi" w:eastAsiaTheme="minorEastAsia" w:hAnsiTheme="minorHAnsi" w:cstheme="minorBidi"/>
              <w:sz w:val="22"/>
              <w:szCs w:val="22"/>
              <w:lang w:eastAsia="en-AU"/>
            </w:rPr>
          </w:pPr>
          <w:hyperlink w:anchor="_Toc130942940" w:history="1">
            <w:r w:rsidR="00C6136E" w:rsidRPr="007B6A89">
              <w:rPr>
                <w:rStyle w:val="Hyperlink"/>
              </w:rPr>
              <w:t>Recommendation 2: Scale investment to achieve scheme objectives in the medium term</w:t>
            </w:r>
            <w:r w:rsidR="00C6136E">
              <w:rPr>
                <w:webHidden/>
              </w:rPr>
              <w:tab/>
            </w:r>
            <w:r w:rsidR="00C6136E">
              <w:rPr>
                <w:webHidden/>
              </w:rPr>
              <w:fldChar w:fldCharType="begin"/>
            </w:r>
            <w:r w:rsidR="00C6136E">
              <w:rPr>
                <w:webHidden/>
              </w:rPr>
              <w:instrText xml:space="preserve"> PAGEREF _Toc130942940 \h </w:instrText>
            </w:r>
            <w:r w:rsidR="00C6136E">
              <w:rPr>
                <w:webHidden/>
              </w:rPr>
            </w:r>
            <w:r w:rsidR="00C6136E">
              <w:rPr>
                <w:webHidden/>
              </w:rPr>
              <w:fldChar w:fldCharType="separate"/>
            </w:r>
            <w:r w:rsidR="00C6136E">
              <w:rPr>
                <w:webHidden/>
              </w:rPr>
              <w:t>35</w:t>
            </w:r>
            <w:r w:rsidR="00C6136E">
              <w:rPr>
                <w:webHidden/>
              </w:rPr>
              <w:fldChar w:fldCharType="end"/>
            </w:r>
          </w:hyperlink>
        </w:p>
        <w:p w14:paraId="0B4B357B" w14:textId="0E3EC52F" w:rsidR="00C6136E" w:rsidRDefault="00000000">
          <w:pPr>
            <w:pStyle w:val="TOC2"/>
            <w:rPr>
              <w:rFonts w:asciiTheme="minorHAnsi" w:eastAsiaTheme="minorEastAsia" w:hAnsiTheme="minorHAnsi" w:cstheme="minorBidi"/>
              <w:sz w:val="22"/>
              <w:szCs w:val="22"/>
              <w:lang w:eastAsia="en-AU"/>
            </w:rPr>
          </w:pPr>
          <w:hyperlink w:anchor="_Toc130942941" w:history="1">
            <w:r w:rsidR="00C6136E" w:rsidRPr="007B6A89">
              <w:rPr>
                <w:rStyle w:val="Hyperlink"/>
              </w:rPr>
              <w:t>Recommendation 3: Robust data capture process pertaining to Tier 2</w:t>
            </w:r>
            <w:r w:rsidR="00C6136E">
              <w:rPr>
                <w:webHidden/>
              </w:rPr>
              <w:tab/>
            </w:r>
            <w:r w:rsidR="00C6136E">
              <w:rPr>
                <w:webHidden/>
              </w:rPr>
              <w:fldChar w:fldCharType="begin"/>
            </w:r>
            <w:r w:rsidR="00C6136E">
              <w:rPr>
                <w:webHidden/>
              </w:rPr>
              <w:instrText xml:space="preserve"> PAGEREF _Toc130942941 \h </w:instrText>
            </w:r>
            <w:r w:rsidR="00C6136E">
              <w:rPr>
                <w:webHidden/>
              </w:rPr>
            </w:r>
            <w:r w:rsidR="00C6136E">
              <w:rPr>
                <w:webHidden/>
              </w:rPr>
              <w:fldChar w:fldCharType="separate"/>
            </w:r>
            <w:r w:rsidR="00C6136E">
              <w:rPr>
                <w:webHidden/>
              </w:rPr>
              <w:t>35</w:t>
            </w:r>
            <w:r w:rsidR="00C6136E">
              <w:rPr>
                <w:webHidden/>
              </w:rPr>
              <w:fldChar w:fldCharType="end"/>
            </w:r>
          </w:hyperlink>
        </w:p>
        <w:p w14:paraId="5F4F7225" w14:textId="4FD48EBB" w:rsidR="00C6136E" w:rsidRDefault="00000000">
          <w:pPr>
            <w:pStyle w:val="TOC1"/>
            <w:rPr>
              <w:rFonts w:asciiTheme="minorHAnsi" w:eastAsiaTheme="minorEastAsia" w:hAnsiTheme="minorHAnsi" w:cstheme="minorBidi"/>
              <w:b w:val="0"/>
              <w:bCs w:val="0"/>
              <w:noProof/>
              <w:sz w:val="22"/>
              <w:szCs w:val="22"/>
              <w:lang w:eastAsia="en-AU"/>
            </w:rPr>
          </w:pPr>
          <w:hyperlink w:anchor="_Toc130942942" w:history="1">
            <w:r w:rsidR="00C6136E" w:rsidRPr="007B6A89">
              <w:rPr>
                <w:rStyle w:val="Hyperlink"/>
                <w:noProof/>
              </w:rPr>
              <w:t>Analysing the impacts of sector employment, donor revenue and volunteerism on Tier 2 activity types</w:t>
            </w:r>
            <w:r w:rsidR="00C6136E">
              <w:rPr>
                <w:noProof/>
                <w:webHidden/>
              </w:rPr>
              <w:tab/>
            </w:r>
            <w:r w:rsidR="00C6136E">
              <w:rPr>
                <w:noProof/>
                <w:webHidden/>
              </w:rPr>
              <w:fldChar w:fldCharType="begin"/>
            </w:r>
            <w:r w:rsidR="00C6136E">
              <w:rPr>
                <w:noProof/>
                <w:webHidden/>
              </w:rPr>
              <w:instrText xml:space="preserve"> PAGEREF _Toc130942942 \h </w:instrText>
            </w:r>
            <w:r w:rsidR="00C6136E">
              <w:rPr>
                <w:noProof/>
                <w:webHidden/>
              </w:rPr>
            </w:r>
            <w:r w:rsidR="00C6136E">
              <w:rPr>
                <w:noProof/>
                <w:webHidden/>
              </w:rPr>
              <w:fldChar w:fldCharType="separate"/>
            </w:r>
            <w:r w:rsidR="00C6136E">
              <w:rPr>
                <w:noProof/>
                <w:webHidden/>
              </w:rPr>
              <w:t>36</w:t>
            </w:r>
            <w:r w:rsidR="00C6136E">
              <w:rPr>
                <w:noProof/>
                <w:webHidden/>
              </w:rPr>
              <w:fldChar w:fldCharType="end"/>
            </w:r>
          </w:hyperlink>
        </w:p>
        <w:p w14:paraId="05DAD3B4" w14:textId="1816C5FD" w:rsidR="00C6136E" w:rsidRDefault="00000000">
          <w:pPr>
            <w:pStyle w:val="TOC2"/>
            <w:rPr>
              <w:rFonts w:asciiTheme="minorHAnsi" w:eastAsiaTheme="minorEastAsia" w:hAnsiTheme="minorHAnsi" w:cstheme="minorBidi"/>
              <w:sz w:val="22"/>
              <w:szCs w:val="22"/>
              <w:lang w:eastAsia="en-AU"/>
            </w:rPr>
          </w:pPr>
          <w:hyperlink w:anchor="_Toc130942943" w:history="1">
            <w:r w:rsidR="00C6136E" w:rsidRPr="007B6A89">
              <w:rPr>
                <w:rStyle w:val="Hyperlink"/>
              </w:rPr>
              <w:t>Formal volunteerism in the disability sector</w:t>
            </w:r>
            <w:r w:rsidR="00C6136E">
              <w:rPr>
                <w:webHidden/>
              </w:rPr>
              <w:tab/>
            </w:r>
            <w:r w:rsidR="00C6136E">
              <w:rPr>
                <w:webHidden/>
              </w:rPr>
              <w:fldChar w:fldCharType="begin"/>
            </w:r>
            <w:r w:rsidR="00C6136E">
              <w:rPr>
                <w:webHidden/>
              </w:rPr>
              <w:instrText xml:space="preserve"> PAGEREF _Toc130942943 \h </w:instrText>
            </w:r>
            <w:r w:rsidR="00C6136E">
              <w:rPr>
                <w:webHidden/>
              </w:rPr>
            </w:r>
            <w:r w:rsidR="00C6136E">
              <w:rPr>
                <w:webHidden/>
              </w:rPr>
              <w:fldChar w:fldCharType="separate"/>
            </w:r>
            <w:r w:rsidR="00C6136E">
              <w:rPr>
                <w:webHidden/>
              </w:rPr>
              <w:t>36</w:t>
            </w:r>
            <w:r w:rsidR="00C6136E">
              <w:rPr>
                <w:webHidden/>
              </w:rPr>
              <w:fldChar w:fldCharType="end"/>
            </w:r>
          </w:hyperlink>
        </w:p>
        <w:p w14:paraId="36F86733" w14:textId="44B75FD9" w:rsidR="00C6136E" w:rsidRDefault="00000000">
          <w:pPr>
            <w:pStyle w:val="TOC2"/>
            <w:rPr>
              <w:rFonts w:asciiTheme="minorHAnsi" w:eastAsiaTheme="minorEastAsia" w:hAnsiTheme="minorHAnsi" w:cstheme="minorBidi"/>
              <w:sz w:val="22"/>
              <w:szCs w:val="22"/>
              <w:lang w:eastAsia="en-AU"/>
            </w:rPr>
          </w:pPr>
          <w:hyperlink w:anchor="_Toc130942944" w:history="1">
            <w:r w:rsidR="00C6136E" w:rsidRPr="007B6A89">
              <w:rPr>
                <w:rStyle w:val="Hyperlink"/>
              </w:rPr>
              <w:t>Permanent employment with not-for-profit organisations supporting the needs of individuals with disabilities</w:t>
            </w:r>
            <w:r w:rsidR="00C6136E">
              <w:rPr>
                <w:webHidden/>
              </w:rPr>
              <w:tab/>
            </w:r>
            <w:r w:rsidR="00C6136E">
              <w:rPr>
                <w:webHidden/>
              </w:rPr>
              <w:fldChar w:fldCharType="begin"/>
            </w:r>
            <w:r w:rsidR="00C6136E">
              <w:rPr>
                <w:webHidden/>
              </w:rPr>
              <w:instrText xml:space="preserve"> PAGEREF _Toc130942944 \h </w:instrText>
            </w:r>
            <w:r w:rsidR="00C6136E">
              <w:rPr>
                <w:webHidden/>
              </w:rPr>
            </w:r>
            <w:r w:rsidR="00C6136E">
              <w:rPr>
                <w:webHidden/>
              </w:rPr>
              <w:fldChar w:fldCharType="separate"/>
            </w:r>
            <w:r w:rsidR="00C6136E">
              <w:rPr>
                <w:webHidden/>
              </w:rPr>
              <w:t>39</w:t>
            </w:r>
            <w:r w:rsidR="00C6136E">
              <w:rPr>
                <w:webHidden/>
              </w:rPr>
              <w:fldChar w:fldCharType="end"/>
            </w:r>
          </w:hyperlink>
        </w:p>
        <w:p w14:paraId="729BDBF4" w14:textId="4DDD9D0A" w:rsidR="00C6136E" w:rsidRDefault="00000000">
          <w:pPr>
            <w:pStyle w:val="TOC2"/>
            <w:rPr>
              <w:rFonts w:asciiTheme="minorHAnsi" w:eastAsiaTheme="minorEastAsia" w:hAnsiTheme="minorHAnsi" w:cstheme="minorBidi"/>
              <w:sz w:val="22"/>
              <w:szCs w:val="22"/>
              <w:lang w:eastAsia="en-AU"/>
            </w:rPr>
          </w:pPr>
          <w:hyperlink w:anchor="_Toc130942945" w:history="1">
            <w:r w:rsidR="00C6136E" w:rsidRPr="007B6A89">
              <w:rPr>
                <w:rStyle w:val="Hyperlink"/>
              </w:rPr>
              <w:t>Casual employment with not-for-profit organisations supporting the needs of individuals with disabilities</w:t>
            </w:r>
            <w:r w:rsidR="00C6136E">
              <w:rPr>
                <w:webHidden/>
              </w:rPr>
              <w:tab/>
            </w:r>
            <w:r w:rsidR="00C6136E">
              <w:rPr>
                <w:webHidden/>
              </w:rPr>
              <w:fldChar w:fldCharType="begin"/>
            </w:r>
            <w:r w:rsidR="00C6136E">
              <w:rPr>
                <w:webHidden/>
              </w:rPr>
              <w:instrText xml:space="preserve"> PAGEREF _Toc130942945 \h </w:instrText>
            </w:r>
            <w:r w:rsidR="00C6136E">
              <w:rPr>
                <w:webHidden/>
              </w:rPr>
            </w:r>
            <w:r w:rsidR="00C6136E">
              <w:rPr>
                <w:webHidden/>
              </w:rPr>
              <w:fldChar w:fldCharType="separate"/>
            </w:r>
            <w:r w:rsidR="00C6136E">
              <w:rPr>
                <w:webHidden/>
              </w:rPr>
              <w:t>39</w:t>
            </w:r>
            <w:r w:rsidR="00C6136E">
              <w:rPr>
                <w:webHidden/>
              </w:rPr>
              <w:fldChar w:fldCharType="end"/>
            </w:r>
          </w:hyperlink>
        </w:p>
        <w:p w14:paraId="605203F8" w14:textId="61631A74" w:rsidR="00C6136E" w:rsidRDefault="00000000">
          <w:pPr>
            <w:pStyle w:val="TOC3"/>
            <w:tabs>
              <w:tab w:val="right" w:leader="dot" w:pos="9730"/>
            </w:tabs>
            <w:rPr>
              <w:rFonts w:asciiTheme="minorHAnsi" w:eastAsiaTheme="minorEastAsia" w:hAnsiTheme="minorHAnsi" w:cstheme="minorBidi"/>
              <w:iCs w:val="0"/>
              <w:noProof/>
              <w:sz w:val="22"/>
              <w:szCs w:val="22"/>
              <w:lang w:eastAsia="en-AU"/>
            </w:rPr>
          </w:pPr>
          <w:hyperlink w:anchor="_Toc130942946" w:history="1">
            <w:r w:rsidR="00C6136E" w:rsidRPr="007B6A89">
              <w:rPr>
                <w:rStyle w:val="Hyperlink"/>
                <w:noProof/>
              </w:rPr>
              <w:t>Patterns in informal volunteering within the community</w:t>
            </w:r>
            <w:r w:rsidR="00C6136E">
              <w:rPr>
                <w:noProof/>
                <w:webHidden/>
              </w:rPr>
              <w:tab/>
            </w:r>
            <w:r w:rsidR="00C6136E">
              <w:rPr>
                <w:noProof/>
                <w:webHidden/>
              </w:rPr>
              <w:fldChar w:fldCharType="begin"/>
            </w:r>
            <w:r w:rsidR="00C6136E">
              <w:rPr>
                <w:noProof/>
                <w:webHidden/>
              </w:rPr>
              <w:instrText xml:space="preserve"> PAGEREF _Toc130942946 \h </w:instrText>
            </w:r>
            <w:r w:rsidR="00C6136E">
              <w:rPr>
                <w:noProof/>
                <w:webHidden/>
              </w:rPr>
            </w:r>
            <w:r w:rsidR="00C6136E">
              <w:rPr>
                <w:noProof/>
                <w:webHidden/>
              </w:rPr>
              <w:fldChar w:fldCharType="separate"/>
            </w:r>
            <w:r w:rsidR="00C6136E">
              <w:rPr>
                <w:noProof/>
                <w:webHidden/>
              </w:rPr>
              <w:t>39</w:t>
            </w:r>
            <w:r w:rsidR="00C6136E">
              <w:rPr>
                <w:noProof/>
                <w:webHidden/>
              </w:rPr>
              <w:fldChar w:fldCharType="end"/>
            </w:r>
          </w:hyperlink>
        </w:p>
        <w:p w14:paraId="456F2353" w14:textId="27F97A94" w:rsidR="00C6136E" w:rsidRDefault="00000000">
          <w:pPr>
            <w:pStyle w:val="TOC2"/>
            <w:rPr>
              <w:rFonts w:asciiTheme="minorHAnsi" w:eastAsiaTheme="minorEastAsia" w:hAnsiTheme="minorHAnsi" w:cstheme="minorBidi"/>
              <w:sz w:val="22"/>
              <w:szCs w:val="22"/>
              <w:lang w:eastAsia="en-AU"/>
            </w:rPr>
          </w:pPr>
          <w:hyperlink w:anchor="_Toc130942947" w:history="1">
            <w:r w:rsidR="00C6136E" w:rsidRPr="007B6A89">
              <w:rPr>
                <w:rStyle w:val="Hyperlink"/>
              </w:rPr>
              <w:t>Overall impact of permanent and casual employment, changing patterns of volunteering</w:t>
            </w:r>
            <w:r w:rsidR="00C6136E">
              <w:rPr>
                <w:webHidden/>
              </w:rPr>
              <w:tab/>
            </w:r>
            <w:r w:rsidR="00C6136E">
              <w:rPr>
                <w:webHidden/>
              </w:rPr>
              <w:fldChar w:fldCharType="begin"/>
            </w:r>
            <w:r w:rsidR="00C6136E">
              <w:rPr>
                <w:webHidden/>
              </w:rPr>
              <w:instrText xml:space="preserve"> PAGEREF _Toc130942947 \h </w:instrText>
            </w:r>
            <w:r w:rsidR="00C6136E">
              <w:rPr>
                <w:webHidden/>
              </w:rPr>
            </w:r>
            <w:r w:rsidR="00C6136E">
              <w:rPr>
                <w:webHidden/>
              </w:rPr>
              <w:fldChar w:fldCharType="separate"/>
            </w:r>
            <w:r w:rsidR="00C6136E">
              <w:rPr>
                <w:webHidden/>
              </w:rPr>
              <w:t>41</w:t>
            </w:r>
            <w:r w:rsidR="00C6136E">
              <w:rPr>
                <w:webHidden/>
              </w:rPr>
              <w:fldChar w:fldCharType="end"/>
            </w:r>
          </w:hyperlink>
        </w:p>
        <w:p w14:paraId="53AB0603" w14:textId="0D9EF28A" w:rsidR="00C6136E" w:rsidRDefault="00000000">
          <w:pPr>
            <w:pStyle w:val="TOC2"/>
            <w:rPr>
              <w:rFonts w:asciiTheme="minorHAnsi" w:eastAsiaTheme="minorEastAsia" w:hAnsiTheme="minorHAnsi" w:cstheme="minorBidi"/>
              <w:sz w:val="22"/>
              <w:szCs w:val="22"/>
              <w:lang w:eastAsia="en-AU"/>
            </w:rPr>
          </w:pPr>
          <w:hyperlink w:anchor="_Toc130942948" w:history="1">
            <w:r w:rsidR="00C6136E" w:rsidRPr="007B6A89">
              <w:rPr>
                <w:rStyle w:val="Hyperlink"/>
              </w:rPr>
              <w:t>Recommendation 4: Additional funding for volunteer facilitation</w:t>
            </w:r>
            <w:r w:rsidR="00C6136E">
              <w:rPr>
                <w:webHidden/>
              </w:rPr>
              <w:tab/>
            </w:r>
            <w:r w:rsidR="00C6136E">
              <w:rPr>
                <w:webHidden/>
              </w:rPr>
              <w:fldChar w:fldCharType="begin"/>
            </w:r>
            <w:r w:rsidR="00C6136E">
              <w:rPr>
                <w:webHidden/>
              </w:rPr>
              <w:instrText xml:space="preserve"> PAGEREF _Toc130942948 \h </w:instrText>
            </w:r>
            <w:r w:rsidR="00C6136E">
              <w:rPr>
                <w:webHidden/>
              </w:rPr>
            </w:r>
            <w:r w:rsidR="00C6136E">
              <w:rPr>
                <w:webHidden/>
              </w:rPr>
              <w:fldChar w:fldCharType="separate"/>
            </w:r>
            <w:r w:rsidR="00C6136E">
              <w:rPr>
                <w:webHidden/>
              </w:rPr>
              <w:t>41</w:t>
            </w:r>
            <w:r w:rsidR="00C6136E">
              <w:rPr>
                <w:webHidden/>
              </w:rPr>
              <w:fldChar w:fldCharType="end"/>
            </w:r>
          </w:hyperlink>
        </w:p>
        <w:p w14:paraId="63127947" w14:textId="6EE49528" w:rsidR="00C6136E" w:rsidRDefault="00000000">
          <w:pPr>
            <w:pStyle w:val="TOC2"/>
            <w:rPr>
              <w:rFonts w:asciiTheme="minorHAnsi" w:eastAsiaTheme="minorEastAsia" w:hAnsiTheme="minorHAnsi" w:cstheme="minorBidi"/>
              <w:sz w:val="22"/>
              <w:szCs w:val="22"/>
              <w:lang w:eastAsia="en-AU"/>
            </w:rPr>
          </w:pPr>
          <w:hyperlink w:anchor="_Toc130942949" w:history="1">
            <w:r w:rsidR="00C6136E" w:rsidRPr="007B6A89">
              <w:rPr>
                <w:rStyle w:val="Hyperlink"/>
              </w:rPr>
              <w:t>Recommendation 5: Capacity replacement investment in the short term</w:t>
            </w:r>
            <w:r w:rsidR="00C6136E">
              <w:rPr>
                <w:webHidden/>
              </w:rPr>
              <w:tab/>
            </w:r>
            <w:r w:rsidR="00C6136E">
              <w:rPr>
                <w:webHidden/>
              </w:rPr>
              <w:fldChar w:fldCharType="begin"/>
            </w:r>
            <w:r w:rsidR="00C6136E">
              <w:rPr>
                <w:webHidden/>
              </w:rPr>
              <w:instrText xml:space="preserve"> PAGEREF _Toc130942949 \h </w:instrText>
            </w:r>
            <w:r w:rsidR="00C6136E">
              <w:rPr>
                <w:webHidden/>
              </w:rPr>
            </w:r>
            <w:r w:rsidR="00C6136E">
              <w:rPr>
                <w:webHidden/>
              </w:rPr>
              <w:fldChar w:fldCharType="separate"/>
            </w:r>
            <w:r w:rsidR="00C6136E">
              <w:rPr>
                <w:webHidden/>
              </w:rPr>
              <w:t>42</w:t>
            </w:r>
            <w:r w:rsidR="00C6136E">
              <w:rPr>
                <w:webHidden/>
              </w:rPr>
              <w:fldChar w:fldCharType="end"/>
            </w:r>
          </w:hyperlink>
        </w:p>
        <w:p w14:paraId="56C390FA" w14:textId="75A8B84A" w:rsidR="00C6136E" w:rsidRDefault="00000000">
          <w:pPr>
            <w:pStyle w:val="TOC2"/>
            <w:rPr>
              <w:rFonts w:asciiTheme="minorHAnsi" w:eastAsiaTheme="minorEastAsia" w:hAnsiTheme="minorHAnsi" w:cstheme="minorBidi"/>
              <w:sz w:val="22"/>
              <w:szCs w:val="22"/>
              <w:lang w:eastAsia="en-AU"/>
            </w:rPr>
          </w:pPr>
          <w:hyperlink w:anchor="_Toc130942950" w:history="1">
            <w:r w:rsidR="00C6136E" w:rsidRPr="007B6A89">
              <w:rPr>
                <w:rStyle w:val="Hyperlink"/>
              </w:rPr>
              <w:t>Recommendation 6: Stabilisation of funding provision</w:t>
            </w:r>
            <w:r w:rsidR="00C6136E">
              <w:rPr>
                <w:webHidden/>
              </w:rPr>
              <w:tab/>
            </w:r>
            <w:r w:rsidR="00C6136E">
              <w:rPr>
                <w:webHidden/>
              </w:rPr>
              <w:fldChar w:fldCharType="begin"/>
            </w:r>
            <w:r w:rsidR="00C6136E">
              <w:rPr>
                <w:webHidden/>
              </w:rPr>
              <w:instrText xml:space="preserve"> PAGEREF _Toc130942950 \h </w:instrText>
            </w:r>
            <w:r w:rsidR="00C6136E">
              <w:rPr>
                <w:webHidden/>
              </w:rPr>
            </w:r>
            <w:r w:rsidR="00C6136E">
              <w:rPr>
                <w:webHidden/>
              </w:rPr>
              <w:fldChar w:fldCharType="separate"/>
            </w:r>
            <w:r w:rsidR="00C6136E">
              <w:rPr>
                <w:webHidden/>
              </w:rPr>
              <w:t>42</w:t>
            </w:r>
            <w:r w:rsidR="00C6136E">
              <w:rPr>
                <w:webHidden/>
              </w:rPr>
              <w:fldChar w:fldCharType="end"/>
            </w:r>
          </w:hyperlink>
        </w:p>
        <w:p w14:paraId="279DAE26" w14:textId="29016EAC" w:rsidR="00C6136E" w:rsidRDefault="00000000">
          <w:pPr>
            <w:pStyle w:val="TOC1"/>
            <w:rPr>
              <w:rFonts w:asciiTheme="minorHAnsi" w:eastAsiaTheme="minorEastAsia" w:hAnsiTheme="minorHAnsi" w:cstheme="minorBidi"/>
              <w:b w:val="0"/>
              <w:bCs w:val="0"/>
              <w:noProof/>
              <w:sz w:val="22"/>
              <w:szCs w:val="22"/>
              <w:lang w:eastAsia="en-AU"/>
            </w:rPr>
          </w:pPr>
          <w:hyperlink w:anchor="_Toc130942951" w:history="1">
            <w:r w:rsidR="00C6136E" w:rsidRPr="007B6A89">
              <w:rPr>
                <w:rStyle w:val="Hyperlink"/>
                <w:noProof/>
              </w:rPr>
              <w:t>Data Adequacy, National Disability Research and the National Disability Data Asset</w:t>
            </w:r>
            <w:r w:rsidR="00C6136E">
              <w:rPr>
                <w:noProof/>
                <w:webHidden/>
              </w:rPr>
              <w:tab/>
            </w:r>
            <w:r w:rsidR="00C6136E">
              <w:rPr>
                <w:noProof/>
                <w:webHidden/>
              </w:rPr>
              <w:fldChar w:fldCharType="begin"/>
            </w:r>
            <w:r w:rsidR="00C6136E">
              <w:rPr>
                <w:noProof/>
                <w:webHidden/>
              </w:rPr>
              <w:instrText xml:space="preserve"> PAGEREF _Toc130942951 \h </w:instrText>
            </w:r>
            <w:r w:rsidR="00C6136E">
              <w:rPr>
                <w:noProof/>
                <w:webHidden/>
              </w:rPr>
            </w:r>
            <w:r w:rsidR="00C6136E">
              <w:rPr>
                <w:noProof/>
                <w:webHidden/>
              </w:rPr>
              <w:fldChar w:fldCharType="separate"/>
            </w:r>
            <w:r w:rsidR="00C6136E">
              <w:rPr>
                <w:noProof/>
                <w:webHidden/>
              </w:rPr>
              <w:t>42</w:t>
            </w:r>
            <w:r w:rsidR="00C6136E">
              <w:rPr>
                <w:noProof/>
                <w:webHidden/>
              </w:rPr>
              <w:fldChar w:fldCharType="end"/>
            </w:r>
          </w:hyperlink>
        </w:p>
        <w:p w14:paraId="672EADC9" w14:textId="5036004A" w:rsidR="00C6136E" w:rsidRDefault="00000000">
          <w:pPr>
            <w:pStyle w:val="TOC2"/>
            <w:rPr>
              <w:rFonts w:asciiTheme="minorHAnsi" w:eastAsiaTheme="minorEastAsia" w:hAnsiTheme="minorHAnsi" w:cstheme="minorBidi"/>
              <w:sz w:val="22"/>
              <w:szCs w:val="22"/>
              <w:lang w:eastAsia="en-AU"/>
            </w:rPr>
          </w:pPr>
          <w:hyperlink w:anchor="_Toc130942952" w:history="1">
            <w:r w:rsidR="00C6136E" w:rsidRPr="007B6A89">
              <w:rPr>
                <w:rStyle w:val="Hyperlink"/>
              </w:rPr>
              <w:t>Addressing data shortages at state and local level</w:t>
            </w:r>
            <w:r w:rsidR="00C6136E">
              <w:rPr>
                <w:webHidden/>
              </w:rPr>
              <w:tab/>
            </w:r>
            <w:r w:rsidR="00C6136E">
              <w:rPr>
                <w:webHidden/>
              </w:rPr>
              <w:fldChar w:fldCharType="begin"/>
            </w:r>
            <w:r w:rsidR="00C6136E">
              <w:rPr>
                <w:webHidden/>
              </w:rPr>
              <w:instrText xml:space="preserve"> PAGEREF _Toc130942952 \h </w:instrText>
            </w:r>
            <w:r w:rsidR="00C6136E">
              <w:rPr>
                <w:webHidden/>
              </w:rPr>
            </w:r>
            <w:r w:rsidR="00C6136E">
              <w:rPr>
                <w:webHidden/>
              </w:rPr>
              <w:fldChar w:fldCharType="separate"/>
            </w:r>
            <w:r w:rsidR="00C6136E">
              <w:rPr>
                <w:webHidden/>
              </w:rPr>
              <w:t>42</w:t>
            </w:r>
            <w:r w:rsidR="00C6136E">
              <w:rPr>
                <w:webHidden/>
              </w:rPr>
              <w:fldChar w:fldCharType="end"/>
            </w:r>
          </w:hyperlink>
        </w:p>
        <w:p w14:paraId="04CDEAE3" w14:textId="269C8856" w:rsidR="00C6136E" w:rsidRDefault="00000000">
          <w:pPr>
            <w:pStyle w:val="TOC2"/>
            <w:rPr>
              <w:rFonts w:asciiTheme="minorHAnsi" w:eastAsiaTheme="minorEastAsia" w:hAnsiTheme="minorHAnsi" w:cstheme="minorBidi"/>
              <w:sz w:val="22"/>
              <w:szCs w:val="22"/>
              <w:lang w:eastAsia="en-AU"/>
            </w:rPr>
          </w:pPr>
          <w:hyperlink w:anchor="_Toc130942953" w:history="1">
            <w:r w:rsidR="00C6136E" w:rsidRPr="007B6A89">
              <w:rPr>
                <w:rStyle w:val="Hyperlink"/>
              </w:rPr>
              <w:t>The Key Role of the National Disability Data Asset</w:t>
            </w:r>
            <w:r w:rsidR="00C6136E">
              <w:rPr>
                <w:webHidden/>
              </w:rPr>
              <w:tab/>
            </w:r>
            <w:r w:rsidR="00C6136E">
              <w:rPr>
                <w:webHidden/>
              </w:rPr>
              <w:fldChar w:fldCharType="begin"/>
            </w:r>
            <w:r w:rsidR="00C6136E">
              <w:rPr>
                <w:webHidden/>
              </w:rPr>
              <w:instrText xml:space="preserve"> PAGEREF _Toc130942953 \h </w:instrText>
            </w:r>
            <w:r w:rsidR="00C6136E">
              <w:rPr>
                <w:webHidden/>
              </w:rPr>
            </w:r>
            <w:r w:rsidR="00C6136E">
              <w:rPr>
                <w:webHidden/>
              </w:rPr>
              <w:fldChar w:fldCharType="separate"/>
            </w:r>
            <w:r w:rsidR="00C6136E">
              <w:rPr>
                <w:webHidden/>
              </w:rPr>
              <w:t>43</w:t>
            </w:r>
            <w:r w:rsidR="00C6136E">
              <w:rPr>
                <w:webHidden/>
              </w:rPr>
              <w:fldChar w:fldCharType="end"/>
            </w:r>
          </w:hyperlink>
        </w:p>
        <w:p w14:paraId="6AB8CB66" w14:textId="6A0E4053" w:rsidR="00C6136E" w:rsidRDefault="00000000">
          <w:pPr>
            <w:pStyle w:val="TOC2"/>
            <w:rPr>
              <w:rFonts w:asciiTheme="minorHAnsi" w:eastAsiaTheme="minorEastAsia" w:hAnsiTheme="minorHAnsi" w:cstheme="minorBidi"/>
              <w:sz w:val="22"/>
              <w:szCs w:val="22"/>
              <w:lang w:eastAsia="en-AU"/>
            </w:rPr>
          </w:pPr>
          <w:hyperlink w:anchor="_Toc130942954" w:history="1">
            <w:r w:rsidR="00C6136E" w:rsidRPr="007B6A89">
              <w:rPr>
                <w:rStyle w:val="Hyperlink"/>
              </w:rPr>
              <w:t>Role of Councils and the States pertaining to Tier 2 investment data</w:t>
            </w:r>
            <w:r w:rsidR="00C6136E">
              <w:rPr>
                <w:webHidden/>
              </w:rPr>
              <w:tab/>
            </w:r>
            <w:r w:rsidR="00C6136E">
              <w:rPr>
                <w:webHidden/>
              </w:rPr>
              <w:fldChar w:fldCharType="begin"/>
            </w:r>
            <w:r w:rsidR="00C6136E">
              <w:rPr>
                <w:webHidden/>
              </w:rPr>
              <w:instrText xml:space="preserve"> PAGEREF _Toc130942954 \h </w:instrText>
            </w:r>
            <w:r w:rsidR="00C6136E">
              <w:rPr>
                <w:webHidden/>
              </w:rPr>
            </w:r>
            <w:r w:rsidR="00C6136E">
              <w:rPr>
                <w:webHidden/>
              </w:rPr>
              <w:fldChar w:fldCharType="separate"/>
            </w:r>
            <w:r w:rsidR="00C6136E">
              <w:rPr>
                <w:webHidden/>
              </w:rPr>
              <w:t>44</w:t>
            </w:r>
            <w:r w:rsidR="00C6136E">
              <w:rPr>
                <w:webHidden/>
              </w:rPr>
              <w:fldChar w:fldCharType="end"/>
            </w:r>
          </w:hyperlink>
        </w:p>
        <w:p w14:paraId="4E5FE617" w14:textId="1F59471F" w:rsidR="00C6136E" w:rsidRDefault="00000000">
          <w:pPr>
            <w:pStyle w:val="TOC2"/>
            <w:rPr>
              <w:rFonts w:asciiTheme="minorHAnsi" w:eastAsiaTheme="minorEastAsia" w:hAnsiTheme="minorHAnsi" w:cstheme="minorBidi"/>
              <w:sz w:val="22"/>
              <w:szCs w:val="22"/>
              <w:lang w:eastAsia="en-AU"/>
            </w:rPr>
          </w:pPr>
          <w:hyperlink w:anchor="_Toc130942955" w:history="1">
            <w:r w:rsidR="00C6136E" w:rsidRPr="007B6A89">
              <w:rPr>
                <w:rStyle w:val="Hyperlink"/>
              </w:rPr>
              <w:t>Recommendation 7: More granular data provision at Local (Council) level</w:t>
            </w:r>
            <w:r w:rsidR="00C6136E">
              <w:rPr>
                <w:webHidden/>
              </w:rPr>
              <w:tab/>
            </w:r>
            <w:r w:rsidR="00C6136E">
              <w:rPr>
                <w:webHidden/>
              </w:rPr>
              <w:fldChar w:fldCharType="begin"/>
            </w:r>
            <w:r w:rsidR="00C6136E">
              <w:rPr>
                <w:webHidden/>
              </w:rPr>
              <w:instrText xml:space="preserve"> PAGEREF _Toc130942955 \h </w:instrText>
            </w:r>
            <w:r w:rsidR="00C6136E">
              <w:rPr>
                <w:webHidden/>
              </w:rPr>
            </w:r>
            <w:r w:rsidR="00C6136E">
              <w:rPr>
                <w:webHidden/>
              </w:rPr>
              <w:fldChar w:fldCharType="separate"/>
            </w:r>
            <w:r w:rsidR="00C6136E">
              <w:rPr>
                <w:webHidden/>
              </w:rPr>
              <w:t>45</w:t>
            </w:r>
            <w:r w:rsidR="00C6136E">
              <w:rPr>
                <w:webHidden/>
              </w:rPr>
              <w:fldChar w:fldCharType="end"/>
            </w:r>
          </w:hyperlink>
        </w:p>
        <w:p w14:paraId="500AD89F" w14:textId="4D7E3335" w:rsidR="00C6136E" w:rsidRDefault="00000000">
          <w:pPr>
            <w:pStyle w:val="TOC2"/>
            <w:rPr>
              <w:rFonts w:asciiTheme="minorHAnsi" w:eastAsiaTheme="minorEastAsia" w:hAnsiTheme="minorHAnsi" w:cstheme="minorBidi"/>
              <w:sz w:val="22"/>
              <w:szCs w:val="22"/>
              <w:lang w:eastAsia="en-AU"/>
            </w:rPr>
          </w:pPr>
          <w:hyperlink w:anchor="_Toc130942956" w:history="1">
            <w:r w:rsidR="00C6136E" w:rsidRPr="007B6A89">
              <w:rPr>
                <w:rStyle w:val="Hyperlink"/>
              </w:rPr>
              <w:t>Recommendation 8: Provision of State level disability services investment data</w:t>
            </w:r>
            <w:r w:rsidR="00C6136E">
              <w:rPr>
                <w:webHidden/>
              </w:rPr>
              <w:tab/>
            </w:r>
            <w:r w:rsidR="00C6136E">
              <w:rPr>
                <w:webHidden/>
              </w:rPr>
              <w:fldChar w:fldCharType="begin"/>
            </w:r>
            <w:r w:rsidR="00C6136E">
              <w:rPr>
                <w:webHidden/>
              </w:rPr>
              <w:instrText xml:space="preserve"> PAGEREF _Toc130942956 \h </w:instrText>
            </w:r>
            <w:r w:rsidR="00C6136E">
              <w:rPr>
                <w:webHidden/>
              </w:rPr>
            </w:r>
            <w:r w:rsidR="00C6136E">
              <w:rPr>
                <w:webHidden/>
              </w:rPr>
              <w:fldChar w:fldCharType="separate"/>
            </w:r>
            <w:r w:rsidR="00C6136E">
              <w:rPr>
                <w:webHidden/>
              </w:rPr>
              <w:t>45</w:t>
            </w:r>
            <w:r w:rsidR="00C6136E">
              <w:rPr>
                <w:webHidden/>
              </w:rPr>
              <w:fldChar w:fldCharType="end"/>
            </w:r>
          </w:hyperlink>
        </w:p>
        <w:p w14:paraId="4B25248D" w14:textId="7833E271" w:rsidR="00C6136E" w:rsidRDefault="00000000">
          <w:pPr>
            <w:pStyle w:val="TOC1"/>
            <w:rPr>
              <w:rFonts w:asciiTheme="minorHAnsi" w:eastAsiaTheme="minorEastAsia" w:hAnsiTheme="minorHAnsi" w:cstheme="minorBidi"/>
              <w:b w:val="0"/>
              <w:bCs w:val="0"/>
              <w:noProof/>
              <w:sz w:val="22"/>
              <w:szCs w:val="22"/>
              <w:lang w:eastAsia="en-AU"/>
            </w:rPr>
          </w:pPr>
          <w:hyperlink w:anchor="_Toc130942957" w:history="1">
            <w:r w:rsidR="00C6136E" w:rsidRPr="007B6A89">
              <w:rPr>
                <w:rStyle w:val="Hyperlink"/>
                <w:noProof/>
              </w:rPr>
              <w:t>Conclusion</w:t>
            </w:r>
            <w:r w:rsidR="00C6136E">
              <w:rPr>
                <w:noProof/>
                <w:webHidden/>
              </w:rPr>
              <w:tab/>
            </w:r>
            <w:r w:rsidR="00C6136E">
              <w:rPr>
                <w:noProof/>
                <w:webHidden/>
              </w:rPr>
              <w:fldChar w:fldCharType="begin"/>
            </w:r>
            <w:r w:rsidR="00C6136E">
              <w:rPr>
                <w:noProof/>
                <w:webHidden/>
              </w:rPr>
              <w:instrText xml:space="preserve"> PAGEREF _Toc130942957 \h </w:instrText>
            </w:r>
            <w:r w:rsidR="00C6136E">
              <w:rPr>
                <w:noProof/>
                <w:webHidden/>
              </w:rPr>
            </w:r>
            <w:r w:rsidR="00C6136E">
              <w:rPr>
                <w:noProof/>
                <w:webHidden/>
              </w:rPr>
              <w:fldChar w:fldCharType="separate"/>
            </w:r>
            <w:r w:rsidR="00C6136E">
              <w:rPr>
                <w:noProof/>
                <w:webHidden/>
              </w:rPr>
              <w:t>46</w:t>
            </w:r>
            <w:r w:rsidR="00C6136E">
              <w:rPr>
                <w:noProof/>
                <w:webHidden/>
              </w:rPr>
              <w:fldChar w:fldCharType="end"/>
            </w:r>
          </w:hyperlink>
        </w:p>
        <w:p w14:paraId="6AF8186D" w14:textId="35FC5BB5" w:rsidR="00C6136E" w:rsidRDefault="00000000">
          <w:pPr>
            <w:pStyle w:val="TOC1"/>
            <w:rPr>
              <w:rFonts w:asciiTheme="minorHAnsi" w:eastAsiaTheme="minorEastAsia" w:hAnsiTheme="minorHAnsi" w:cstheme="minorBidi"/>
              <w:b w:val="0"/>
              <w:bCs w:val="0"/>
              <w:noProof/>
              <w:sz w:val="22"/>
              <w:szCs w:val="22"/>
              <w:lang w:eastAsia="en-AU"/>
            </w:rPr>
          </w:pPr>
          <w:hyperlink w:anchor="_Toc130942958" w:history="1">
            <w:r w:rsidR="00C6136E" w:rsidRPr="007B6A89">
              <w:rPr>
                <w:rStyle w:val="Hyperlink"/>
                <w:noProof/>
              </w:rPr>
              <w:t>Bibliography</w:t>
            </w:r>
            <w:r w:rsidR="00C6136E">
              <w:rPr>
                <w:noProof/>
                <w:webHidden/>
              </w:rPr>
              <w:tab/>
            </w:r>
            <w:r w:rsidR="00C6136E">
              <w:rPr>
                <w:noProof/>
                <w:webHidden/>
              </w:rPr>
              <w:fldChar w:fldCharType="begin"/>
            </w:r>
            <w:r w:rsidR="00C6136E">
              <w:rPr>
                <w:noProof/>
                <w:webHidden/>
              </w:rPr>
              <w:instrText xml:space="preserve"> PAGEREF _Toc130942958 \h </w:instrText>
            </w:r>
            <w:r w:rsidR="00C6136E">
              <w:rPr>
                <w:noProof/>
                <w:webHidden/>
              </w:rPr>
            </w:r>
            <w:r w:rsidR="00C6136E">
              <w:rPr>
                <w:noProof/>
                <w:webHidden/>
              </w:rPr>
              <w:fldChar w:fldCharType="separate"/>
            </w:r>
            <w:r w:rsidR="00C6136E">
              <w:rPr>
                <w:noProof/>
                <w:webHidden/>
              </w:rPr>
              <w:t>48</w:t>
            </w:r>
            <w:r w:rsidR="00C6136E">
              <w:rPr>
                <w:noProof/>
                <w:webHidden/>
              </w:rPr>
              <w:fldChar w:fldCharType="end"/>
            </w:r>
          </w:hyperlink>
        </w:p>
        <w:p w14:paraId="4ACDFA51" w14:textId="4D0A2CF3" w:rsidR="00C6136E" w:rsidRDefault="00000000">
          <w:pPr>
            <w:pStyle w:val="TOC1"/>
            <w:rPr>
              <w:rFonts w:asciiTheme="minorHAnsi" w:eastAsiaTheme="minorEastAsia" w:hAnsiTheme="minorHAnsi" w:cstheme="minorBidi"/>
              <w:b w:val="0"/>
              <w:bCs w:val="0"/>
              <w:noProof/>
              <w:sz w:val="22"/>
              <w:szCs w:val="22"/>
              <w:lang w:eastAsia="en-AU"/>
            </w:rPr>
          </w:pPr>
          <w:hyperlink w:anchor="_Toc130942959" w:history="1">
            <w:r w:rsidR="00C6136E" w:rsidRPr="007B6A89">
              <w:rPr>
                <w:rStyle w:val="Hyperlink"/>
                <w:noProof/>
              </w:rPr>
              <w:t>Appendix 1 - Large ILC (and other relevant) Grants Reviewed</w:t>
            </w:r>
            <w:r w:rsidR="00C6136E">
              <w:rPr>
                <w:noProof/>
                <w:webHidden/>
              </w:rPr>
              <w:tab/>
            </w:r>
            <w:r w:rsidR="00C6136E">
              <w:rPr>
                <w:noProof/>
                <w:webHidden/>
              </w:rPr>
              <w:fldChar w:fldCharType="begin"/>
            </w:r>
            <w:r w:rsidR="00C6136E">
              <w:rPr>
                <w:noProof/>
                <w:webHidden/>
              </w:rPr>
              <w:instrText xml:space="preserve"> PAGEREF _Toc130942959 \h </w:instrText>
            </w:r>
            <w:r w:rsidR="00C6136E">
              <w:rPr>
                <w:noProof/>
                <w:webHidden/>
              </w:rPr>
            </w:r>
            <w:r w:rsidR="00C6136E">
              <w:rPr>
                <w:noProof/>
                <w:webHidden/>
              </w:rPr>
              <w:fldChar w:fldCharType="separate"/>
            </w:r>
            <w:r w:rsidR="00C6136E">
              <w:rPr>
                <w:noProof/>
                <w:webHidden/>
              </w:rPr>
              <w:t>49</w:t>
            </w:r>
            <w:r w:rsidR="00C6136E">
              <w:rPr>
                <w:noProof/>
                <w:webHidden/>
              </w:rPr>
              <w:fldChar w:fldCharType="end"/>
            </w:r>
          </w:hyperlink>
        </w:p>
        <w:p w14:paraId="5B08E4D8" w14:textId="1E920111" w:rsidR="00C6136E" w:rsidRDefault="00000000">
          <w:pPr>
            <w:pStyle w:val="TOC1"/>
            <w:rPr>
              <w:rFonts w:asciiTheme="minorHAnsi" w:eastAsiaTheme="minorEastAsia" w:hAnsiTheme="minorHAnsi" w:cstheme="minorBidi"/>
              <w:b w:val="0"/>
              <w:bCs w:val="0"/>
              <w:noProof/>
              <w:sz w:val="22"/>
              <w:szCs w:val="22"/>
              <w:lang w:eastAsia="en-AU"/>
            </w:rPr>
          </w:pPr>
          <w:hyperlink w:anchor="_Toc130942960" w:history="1">
            <w:r w:rsidR="00C6136E" w:rsidRPr="007B6A89">
              <w:rPr>
                <w:rStyle w:val="Hyperlink"/>
                <w:noProof/>
              </w:rPr>
              <w:t>Appendix 2 – Selected Tables summarising term of supports, and client access numbers to homelessness services</w:t>
            </w:r>
            <w:r w:rsidR="00C6136E">
              <w:rPr>
                <w:noProof/>
                <w:webHidden/>
              </w:rPr>
              <w:tab/>
            </w:r>
            <w:r w:rsidR="00C6136E">
              <w:rPr>
                <w:noProof/>
                <w:webHidden/>
              </w:rPr>
              <w:fldChar w:fldCharType="begin"/>
            </w:r>
            <w:r w:rsidR="00C6136E">
              <w:rPr>
                <w:noProof/>
                <w:webHidden/>
              </w:rPr>
              <w:instrText xml:space="preserve"> PAGEREF _Toc130942960 \h </w:instrText>
            </w:r>
            <w:r w:rsidR="00C6136E">
              <w:rPr>
                <w:noProof/>
                <w:webHidden/>
              </w:rPr>
            </w:r>
            <w:r w:rsidR="00C6136E">
              <w:rPr>
                <w:noProof/>
                <w:webHidden/>
              </w:rPr>
              <w:fldChar w:fldCharType="separate"/>
            </w:r>
            <w:r w:rsidR="00C6136E">
              <w:rPr>
                <w:noProof/>
                <w:webHidden/>
              </w:rPr>
              <w:t>50</w:t>
            </w:r>
            <w:r w:rsidR="00C6136E">
              <w:rPr>
                <w:noProof/>
                <w:webHidden/>
              </w:rPr>
              <w:fldChar w:fldCharType="end"/>
            </w:r>
          </w:hyperlink>
        </w:p>
        <w:p w14:paraId="7F401020" w14:textId="64CCFB12" w:rsidR="00C6136E" w:rsidRDefault="00000000">
          <w:pPr>
            <w:pStyle w:val="TOC1"/>
            <w:rPr>
              <w:rFonts w:asciiTheme="minorHAnsi" w:eastAsiaTheme="minorEastAsia" w:hAnsiTheme="minorHAnsi" w:cstheme="minorBidi"/>
              <w:b w:val="0"/>
              <w:bCs w:val="0"/>
              <w:noProof/>
              <w:sz w:val="22"/>
              <w:szCs w:val="22"/>
              <w:lang w:eastAsia="en-AU"/>
            </w:rPr>
          </w:pPr>
          <w:hyperlink w:anchor="_Toc130942961" w:history="1">
            <w:r w:rsidR="00C6136E" w:rsidRPr="007B6A89">
              <w:rPr>
                <w:rStyle w:val="Hyperlink"/>
                <w:noProof/>
              </w:rPr>
              <w:t>Appendix 3 – Purposes and Sub-categories of expenditure at a Local Government level</w:t>
            </w:r>
            <w:r w:rsidR="00C6136E">
              <w:rPr>
                <w:noProof/>
                <w:webHidden/>
              </w:rPr>
              <w:tab/>
            </w:r>
            <w:r w:rsidR="00C6136E">
              <w:rPr>
                <w:noProof/>
                <w:webHidden/>
              </w:rPr>
              <w:fldChar w:fldCharType="begin"/>
            </w:r>
            <w:r w:rsidR="00C6136E">
              <w:rPr>
                <w:noProof/>
                <w:webHidden/>
              </w:rPr>
              <w:instrText xml:space="preserve"> PAGEREF _Toc130942961 \h </w:instrText>
            </w:r>
            <w:r w:rsidR="00C6136E">
              <w:rPr>
                <w:noProof/>
                <w:webHidden/>
              </w:rPr>
            </w:r>
            <w:r w:rsidR="00C6136E">
              <w:rPr>
                <w:noProof/>
                <w:webHidden/>
              </w:rPr>
              <w:fldChar w:fldCharType="separate"/>
            </w:r>
            <w:r w:rsidR="00C6136E">
              <w:rPr>
                <w:noProof/>
                <w:webHidden/>
              </w:rPr>
              <w:t>53</w:t>
            </w:r>
            <w:r w:rsidR="00C6136E">
              <w:rPr>
                <w:noProof/>
                <w:webHidden/>
              </w:rPr>
              <w:fldChar w:fldCharType="end"/>
            </w:r>
          </w:hyperlink>
        </w:p>
        <w:p w14:paraId="57B79DC6" w14:textId="0A35A864" w:rsidR="00C6136E" w:rsidRDefault="00000000">
          <w:pPr>
            <w:pStyle w:val="TOC1"/>
            <w:rPr>
              <w:rFonts w:asciiTheme="minorHAnsi" w:eastAsiaTheme="minorEastAsia" w:hAnsiTheme="minorHAnsi" w:cstheme="minorBidi"/>
              <w:b w:val="0"/>
              <w:bCs w:val="0"/>
              <w:noProof/>
              <w:sz w:val="22"/>
              <w:szCs w:val="22"/>
              <w:lang w:eastAsia="en-AU"/>
            </w:rPr>
          </w:pPr>
          <w:hyperlink w:anchor="_Toc130942962" w:history="1">
            <w:r w:rsidR="00C6136E" w:rsidRPr="007B6A89">
              <w:rPr>
                <w:rStyle w:val="Hyperlink"/>
                <w:noProof/>
              </w:rPr>
              <w:t>Appendix 4 – Additional Charts</w:t>
            </w:r>
            <w:r w:rsidR="00C6136E">
              <w:rPr>
                <w:noProof/>
                <w:webHidden/>
              </w:rPr>
              <w:tab/>
            </w:r>
            <w:r w:rsidR="00C6136E">
              <w:rPr>
                <w:noProof/>
                <w:webHidden/>
              </w:rPr>
              <w:fldChar w:fldCharType="begin"/>
            </w:r>
            <w:r w:rsidR="00C6136E">
              <w:rPr>
                <w:noProof/>
                <w:webHidden/>
              </w:rPr>
              <w:instrText xml:space="preserve"> PAGEREF _Toc130942962 \h </w:instrText>
            </w:r>
            <w:r w:rsidR="00C6136E">
              <w:rPr>
                <w:noProof/>
                <w:webHidden/>
              </w:rPr>
            </w:r>
            <w:r w:rsidR="00C6136E">
              <w:rPr>
                <w:noProof/>
                <w:webHidden/>
              </w:rPr>
              <w:fldChar w:fldCharType="separate"/>
            </w:r>
            <w:r w:rsidR="00C6136E">
              <w:rPr>
                <w:noProof/>
                <w:webHidden/>
              </w:rPr>
              <w:t>54</w:t>
            </w:r>
            <w:r w:rsidR="00C6136E">
              <w:rPr>
                <w:noProof/>
                <w:webHidden/>
              </w:rPr>
              <w:fldChar w:fldCharType="end"/>
            </w:r>
          </w:hyperlink>
        </w:p>
        <w:p w14:paraId="01980B8F" w14:textId="3A2CA267" w:rsidR="00531754" w:rsidRPr="00531754" w:rsidRDefault="00531754" w:rsidP="00531754">
          <w:pPr>
            <w:jc w:val="both"/>
            <w:rPr>
              <w:rFonts w:ascii="Avenir Book" w:hAnsi="Avenir Book"/>
            </w:rPr>
          </w:pPr>
          <w:r w:rsidRPr="00425687">
            <w:rPr>
              <w:rFonts w:ascii="Avenir Book" w:hAnsi="Avenir Book"/>
              <w:b/>
              <w:bCs/>
              <w:noProof/>
            </w:rPr>
            <w:fldChar w:fldCharType="end"/>
          </w:r>
        </w:p>
      </w:sdtContent>
    </w:sdt>
    <w:p w14:paraId="3EC5F1CE" w14:textId="6B81C20C" w:rsidR="00531754" w:rsidRPr="00556B84" w:rsidRDefault="00531754" w:rsidP="00556B84">
      <w:pPr>
        <w:pStyle w:val="Heading1"/>
        <w:rPr>
          <w:rFonts w:ascii="Avenir Book" w:hAnsi="Avenir Book"/>
          <w:color w:val="1E4E42" w:themeColor="accent1"/>
          <w:sz w:val="32"/>
        </w:rPr>
      </w:pPr>
      <w:bookmarkStart w:id="4" w:name="_Toc120268904"/>
      <w:bookmarkStart w:id="5" w:name="_Toc130942908"/>
      <w:r w:rsidRPr="00531754">
        <w:t>About Per Capita</w:t>
      </w:r>
      <w:bookmarkEnd w:id="2"/>
      <w:bookmarkEnd w:id="1"/>
      <w:bookmarkEnd w:id="0"/>
      <w:bookmarkEnd w:id="4"/>
      <w:bookmarkEnd w:id="5"/>
    </w:p>
    <w:p w14:paraId="4ADA30C5" w14:textId="40A05EE8" w:rsidR="00531754" w:rsidRPr="00531754" w:rsidRDefault="00531754" w:rsidP="004A2ABA">
      <w:r w:rsidRPr="00531754">
        <w:t>Per Capita is an independent public policy think tank. We work to build a new vision for Australia based on fairness, shared prosperity and social justice.</w:t>
      </w:r>
      <w:r w:rsidR="00707DCE">
        <w:t xml:space="preserve">  </w:t>
      </w:r>
    </w:p>
    <w:p w14:paraId="2F8DD39A" w14:textId="77777777" w:rsidR="00531754" w:rsidRPr="00531754" w:rsidRDefault="00531754" w:rsidP="004A2ABA">
      <w:r w:rsidRPr="00531754">
        <w:t>Our office is located on the stolen lands of the Wurundjeri people of the Kulin Nations, which were never ceded. We strongly support the Uluru Statement from the Heart and the call for a First Nations Voice to Parliament.</w:t>
      </w:r>
    </w:p>
    <w:p w14:paraId="444B5768" w14:textId="0F705D8A" w:rsidR="00531754" w:rsidRPr="00531754" w:rsidRDefault="00531754" w:rsidP="004A2ABA">
      <w:r w:rsidRPr="00531754">
        <w:t xml:space="preserve">Per Capita’s research and policy prescriptions are rigorous, evidence-based and long-term in outlook. All our publications and activities are intended to deepen political, social and economic democracy, and we are focused on challenges for the next generations rather than the next election cycle. </w:t>
      </w:r>
    </w:p>
    <w:p w14:paraId="19651410" w14:textId="77777777" w:rsidR="00531754" w:rsidRPr="00531754" w:rsidRDefault="00531754" w:rsidP="00DE3A9B">
      <w:pPr>
        <w:pStyle w:val="Heading2"/>
      </w:pPr>
      <w:bookmarkStart w:id="6" w:name="_Toc120266182"/>
      <w:bookmarkStart w:id="7" w:name="_Toc130942909"/>
      <w:r w:rsidRPr="00531754">
        <w:lastRenderedPageBreak/>
        <w:t>Our approach to public policy</w:t>
      </w:r>
      <w:bookmarkEnd w:id="6"/>
      <w:bookmarkEnd w:id="7"/>
    </w:p>
    <w:p w14:paraId="2D4A64F0" w14:textId="64C140A3" w:rsidR="00531754" w:rsidRPr="00F175DB" w:rsidRDefault="00531754" w:rsidP="00F175DB">
      <w:r w:rsidRPr="00F175DB">
        <w:t>Per Capita’s approach to public policy challenges the dominant narrative that disadvantage arises from personal fault or failure by pointing out the policy choices that have deepened inequality and proposing alternative choices that will lessen it.</w:t>
      </w:r>
    </w:p>
    <w:p w14:paraId="1A0F2242" w14:textId="77777777" w:rsidR="00531754" w:rsidRPr="00F175DB" w:rsidRDefault="00531754" w:rsidP="00F175DB">
      <w:r w:rsidRPr="00F175DB">
        <w:t>Our policy analysis and recommended solutions seek to recognise the challenges, and work within the complex economic, political and social conditions, of our age, such as:</w:t>
      </w:r>
    </w:p>
    <w:p w14:paraId="51A1F400" w14:textId="77777777" w:rsidR="00531754" w:rsidRPr="00531754" w:rsidRDefault="00531754" w:rsidP="0083058C">
      <w:pPr>
        <w:pStyle w:val="ListParagraph"/>
        <w:numPr>
          <w:ilvl w:val="0"/>
          <w:numId w:val="6"/>
        </w:numPr>
      </w:pPr>
      <w:r w:rsidRPr="00531754">
        <w:t xml:space="preserve">The impact of rapid climate change and extreme weather events; </w:t>
      </w:r>
    </w:p>
    <w:p w14:paraId="4D1A7C6A" w14:textId="77777777" w:rsidR="00531754" w:rsidRPr="00531754" w:rsidRDefault="00531754" w:rsidP="0083058C">
      <w:pPr>
        <w:pStyle w:val="ListParagraph"/>
        <w:numPr>
          <w:ilvl w:val="0"/>
          <w:numId w:val="6"/>
        </w:numPr>
      </w:pPr>
      <w:r w:rsidRPr="00531754">
        <w:t>Growing economic inequality, with increasing returns to capital and a decline in returns to labour;</w:t>
      </w:r>
    </w:p>
    <w:p w14:paraId="0C23D53D" w14:textId="77777777" w:rsidR="00531754" w:rsidRPr="00531754" w:rsidRDefault="00531754" w:rsidP="0083058C">
      <w:pPr>
        <w:pStyle w:val="ListParagraph"/>
        <w:numPr>
          <w:ilvl w:val="0"/>
          <w:numId w:val="6"/>
        </w:numPr>
      </w:pPr>
      <w:r w:rsidRPr="00531754">
        <w:t>The growing difficulty of accessing good jobs, adequate income support and secure housing; and</w:t>
      </w:r>
    </w:p>
    <w:p w14:paraId="178CB4F3" w14:textId="2638B15C" w:rsidR="00531754" w:rsidRPr="00531754" w:rsidRDefault="00531754" w:rsidP="0083058C">
      <w:pPr>
        <w:pStyle w:val="ListParagraph"/>
        <w:numPr>
          <w:ilvl w:val="0"/>
          <w:numId w:val="6"/>
        </w:numPr>
      </w:pPr>
      <w:r w:rsidRPr="00531754">
        <w:t>The negative effects of privatisation and the deliberate shrinking of essential public services.</w:t>
      </w:r>
    </w:p>
    <w:p w14:paraId="72D761D3" w14:textId="64D98E52" w:rsidR="00531754" w:rsidRPr="004A2ABA" w:rsidRDefault="00531754" w:rsidP="004A2ABA">
      <w:r w:rsidRPr="004A2ABA">
        <w:t>In doing so, we strive to incorporate new thinking in social science and economics, innovative ways of working with data, and effective evaluation tools to measure outcomes. We also engage actively with organisations across society, including the union movement, civil society, the community sector, academia, business, government and the public service, and social change movements.</w:t>
      </w:r>
    </w:p>
    <w:p w14:paraId="224803A8" w14:textId="67F8D330" w:rsidR="00531754" w:rsidRPr="00531754" w:rsidRDefault="00531754" w:rsidP="004A2ABA">
      <w:r w:rsidRPr="004A2ABA">
        <w:t>In all our work, we seek to uunderstand and highlight the experiences of those who bear the brunt of the effects of policy choices that exacerbate inequality, including underpaid and exploited workers, people who can’t get a decent job, women, First Nations people, members of the LGBTQ+ community, people with disability and their carers, migrants and refugees, and others who are marginalised by our economic and social structures and denied their fair share of power and resources.</w:t>
      </w:r>
      <w:r w:rsidRPr="00531754">
        <w:t xml:space="preserve"> </w:t>
      </w:r>
    </w:p>
    <w:p w14:paraId="3FC10239" w14:textId="77777777" w:rsidR="00531754" w:rsidRPr="00531754" w:rsidRDefault="00531754" w:rsidP="00DE3A9B">
      <w:pPr>
        <w:pStyle w:val="Heading2"/>
      </w:pPr>
      <w:bookmarkStart w:id="8" w:name="_Toc130942910"/>
      <w:r w:rsidRPr="00531754">
        <w:t>We live and work in hope and solidarity</w:t>
      </w:r>
      <w:bookmarkEnd w:id="8"/>
    </w:p>
    <w:p w14:paraId="6A7F1567" w14:textId="77777777" w:rsidR="00531754" w:rsidRPr="00531754" w:rsidRDefault="00531754" w:rsidP="00DC0B48">
      <w:r w:rsidRPr="00531754">
        <w:t xml:space="preserve">The democracy Per Capita works for is one that shares its knowledge, wealth and power, to ensure all its citizens can live meaningful and fulfilling lives, able to take care of each other and of our shared planet. </w:t>
      </w:r>
    </w:p>
    <w:p w14:paraId="46166E22" w14:textId="10C870BE" w:rsidR="00531754" w:rsidRPr="004A2ABA" w:rsidRDefault="00531754" w:rsidP="004A2ABA">
      <w:pPr>
        <w:pStyle w:val="Heading2"/>
        <w:rPr>
          <w:rFonts w:ascii="Avenir Book" w:hAnsi="Avenir Book"/>
          <w:color w:val="95784E" w:themeColor="accent2"/>
          <w:sz w:val="26"/>
        </w:rPr>
      </w:pPr>
      <w:bookmarkStart w:id="9" w:name="_Toc120266183"/>
      <w:bookmarkStart w:id="10" w:name="_Toc120266218"/>
      <w:bookmarkStart w:id="11" w:name="_Toc120266338"/>
      <w:bookmarkStart w:id="12" w:name="_Toc120268905"/>
      <w:bookmarkStart w:id="13" w:name="_Toc130942911"/>
      <w:r w:rsidRPr="00517364">
        <w:t>About the author</w:t>
      </w:r>
      <w:bookmarkEnd w:id="9"/>
      <w:bookmarkEnd w:id="10"/>
      <w:bookmarkEnd w:id="11"/>
      <w:bookmarkEnd w:id="12"/>
      <w:bookmarkEnd w:id="13"/>
    </w:p>
    <w:p w14:paraId="658BFB98" w14:textId="77777777" w:rsidR="00531754" w:rsidRPr="00292ABF" w:rsidRDefault="00531754" w:rsidP="00E61BE5">
      <w:r w:rsidRPr="00292ABF">
        <w:t>Michael D’Rosario, Chief Economist</w:t>
      </w:r>
    </w:p>
    <w:p w14:paraId="463FEFFA" w14:textId="17AF2958" w:rsidR="00531754" w:rsidRPr="00531754" w:rsidRDefault="00531754" w:rsidP="00DC0B48">
      <w:r w:rsidRPr="00531754">
        <w:lastRenderedPageBreak/>
        <w:t xml:space="preserve">Michael is Chief Economist and Head of Data Science at Per Capita. At Per Capita Michael has lead research activities in Health Economics, Complex Systems analysis, and economic modelling </w:t>
      </w:r>
      <w:r w:rsidR="00695FF4">
        <w:t>programs</w:t>
      </w:r>
      <w:r w:rsidRPr="00531754">
        <w:t>.</w:t>
      </w:r>
    </w:p>
    <w:p w14:paraId="1DE62A08" w14:textId="24BB8640" w:rsidR="00531754" w:rsidRPr="00531754" w:rsidRDefault="00531754" w:rsidP="00DC0B48">
      <w:r w:rsidRPr="00531754">
        <w:t xml:space="preserve">Michael’s recent research partnerships include </w:t>
      </w:r>
      <w:r w:rsidR="0047131A">
        <w:t xml:space="preserve">the Australian Multiple Births Association, </w:t>
      </w:r>
      <w:r w:rsidRPr="00531754">
        <w:t xml:space="preserve">Deaf Connect, Deaf Australia, NDS, Minderoo, CyberCX, and OCH. Michael possesses significant experience working with NFP, university and corporate organisations in Australia and abroad. Most recently, Michael served as a course chair at Deakin University, the ESG Advisor to CPA Australia, and as Research, Policy and Communications Advisor to the Victorian Aboriginal Legal Service and the National Aboriginal and Torres Strait Islander Legal service. </w:t>
      </w:r>
    </w:p>
    <w:p w14:paraId="21E73113" w14:textId="3A25B4C9" w:rsidR="00531754" w:rsidRPr="00531754" w:rsidRDefault="00531754" w:rsidP="00DC0B48">
      <w:r w:rsidRPr="00531754">
        <w:t xml:space="preserve">In addition to Michael’s role with Per Capita, </w:t>
      </w:r>
      <w:r w:rsidR="00695FF4">
        <w:t>he</w:t>
      </w:r>
      <w:r w:rsidRPr="00531754">
        <w:t xml:space="preserve"> teaches research methods to graduate students at the University of Adelaide. Prior to working with Per Capita and the noted organisations, Michael worked with AusAid, Victoria University and the University of Melbourne. </w:t>
      </w:r>
      <w:r w:rsidR="00695FF4">
        <w:t>He</w:t>
      </w:r>
      <w:r w:rsidRPr="00531754">
        <w:t xml:space="preserve"> has served on a number of university boards as a Non-Executive Director and Deputy Chair. Michael is passionate about social justice and presently works on projects in ensemble forecasting methods, ethical/explainable A.I. and the role of technology in addressing social inequality. </w:t>
      </w:r>
    </w:p>
    <w:p w14:paraId="3D527A46" w14:textId="77777777" w:rsidR="00531754" w:rsidRPr="00531754" w:rsidRDefault="00531754" w:rsidP="00DC0B48">
      <w:r w:rsidRPr="00531754">
        <w:t>Michael’s doctoral and postdoctoral work in econometrics has focused on the role of innovation in driving job creation, economic development and services access.</w:t>
      </w:r>
    </w:p>
    <w:p w14:paraId="7697ED08" w14:textId="77777777" w:rsidR="00531754" w:rsidRPr="00531754" w:rsidRDefault="00531754" w:rsidP="00917ED0">
      <w:pPr>
        <w:pStyle w:val="Heading1"/>
      </w:pPr>
      <w:bookmarkStart w:id="14" w:name="_Toc120266184"/>
      <w:bookmarkStart w:id="15" w:name="_Toc120266219"/>
      <w:bookmarkStart w:id="16" w:name="_Toc120266339"/>
      <w:bookmarkStart w:id="17" w:name="_Toc120268906"/>
      <w:bookmarkStart w:id="18" w:name="_Toc130942912"/>
      <w:r w:rsidRPr="00531754">
        <w:t>About NDS</w:t>
      </w:r>
      <w:bookmarkEnd w:id="3"/>
      <w:bookmarkEnd w:id="14"/>
      <w:bookmarkEnd w:id="15"/>
      <w:bookmarkEnd w:id="16"/>
      <w:bookmarkEnd w:id="17"/>
      <w:bookmarkEnd w:id="18"/>
      <w:r w:rsidRPr="00531754">
        <w:t> </w:t>
      </w:r>
    </w:p>
    <w:p w14:paraId="3D6D4B82" w14:textId="77777777" w:rsidR="00531754" w:rsidRPr="00531754" w:rsidRDefault="00531754" w:rsidP="003F42D4">
      <w:r w:rsidRPr="00531754">
        <w:t>NDS is Australia’s peak body for non-government disability service organisations, representing more than 1100 organisations from the full spectrum of disability service providers across Australia.</w:t>
      </w:r>
    </w:p>
    <w:p w14:paraId="24F6A0F5" w14:textId="77777777" w:rsidR="00531754" w:rsidRPr="00531754" w:rsidRDefault="00531754" w:rsidP="003F42D4">
      <w:r w:rsidRPr="00531754">
        <w:t>We promote the full social and economic participation of people with disability by supporting high-quality, innovative and sustainable disability services. Members range in size from small support groups to large multi-service organisations and collectively, operate several thousand services for Australians with all types of disability.</w:t>
      </w:r>
    </w:p>
    <w:p w14:paraId="3FF44ACF" w14:textId="77777777" w:rsidR="00531754" w:rsidRPr="00F451DB" w:rsidRDefault="00531754" w:rsidP="00F451DB">
      <w:pPr>
        <w:rPr>
          <w:b/>
          <w:bCs/>
        </w:rPr>
      </w:pPr>
      <w:r w:rsidRPr="00F451DB">
        <w:rPr>
          <w:b/>
          <w:bCs/>
        </w:rPr>
        <w:t>Suggested Citation:  </w:t>
      </w:r>
    </w:p>
    <w:p w14:paraId="19E6BB0C" w14:textId="24C2FCD0" w:rsidR="00531754" w:rsidRPr="00531754" w:rsidRDefault="00531754" w:rsidP="00F451DB">
      <w:r w:rsidRPr="00531754">
        <w:t>D’Rosario, M. (2023), Not a one-stop shop: the NDIS in Australia’s social infrastructure, National Disability Services, Per Capita, Australia, 14 November</w:t>
      </w:r>
      <w:r w:rsidR="00556B84">
        <w:rPr>
          <w:rFonts w:ascii="Avenir Book" w:hAnsi="Avenir Book"/>
        </w:rPr>
        <w:t>. (</w:t>
      </w:r>
      <w:r w:rsidR="00556B84">
        <w:t xml:space="preserve">The author would like to </w:t>
      </w:r>
      <w:r w:rsidR="00556B84">
        <w:lastRenderedPageBreak/>
        <w:t>acknowledge the significant contributions of Emma Dawson, Executive Director at Per Capita, Sam Ibrahim, Research Economist at Per Capita and Matthew Lloyd Cape, Director, Centre for Equitable Housing at Per Capita.)</w:t>
      </w:r>
    </w:p>
    <w:p w14:paraId="4AFB6879" w14:textId="3CCABD2E" w:rsidR="00531754" w:rsidRPr="002C154E" w:rsidRDefault="00531754" w:rsidP="002C154E">
      <w:pPr>
        <w:pStyle w:val="Heading1"/>
        <w:rPr>
          <w:rFonts w:ascii="Avenir Book" w:hAnsi="Avenir Book"/>
          <w:bCs/>
        </w:rPr>
      </w:pPr>
      <w:bookmarkStart w:id="19" w:name="_Toc130942913"/>
      <w:r w:rsidRPr="00531754">
        <w:t>Summary and Recommendations</w:t>
      </w:r>
      <w:bookmarkEnd w:id="19"/>
      <w:r w:rsidRPr="00531754">
        <w:t> </w:t>
      </w:r>
    </w:p>
    <w:p w14:paraId="29E3C093" w14:textId="77777777" w:rsidR="00531754" w:rsidRPr="00531754" w:rsidRDefault="00531754" w:rsidP="00DE344F">
      <w:r w:rsidRPr="00531754">
        <w:t xml:space="preserve">The NDIS was founded upon a three-tier system, with each tier providing a critical and unique contribution to the overall system of support and care for disabled people. Like a three-legged stool, the removal or weakening of any one of these tiers would fundamentally destabilase the entire NDIS. </w:t>
      </w:r>
    </w:p>
    <w:p w14:paraId="215FA058" w14:textId="219BB745" w:rsidR="00531754" w:rsidRPr="00D52FB2" w:rsidRDefault="00531754" w:rsidP="00DE344F">
      <w:r w:rsidRPr="00D52FB2">
        <w:t xml:space="preserve">Tier 2 was originally designed to provide for a robust community-based support system, which could offer services not only to NDIS participants, but also to the roughly 4 million disabled people who fell outside of the Tier 3 individualised service provision. </w:t>
      </w:r>
      <w:r w:rsidR="00D52FB2" w:rsidRPr="00D52FB2">
        <w:t xml:space="preserve"> The primary forms of support provided in Tier 2 are information and referral services rather than funded care and support. Many such programs </w:t>
      </w:r>
      <w:r w:rsidR="00D52FB2">
        <w:t xml:space="preserve">have been </w:t>
      </w:r>
      <w:r w:rsidR="00D52FB2" w:rsidRPr="00D52FB2">
        <w:t xml:space="preserve">funded by the federal Department of Social Services under the Information Linkages and Capacity Building (ILC) Program, which has </w:t>
      </w:r>
      <w:r w:rsidR="00D52FB2">
        <w:t xml:space="preserve">provided grants to </w:t>
      </w:r>
      <w:r w:rsidR="00D52FB2" w:rsidRPr="00D52FB2">
        <w:t xml:space="preserve">targeted community sector programs </w:t>
      </w:r>
      <w:r w:rsidR="00D52FB2">
        <w:t xml:space="preserve">such </w:t>
      </w:r>
      <w:r w:rsidR="00D52FB2" w:rsidRPr="00D52FB2">
        <w:t xml:space="preserve">as the </w:t>
      </w:r>
      <w:r w:rsidR="00D52FB2" w:rsidRPr="00B316DE">
        <w:rPr>
          <w:rFonts w:cs="Helvetica Neue"/>
          <w:color w:val="000000"/>
          <w:lang w:val="en-GB"/>
        </w:rPr>
        <w:t xml:space="preserve">High School Pre-employment Program by </w:t>
      </w:r>
      <w:r w:rsidR="00D52FB2">
        <w:rPr>
          <w:rFonts w:cs="Helvetica Neue"/>
          <w:color w:val="000000"/>
          <w:lang w:val="en-GB"/>
        </w:rPr>
        <w:t xml:space="preserve">the </w:t>
      </w:r>
      <w:r w:rsidR="00D52FB2" w:rsidRPr="00B316DE">
        <w:rPr>
          <w:rFonts w:cs="Helvetica Neue"/>
          <w:color w:val="000000"/>
          <w:lang w:val="en-GB"/>
        </w:rPr>
        <w:t xml:space="preserve">ACT Down Syndrome Association, </w:t>
      </w:r>
      <w:r w:rsidR="00D52FB2">
        <w:rPr>
          <w:rFonts w:cs="Helvetica Neue"/>
          <w:color w:val="000000"/>
          <w:lang w:val="en-GB"/>
        </w:rPr>
        <w:t xml:space="preserve">the </w:t>
      </w:r>
      <w:r w:rsidR="00D52FB2" w:rsidRPr="00675361">
        <w:rPr>
          <w:rFonts w:cs="Helvetica Neue"/>
          <w:color w:val="000000"/>
          <w:lang w:val="en-GB"/>
        </w:rPr>
        <w:t>Tasmanian Amputee Society</w:t>
      </w:r>
      <w:r w:rsidR="00D52FB2">
        <w:rPr>
          <w:rFonts w:cs="Helvetica Neue"/>
          <w:color w:val="000000"/>
          <w:lang w:val="en-GB"/>
        </w:rPr>
        <w:t>’s</w:t>
      </w:r>
      <w:r w:rsidR="00D52FB2" w:rsidRPr="00D52FB2">
        <w:rPr>
          <w:rFonts w:cs="Helvetica Neue"/>
          <w:color w:val="000000"/>
          <w:lang w:val="en-GB"/>
        </w:rPr>
        <w:t xml:space="preserve"> </w:t>
      </w:r>
      <w:r w:rsidR="00D52FB2" w:rsidRPr="00B316DE">
        <w:rPr>
          <w:rFonts w:cs="Helvetica Neue"/>
          <w:color w:val="000000"/>
          <w:lang w:val="en-GB"/>
        </w:rPr>
        <w:t xml:space="preserve">Amputee Peer Support Program, Autism at Work by Asperger Services Australia, </w:t>
      </w:r>
      <w:r w:rsidR="00D52FB2">
        <w:rPr>
          <w:rFonts w:cs="Helvetica Neue"/>
          <w:color w:val="000000"/>
          <w:lang w:val="en-GB"/>
        </w:rPr>
        <w:t xml:space="preserve">and </w:t>
      </w:r>
      <w:r w:rsidR="00D52FB2" w:rsidRPr="00B316DE">
        <w:rPr>
          <w:rFonts w:cs="Helvetica Neue"/>
          <w:color w:val="000000"/>
          <w:lang w:val="en-GB"/>
        </w:rPr>
        <w:t>Building Stronger Communities Together</w:t>
      </w:r>
      <w:r w:rsidR="00D52FB2">
        <w:rPr>
          <w:rFonts w:cs="Helvetica Neue"/>
          <w:color w:val="000000"/>
          <w:lang w:val="en-GB"/>
        </w:rPr>
        <w:t>, delivered</w:t>
      </w:r>
      <w:r w:rsidR="00D52FB2" w:rsidRPr="00B316DE">
        <w:rPr>
          <w:rFonts w:cs="Helvetica Neue"/>
          <w:color w:val="000000"/>
          <w:lang w:val="en-GB"/>
        </w:rPr>
        <w:t xml:space="preserve"> by </w:t>
      </w:r>
      <w:r w:rsidR="00D52FB2">
        <w:rPr>
          <w:rFonts w:cs="Helvetica Neue"/>
          <w:color w:val="000000"/>
          <w:lang w:val="en-GB"/>
        </w:rPr>
        <w:t xml:space="preserve">the </w:t>
      </w:r>
      <w:r w:rsidR="00D52FB2" w:rsidRPr="00B316DE">
        <w:rPr>
          <w:rFonts w:cs="Helvetica Neue"/>
          <w:color w:val="000000"/>
          <w:lang w:val="en-GB"/>
        </w:rPr>
        <w:t>Australian Migrant Resource Centre.</w:t>
      </w:r>
      <w:r w:rsidR="00D52FB2" w:rsidRPr="00D52FB2">
        <w:t xml:space="preserve">   </w:t>
      </w:r>
    </w:p>
    <w:p w14:paraId="6C971ABF" w14:textId="126293AC" w:rsidR="00531754" w:rsidRPr="00531754" w:rsidRDefault="00531754" w:rsidP="00DE344F">
      <w:r w:rsidRPr="00531754">
        <w:t>However, the definition and scope of government support to Tier 2 services were diminished under the previous government, despite calls from the sector, and the Productivity Commission, to return the scheme to its original design. Indeed, recent research shows that 90</w:t>
      </w:r>
      <w:r w:rsidR="00670A45">
        <w:t xml:space="preserve"> per cent</w:t>
      </w:r>
      <w:r w:rsidRPr="00531754">
        <w:t xml:space="preserve"> of Australians living with a disability who do not receive Tier 3 packages report are unable to access the services and support they need.</w:t>
      </w:r>
      <w:r w:rsidR="00556B84">
        <w:rPr>
          <w:rFonts w:ascii="Avenir Book" w:hAnsi="Avenir Book"/>
        </w:rPr>
        <w:t xml:space="preserve"> (</w:t>
      </w:r>
      <w:r w:rsidR="00556B84">
        <w:t>Olney S, Mills, A and Fallon L (2022) The Tier 2 tipping point: access to support for working-age Australians with disability without individual NDIS funding. Melbourne Disability Institute, University of Melbourne)</w:t>
      </w:r>
    </w:p>
    <w:p w14:paraId="7BE9F5DD" w14:textId="77777777" w:rsidR="00531754" w:rsidRPr="00531754" w:rsidRDefault="00531754" w:rsidP="00DE344F">
      <w:r w:rsidRPr="00531754">
        <w:t>Tier 2 funding now accounts for less than 1 per cent of total program investment.</w:t>
      </w:r>
    </w:p>
    <w:p w14:paraId="598A0F74" w14:textId="724E2635" w:rsidR="00531754" w:rsidRPr="00531754" w:rsidRDefault="00531754" w:rsidP="00DE344F">
      <w:r w:rsidRPr="00531754">
        <w:t xml:space="preserve">Many Tier 2 service providers predate the NDIS, and have traditionally relied heavily on donations and volunteers to remain viable. However, COVID and rising costs of living have </w:t>
      </w:r>
      <w:r w:rsidRPr="00531754">
        <w:lastRenderedPageBreak/>
        <w:t xml:space="preserve">reduced the capacity of many volunteers, and economic pressures have resulted in a decline in donor flows, at the same time as overheads have risen. </w:t>
      </w:r>
    </w:p>
    <w:p w14:paraId="207FABD6" w14:textId="77777777" w:rsidR="00531754" w:rsidRPr="00531754" w:rsidRDefault="00531754" w:rsidP="00DE344F">
      <w:r w:rsidRPr="00531754">
        <w:t xml:space="preserve">This research paper examines two key trends of concern relating to the provision of Tier 2 services: </w:t>
      </w:r>
    </w:p>
    <w:p w14:paraId="5CEFEA49" w14:textId="77777777" w:rsidR="00531754" w:rsidRPr="00531754" w:rsidRDefault="00531754" w:rsidP="0083058C">
      <w:pPr>
        <w:pStyle w:val="ListParagraph"/>
        <w:numPr>
          <w:ilvl w:val="0"/>
          <w:numId w:val="8"/>
        </w:numPr>
      </w:pPr>
      <w:r w:rsidRPr="00531754">
        <w:t>The changing structure of federal and state funding for Tier 2 services, and;</w:t>
      </w:r>
    </w:p>
    <w:p w14:paraId="7AFBDF89" w14:textId="77777777" w:rsidR="00531754" w:rsidRPr="00531754" w:rsidRDefault="00531754" w:rsidP="0083058C">
      <w:pPr>
        <w:pStyle w:val="ListParagraph"/>
        <w:numPr>
          <w:ilvl w:val="0"/>
          <w:numId w:val="8"/>
        </w:numPr>
      </w:pPr>
      <w:r w:rsidRPr="00531754">
        <w:t>The declining level of volunteering in the sector, upon which, in the absence of appropriate funding, many Tier 2 organisations are increasingly dependent.</w:t>
      </w:r>
    </w:p>
    <w:p w14:paraId="5675D144" w14:textId="34CA2A31" w:rsidR="00531754" w:rsidRPr="00531754" w:rsidRDefault="00531754" w:rsidP="00EA14FB">
      <w:r w:rsidRPr="00531754">
        <w:t xml:space="preserve">We highlight the declining, sporadic and unpredictable nature of Tier 2 funding. Such funding arrangements are anathema to the creation of a community-based support </w:t>
      </w:r>
      <w:r w:rsidR="00986503" w:rsidRPr="00531754">
        <w:t>system since</w:t>
      </w:r>
      <w:r w:rsidRPr="00531754">
        <w:t xml:space="preserve"> community-based organisations are particularly vulnerable to unpredictable cash flows.     </w:t>
      </w:r>
    </w:p>
    <w:p w14:paraId="00EA0D0D" w14:textId="4E38AD8F" w:rsidR="00531754" w:rsidRPr="00531754" w:rsidRDefault="00531754" w:rsidP="00EA14FB">
      <w:r w:rsidRPr="00531754">
        <w:t xml:space="preserve">Our analysis shows that donor levels have fallen, coinciding with dramatic declines in overall NFP sector </w:t>
      </w:r>
      <w:r w:rsidR="00986503" w:rsidRPr="00531754">
        <w:t>volunteerism, putting</w:t>
      </w:r>
      <w:r w:rsidRPr="00531754">
        <w:t xml:space="preserve"> greater pressure on Tier 2 supports and activities delivered through a diminishing pool of funding, volunteers and employed staff. </w:t>
      </w:r>
    </w:p>
    <w:p w14:paraId="2E035C0E" w14:textId="3C1F4646" w:rsidR="00531754" w:rsidRPr="00531754" w:rsidRDefault="00531754" w:rsidP="00EA14FB">
      <w:r w:rsidRPr="00531754">
        <w:t xml:space="preserve">While some providers, such as charitable organisations, can try to mitigate these effects by directing limited cash </w:t>
      </w:r>
      <w:r w:rsidR="00986503" w:rsidRPr="00531754">
        <w:t>flows to</w:t>
      </w:r>
      <w:r w:rsidRPr="00531754">
        <w:t xml:space="preserve"> the provision of Tier 2 supports, not all providers are </w:t>
      </w:r>
      <w:r w:rsidR="00986503" w:rsidRPr="00531754">
        <w:t>able to</w:t>
      </w:r>
      <w:r w:rsidRPr="00531754">
        <w:t xml:space="preserve"> do so, especially those in the for-profit market segment. This puts Tier 2-like activities in a precarious position should the charitable sector continue to receive reduced donor funds and lower levels of volunteering combined with declining and sporadic government funding for Tier 2 services.</w:t>
      </w:r>
    </w:p>
    <w:p w14:paraId="51EF3EA2" w14:textId="77777777" w:rsidR="00531754" w:rsidRPr="00531754" w:rsidRDefault="00531754" w:rsidP="00EA14FB">
      <w:r w:rsidRPr="00531754">
        <w:t xml:space="preserve">The headwinds that the sector faces are significant. The rising costs of living, and of operating community organisations, is adding extra pressure both in terms of funding and volunteering, meaning that the sector requires critical funds to ensure that their Tier 2 services continue to be offered. </w:t>
      </w:r>
    </w:p>
    <w:p w14:paraId="62429F02" w14:textId="45CDD8CC" w:rsidR="00531754" w:rsidRPr="00531754" w:rsidRDefault="00531754" w:rsidP="00EA14FB">
      <w:r w:rsidRPr="00531754">
        <w:t xml:space="preserve">While the NDIS continues to provide significant Tier 3 supports to the community, the consistent underfunding of Tier 2 of the NDIS may have deleterious consequences for Tier 3 funding levels in the future. Tier 2 </w:t>
      </w:r>
      <w:r w:rsidR="00D52FB2">
        <w:t>supports were</w:t>
      </w:r>
      <w:r w:rsidR="00D52FB2" w:rsidRPr="00531754">
        <w:t xml:space="preserve"> </w:t>
      </w:r>
      <w:r w:rsidRPr="00531754">
        <w:t xml:space="preserve">intended to be for the many individuals that are not eligible for </w:t>
      </w:r>
      <w:r w:rsidR="00D52FB2">
        <w:t xml:space="preserve">individual </w:t>
      </w:r>
      <w:r w:rsidRPr="00531754">
        <w:t xml:space="preserve">NDIS </w:t>
      </w:r>
      <w:r w:rsidR="00D52FB2">
        <w:t>plans</w:t>
      </w:r>
      <w:r w:rsidRPr="00531754">
        <w:t xml:space="preserve">, to </w:t>
      </w:r>
      <w:r w:rsidR="00D52FB2">
        <w:t xml:space="preserve">enable them to </w:t>
      </w:r>
      <w:r w:rsidRPr="00531754">
        <w:t>access support</w:t>
      </w:r>
      <w:r w:rsidR="00D52FB2">
        <w:t xml:space="preserve"> and information</w:t>
      </w:r>
      <w:r w:rsidRPr="00531754">
        <w:t xml:space="preserve"> </w:t>
      </w:r>
      <w:r w:rsidR="00D52FB2">
        <w:t>through community and non-government sector organisations</w:t>
      </w:r>
      <w:r w:rsidR="005329EF">
        <w:t xml:space="preserve">. </w:t>
      </w:r>
    </w:p>
    <w:p w14:paraId="3789FC94" w14:textId="16504BB7" w:rsidR="005329EF" w:rsidRDefault="00531754" w:rsidP="00EA14FB">
      <w:r w:rsidRPr="00531754">
        <w:t xml:space="preserve">Expenditure on Tier 2 supports will never be in the magnitude of Tier 3, </w:t>
      </w:r>
      <w:r w:rsidR="005329EF">
        <w:t xml:space="preserve">and </w:t>
      </w:r>
      <w:r w:rsidRPr="00531754">
        <w:t>nor should they be</w:t>
      </w:r>
      <w:r w:rsidR="005329EF">
        <w:t>.</w:t>
      </w:r>
      <w:r w:rsidRPr="00531754">
        <w:t xml:space="preserve"> </w:t>
      </w:r>
      <w:r w:rsidR="005329EF">
        <w:t xml:space="preserve">But Tier 2 </w:t>
      </w:r>
      <w:r w:rsidRPr="00531754">
        <w:t xml:space="preserve">funding </w:t>
      </w:r>
      <w:r w:rsidR="005329EF">
        <w:t xml:space="preserve">and service design </w:t>
      </w:r>
      <w:r w:rsidRPr="00531754">
        <w:t xml:space="preserve">must be sufficient to offer critical support to the </w:t>
      </w:r>
      <w:r w:rsidRPr="00531754">
        <w:lastRenderedPageBreak/>
        <w:t xml:space="preserve">millions of Australians living with a disability both within and outside of the NDIS that are seeking tools to support and empower them to better engage with society. </w:t>
      </w:r>
    </w:p>
    <w:p w14:paraId="4709545B" w14:textId="77777777" w:rsidR="005329EF" w:rsidRDefault="005329EF" w:rsidP="00EA14FB">
      <w:r>
        <w:t xml:space="preserve">In the absence of adequate Tier 2 supports, people with disabilities are at greater risk of being excluded from society and capacity building opportunities, and therefore more likely to need more direct support under Tier 3 services in future. </w:t>
      </w:r>
    </w:p>
    <w:p w14:paraId="30DB0344" w14:textId="4BF5FEA6" w:rsidR="00531754" w:rsidRPr="00531754" w:rsidRDefault="005329EF" w:rsidP="00EA14FB">
      <w:pPr>
        <w:rPr>
          <w:color w:val="1E4E42" w:themeColor="accent1"/>
        </w:rPr>
      </w:pPr>
      <w:r>
        <w:t>Further, a lack of information and referral services as envisaged under Tier 2 puts more pressure on Tier 3 funded services to fill the gap.</w:t>
      </w:r>
    </w:p>
    <w:p w14:paraId="5D1924FD" w14:textId="51FAA1B0" w:rsidR="00531754" w:rsidRPr="003074DA" w:rsidRDefault="00531754" w:rsidP="009B43A1">
      <w:pPr>
        <w:rPr>
          <w:b/>
          <w:bCs/>
        </w:rPr>
      </w:pPr>
      <w:r w:rsidRPr="003074DA">
        <w:rPr>
          <w:b/>
          <w:bCs/>
        </w:rPr>
        <w:t>Figure 1</w:t>
      </w:r>
    </w:p>
    <w:p w14:paraId="28ACDD38" w14:textId="77777777" w:rsidR="00531754" w:rsidRDefault="00531754" w:rsidP="009B43A1">
      <w:pPr>
        <w:rPr>
          <w:b/>
          <w:bCs/>
        </w:rPr>
      </w:pPr>
      <w:r w:rsidRPr="003074DA">
        <w:rPr>
          <w:b/>
          <w:bCs/>
        </w:rPr>
        <w:t>The necessary changes to Tier 2 aligned aspects of the NDIS</w:t>
      </w:r>
    </w:p>
    <w:p w14:paraId="26E38592" w14:textId="7C4687A6" w:rsidR="002C154E" w:rsidRPr="00EB7B5A" w:rsidRDefault="002C154E" w:rsidP="009B43A1">
      <w:r w:rsidRPr="00EB7B5A">
        <w:t>Investment: Tier 2 investment must increase</w:t>
      </w:r>
    </w:p>
    <w:p w14:paraId="721CEF5A" w14:textId="7074CF60" w:rsidR="002C154E" w:rsidRPr="00EB7B5A" w:rsidRDefault="002C154E" w:rsidP="009B43A1">
      <w:r w:rsidRPr="00EB7B5A">
        <w:t>Data Adequacy: State and Council level</w:t>
      </w:r>
      <w:r w:rsidR="00EB7B5A" w:rsidRPr="00EB7B5A">
        <w:t xml:space="preserve"> data sharing must improve</w:t>
      </w:r>
    </w:p>
    <w:p w14:paraId="7998448D" w14:textId="32E12189" w:rsidR="00EB7B5A" w:rsidRPr="00EB7B5A" w:rsidRDefault="00EB7B5A" w:rsidP="009B43A1">
      <w:r w:rsidRPr="00EB7B5A">
        <w:t>NDDA: Ensuring the viable roll-out of the NDDA data capture process.</w:t>
      </w:r>
    </w:p>
    <w:p w14:paraId="325A11E1" w14:textId="37C08585" w:rsidR="00EB7B5A" w:rsidRPr="00EB7B5A" w:rsidRDefault="00EB7B5A" w:rsidP="009B43A1">
      <w:r w:rsidRPr="00EB7B5A">
        <w:t>Consistency: Funding must be consistent and not bring undie volatility to NFPs.</w:t>
      </w:r>
    </w:p>
    <w:p w14:paraId="43AAE545" w14:textId="4BDB4A42" w:rsidR="00531754" w:rsidRPr="00531754" w:rsidRDefault="00531754" w:rsidP="003074DA">
      <w:r w:rsidRPr="00531754">
        <w:t>Note: Tier 2 investment is critical to the success of the NDIS. Viable referral and outcome data and funding consistency should in future ensure the continuity of activities and reduce the level of investment needed in Tier 3. </w:t>
      </w:r>
    </w:p>
    <w:p w14:paraId="0E2A6FB2" w14:textId="77777777" w:rsidR="00531754" w:rsidRPr="00531754" w:rsidRDefault="00531754" w:rsidP="00DE3A9B">
      <w:pPr>
        <w:pStyle w:val="Heading2"/>
      </w:pPr>
      <w:bookmarkStart w:id="20" w:name="_Toc130567619"/>
      <w:bookmarkStart w:id="21" w:name="_Toc130942914"/>
      <w:bookmarkStart w:id="22" w:name="_Hlk128578233"/>
      <w:r w:rsidRPr="00531754">
        <w:t>Recommendation 1: Additional transitional investment in the short term</w:t>
      </w:r>
      <w:bookmarkEnd w:id="20"/>
      <w:bookmarkEnd w:id="21"/>
    </w:p>
    <w:p w14:paraId="1617CFEA" w14:textId="21755A63" w:rsidR="00531754" w:rsidRPr="00531754" w:rsidRDefault="00531754" w:rsidP="003074DA">
      <w:r w:rsidRPr="00531754">
        <w:t xml:space="preserve">Better transitional funding initiatives are required to ensure the continuity of existing and recently </w:t>
      </w:r>
      <w:r w:rsidR="005329EF">
        <w:t xml:space="preserve">under-resourced </w:t>
      </w:r>
      <w:r w:rsidRPr="00531754">
        <w:t xml:space="preserve">Tier 2-like programs and initiatives previously funded through state-based agreements, to ensure continuity of service and to ensure that the social capital generated though longstanding programs is not lost.  </w:t>
      </w:r>
    </w:p>
    <w:p w14:paraId="2A900A71" w14:textId="77777777" w:rsidR="00531754" w:rsidRPr="00531754" w:rsidRDefault="00531754" w:rsidP="00DE3A9B">
      <w:pPr>
        <w:pStyle w:val="Heading2"/>
      </w:pPr>
      <w:bookmarkStart w:id="23" w:name="_Toc130567620"/>
      <w:bookmarkStart w:id="24" w:name="_Toc130942915"/>
      <w:r w:rsidRPr="00531754">
        <w:t>Recommendation 2: Scale investment to achieve scheme objectives in the medium term</w:t>
      </w:r>
      <w:bookmarkEnd w:id="23"/>
      <w:bookmarkEnd w:id="24"/>
    </w:p>
    <w:p w14:paraId="17AF0F93" w14:textId="3005E8C3" w:rsidR="00531754" w:rsidRPr="00531754" w:rsidRDefault="00531754" w:rsidP="003074DA">
      <w:r w:rsidRPr="00531754">
        <w:t xml:space="preserve">All stakeholders in the NDIS must be able to determine the appropriate strategy to viably increase their investment in Tier 2 service provisions, beyond transitional funding alone. This investment must acknowledge the pre-existing initiatives that have been underfunded/defunded and the purpose of the NDIS. Viable investment to scale Tier 2 </w:t>
      </w:r>
      <w:r w:rsidRPr="00531754">
        <w:lastRenderedPageBreak/>
        <w:t xml:space="preserve">activities to sufficient levels commensurate with the scheme is critical. The provision of greater Tier 2 investment may reduce the transition of some parties to Tier 3 supports.  </w:t>
      </w:r>
    </w:p>
    <w:p w14:paraId="31F53479" w14:textId="77777777" w:rsidR="00531754" w:rsidRPr="00531754" w:rsidRDefault="00531754" w:rsidP="00DE3A9B">
      <w:pPr>
        <w:pStyle w:val="Heading2"/>
      </w:pPr>
      <w:bookmarkStart w:id="25" w:name="_Toc130567621"/>
      <w:bookmarkStart w:id="26" w:name="_Toc130942916"/>
      <w:r w:rsidRPr="00531754">
        <w:t>Recommendation 3: Robust data capture process pertaining to Tier 2</w:t>
      </w:r>
      <w:bookmarkEnd w:id="25"/>
      <w:bookmarkEnd w:id="26"/>
    </w:p>
    <w:p w14:paraId="26EAD708" w14:textId="319A8978" w:rsidR="00531754" w:rsidRPr="00531754" w:rsidRDefault="00531754" w:rsidP="003074DA">
      <w:r w:rsidRPr="00531754">
        <w:t xml:space="preserve">We recommend a strong data capture and disclosure process pertaining to Tier 2 funding that links expenditures to annual intervals at a minimum. While current public data include funding block values and recipients, data pertaining to the aligned year of investment and investment outcomes is essential. Data disaggregation is critical to understanding long term (Tier 2) investment trends and consequently capturing and analysing investments in Tier 2. The annual expenditures on Tier 2-like activities administered previously by the NDIA and currently administered by the DSS is critical to determining the effectiveness of Tier 2 activities, and to identifying areas of omission. </w:t>
      </w:r>
    </w:p>
    <w:p w14:paraId="5A7D7AD6" w14:textId="77777777" w:rsidR="00531754" w:rsidRPr="00531754" w:rsidRDefault="00531754" w:rsidP="00DE3A9B">
      <w:pPr>
        <w:pStyle w:val="Heading2"/>
      </w:pPr>
      <w:bookmarkStart w:id="27" w:name="_Toc130567622"/>
      <w:bookmarkStart w:id="28" w:name="_Toc130942917"/>
      <w:bookmarkEnd w:id="22"/>
      <w:r w:rsidRPr="00531754">
        <w:t>Recommendation 4: Additional funding for volunteer facilitation</w:t>
      </w:r>
      <w:bookmarkEnd w:id="27"/>
      <w:bookmarkEnd w:id="28"/>
    </w:p>
    <w:p w14:paraId="5E1DAA12" w14:textId="1D09748D" w:rsidR="00531754" w:rsidRPr="00531754" w:rsidRDefault="00531754" w:rsidP="003074DA">
      <w:r w:rsidRPr="00531754">
        <w:t>NFP organisations must be funded to provide the necessary supports to volunteers and to involve volunteers in Tier 2 activities. Further funding of Tier 2 supports may be necessary to accommodate the decline in volunteer led Tier 2 supports, and to facilitate greater participation. The funding of volunteer activity and activity supports should not be at the expense of core Tier 2 funding.    </w:t>
      </w:r>
    </w:p>
    <w:p w14:paraId="331260D0" w14:textId="77777777" w:rsidR="00531754" w:rsidRPr="00531754" w:rsidRDefault="00531754" w:rsidP="00DE3A9B">
      <w:pPr>
        <w:pStyle w:val="Heading2"/>
      </w:pPr>
      <w:bookmarkStart w:id="29" w:name="_Toc130567623"/>
      <w:bookmarkStart w:id="30" w:name="_Toc130942918"/>
      <w:bookmarkStart w:id="31" w:name="_Toc120266340"/>
      <w:bookmarkStart w:id="32" w:name="_Toc120268907"/>
      <w:r w:rsidRPr="00531754">
        <w:t>Recommendation 5: Capacity replacement investment in the short term</w:t>
      </w:r>
      <w:bookmarkEnd w:id="29"/>
      <w:bookmarkEnd w:id="30"/>
    </w:p>
    <w:p w14:paraId="4A1A7523" w14:textId="75181D9C" w:rsidR="00531754" w:rsidRPr="00531754" w:rsidRDefault="00531754" w:rsidP="003074DA">
      <w:r w:rsidRPr="00531754">
        <w:t>Beyond funding implicit within Recommendation 1 (Transition) and Recommendation 2 (Scaling), additional capacity replacement funding may be necessary. Given the decline in volunteerism and donor funding, as well as the changes in both casual and ongoing employment plausibly aligned to Tier 2, many critical Tier 2 supports, and the associated community connections are in jeopardy. Additional investment in ILC activities through the expansion of the DSS administered grants program is essential to bring stability to service delivery and maintain valued social supports and provide sufficient capacity to the sector after the impact of COVID, and significant cost of living pressures.  </w:t>
      </w:r>
    </w:p>
    <w:p w14:paraId="740C9D5F" w14:textId="77777777" w:rsidR="00531754" w:rsidRPr="00531754" w:rsidRDefault="00531754" w:rsidP="00DE3A9B">
      <w:pPr>
        <w:pStyle w:val="Heading2"/>
      </w:pPr>
      <w:bookmarkStart w:id="33" w:name="_Toc130567624"/>
      <w:bookmarkStart w:id="34" w:name="_Toc130942919"/>
      <w:r w:rsidRPr="00531754">
        <w:t>Recommendation 6: Stabilisation of funding provision</w:t>
      </w:r>
      <w:bookmarkEnd w:id="33"/>
      <w:bookmarkEnd w:id="34"/>
      <w:r w:rsidRPr="00531754">
        <w:t xml:space="preserve"> </w:t>
      </w:r>
    </w:p>
    <w:p w14:paraId="10100BDE" w14:textId="4E0AF704" w:rsidR="00531754" w:rsidRPr="00531754" w:rsidRDefault="00531754" w:rsidP="003074DA">
      <w:r w:rsidRPr="00531754">
        <w:t xml:space="preserve">Noting the need for additional funding pursuant to Recommendation 1 (Transition), Recommendation 2 (Scaling) and Recommendation 3 (Capacity replacement) it is recommended that the increased investments (?) in Tier 2 are made in a stabilised manner </w:t>
      </w:r>
      <w:r w:rsidRPr="00531754">
        <w:lastRenderedPageBreak/>
        <w:t>to reduce the volatility that varied and piecemeal investment in service delivery introduces to provider enterprises and balance sheets. Volatile arrangements erode goodwill, and social capital is often lost as programs that implement effective Tier 2 supports see their investment withdrawn, affecting workers and recipients of care.  </w:t>
      </w:r>
    </w:p>
    <w:p w14:paraId="1959B715" w14:textId="77777777" w:rsidR="005468A3" w:rsidRPr="00531754" w:rsidRDefault="005468A3" w:rsidP="00DE3A9B">
      <w:pPr>
        <w:pStyle w:val="Heading2"/>
      </w:pPr>
      <w:bookmarkStart w:id="35" w:name="_Toc130567625"/>
      <w:bookmarkStart w:id="36" w:name="_Toc130942920"/>
      <w:r w:rsidRPr="00531754">
        <w:t>Recommendation 7: More granular data provision at Local (Council) level</w:t>
      </w:r>
      <w:bookmarkEnd w:id="35"/>
      <w:bookmarkEnd w:id="36"/>
    </w:p>
    <w:p w14:paraId="221E5001" w14:textId="74E3A807" w:rsidR="00695FF4" w:rsidRPr="00695FF4" w:rsidRDefault="005468A3" w:rsidP="003074DA">
      <w:pPr>
        <w:rPr>
          <w:rFonts w:cs="Helvetica Neue"/>
          <w:color w:val="000000"/>
          <w:lang w:val="en-GB"/>
        </w:rPr>
      </w:pPr>
      <w:bookmarkStart w:id="37" w:name="_Hlk130572445"/>
      <w:bookmarkStart w:id="38" w:name="_Toc130567626"/>
      <w:r w:rsidRPr="00695FF4">
        <w:t xml:space="preserve">It is essential that council level data in alignment with existing expenditure reporting frameworks be reported with sufficient detail to disentangle high level expenditure categories. Present reporting requirements are that councils only report to 10 high level categories, know as functional purposes, and associated sub-categories, making the analysis of </w:t>
      </w:r>
      <w:r w:rsidR="00C55E77">
        <w:t xml:space="preserve">disability </w:t>
      </w:r>
      <w:r w:rsidRPr="00695FF4">
        <w:t>category specific expenditure untenable</w:t>
      </w:r>
      <w:r w:rsidR="00C81EDC">
        <w:rPr>
          <w:rFonts w:ascii="Avenir Book" w:hAnsi="Avenir Book"/>
        </w:rPr>
        <w:t>.</w:t>
      </w:r>
      <w:r w:rsidR="00C81EDC">
        <w:t xml:space="preserve"> (</w:t>
      </w:r>
      <w:r w:rsidR="00C81EDC" w:rsidRPr="00CB156E">
        <w:t xml:space="preserve">The classification of expenditure in </w:t>
      </w:r>
      <w:r w:rsidR="00C81EDC">
        <w:t>ABS</w:t>
      </w:r>
      <w:r w:rsidR="00C81EDC" w:rsidRPr="00CB156E">
        <w:t xml:space="preserve"> publications</w:t>
      </w:r>
      <w:r w:rsidR="00C81EDC">
        <w:t xml:space="preserve"> and datasets</w:t>
      </w:r>
      <w:r w:rsidR="00C81EDC" w:rsidRPr="00CB156E">
        <w:t xml:space="preserve"> is based on a system of classification developed by the OECD that splits expenditure by government into 10 functional categories under the “Classifications of the Functions of Government” (COFOG).</w:t>
      </w:r>
      <w:r w:rsidR="00C81EDC">
        <w:t xml:space="preserve"> The first level of the 10 functional purposes include, General public services, Public order and safety, Economic affairs, Environmental Protection, Housing and community amenities, Health, Recreation, culture and religion, Education, Social Protection, Transport. The category that incorporates disability expenditure is Social protection and is further segregated into 10 sub levels including Sickness and disability, Old age, Survivors, Family and children, Unemployment, Housing, Social exclusion n.e.c., RandD,  social protection, Social protection (including natural disaster relief), Social protection n.e.c. Detailed expenditure on Disability is not reported separately by councils beyond their financial reports and reporting to relevant state departments. State departments responsible for local government data furnish this data to the ABS.)</w:t>
      </w:r>
      <w:r w:rsidRPr="00695FF4">
        <w:t xml:space="preserve">. </w:t>
      </w:r>
      <w:r w:rsidRPr="00695FF4">
        <w:rPr>
          <w:rFonts w:cs="Helvetica Neue"/>
          <w:color w:val="000000"/>
          <w:lang w:val="en-GB"/>
        </w:rPr>
        <w:t>Reporting practices should be reformed to provide more transparent and accountable records of disability program expenditure.</w:t>
      </w:r>
    </w:p>
    <w:p w14:paraId="385A8682" w14:textId="60CFE202" w:rsidR="00531754" w:rsidRPr="00531754" w:rsidRDefault="00531754" w:rsidP="00DE3A9B">
      <w:pPr>
        <w:pStyle w:val="Heading2"/>
      </w:pPr>
      <w:bookmarkStart w:id="39" w:name="_Toc130942921"/>
      <w:bookmarkEnd w:id="37"/>
      <w:r w:rsidRPr="00531754">
        <w:t>Recommendation 8: Provision of State level disability services investment data</w:t>
      </w:r>
      <w:bookmarkEnd w:id="38"/>
      <w:bookmarkEnd w:id="39"/>
      <w:r w:rsidRPr="00531754">
        <w:t xml:space="preserve"> </w:t>
      </w:r>
    </w:p>
    <w:p w14:paraId="7091DE0D" w14:textId="282504C6" w:rsidR="00531754" w:rsidRPr="0083058C" w:rsidRDefault="00531754" w:rsidP="00531754">
      <w:r w:rsidRPr="00531754">
        <w:t xml:space="preserve">It is necessary that state agencies report on specific expenditures and investments made </w:t>
      </w:r>
      <w:r w:rsidR="005329EF">
        <w:t>on</w:t>
      </w:r>
      <w:r w:rsidRPr="00531754">
        <w:t>Tier 2 supports to enable informed assessment and policy decision-making in how resources are allocated between the different Tiers of the NDIS. More granular program outcomes data is necessary to inform Tier 2 program design and to ensure the viable use of program funding. Both the funding uncertainty and lack of published outcomes data makes the determination of sound and useful services challenging.  </w:t>
      </w:r>
    </w:p>
    <w:p w14:paraId="27008F56" w14:textId="77777777" w:rsidR="00531754" w:rsidRPr="00531754" w:rsidRDefault="00531754" w:rsidP="00917ED0">
      <w:pPr>
        <w:pStyle w:val="Heading1"/>
      </w:pPr>
      <w:bookmarkStart w:id="40" w:name="_Toc130942922"/>
      <w:r w:rsidRPr="00531754">
        <w:lastRenderedPageBreak/>
        <w:t>Scope of Research</w:t>
      </w:r>
      <w:bookmarkEnd w:id="40"/>
      <w:r w:rsidRPr="00531754">
        <w:t> </w:t>
      </w:r>
    </w:p>
    <w:p w14:paraId="5B879E66" w14:textId="77777777" w:rsidR="00531754" w:rsidRPr="00531754" w:rsidRDefault="00531754" w:rsidP="003074DA">
      <w:r w:rsidRPr="00531754">
        <w:t xml:space="preserve">This research paper presents the results of an analyse of patterns in volunteerism, staffing and expenditure associated with Disability NFP and Charitable organisations, to explore trends in Tier 2 (ILC and associated category investment) supports associated with the delivery of care services.  </w:t>
      </w:r>
    </w:p>
    <w:p w14:paraId="7CD485D1" w14:textId="16D7D0F6" w:rsidR="00531754" w:rsidRPr="00531754" w:rsidRDefault="00531754" w:rsidP="003074DA">
      <w:r w:rsidRPr="00531754">
        <w:t>Additionally, Per Capita analysed expenditure data of local government entities pertaining to health care and disability support. This analysis is supplemented by data on whole of government expenditure on disability care. These three sets of analyses enable an exploration of any changes in expenditures associated with disability care, with a particular focus on Tier 2 supports (including ILC, ECP and SCP funding). </w:t>
      </w:r>
    </w:p>
    <w:p w14:paraId="001EB02B" w14:textId="77777777" w:rsidR="00531754" w:rsidRPr="00531754" w:rsidRDefault="00531754" w:rsidP="003074DA">
      <w:r w:rsidRPr="00531754">
        <w:t>While LGA data lacks granularity, it nonetheless offers insights into care provisions beyond Tier 3. We acknowledge the limitations of the data associated with NFP entities in exploring employment trends given the diversity of provider models. Additionally, given the inability to ascertain and qualify the designations of the several hundred thousand staffers working continuously over the interval, determining those who engaged specifically in Tier 2 and Tier 3 support provision is imprecise. Nonetheless, given the data on sector specific volunteerism and employment it is reasonable to surmise that core volunteerism pertains to broader non-Tier 3 supports, given the directly funded nature of many Tier 3 supports. </w:t>
      </w:r>
    </w:p>
    <w:p w14:paraId="3DEAE05E" w14:textId="4B2A4B9C" w:rsidR="00531754" w:rsidRPr="0083058C" w:rsidRDefault="00531754" w:rsidP="00531754">
      <w:r w:rsidRPr="00531754">
        <w:t>The analysis seeks to offer greater insight into the provision of Tier 2 supports for the many individuals with disabilities that are not included in the NDIS, and for those that are seeking engagement through block funded activities and information services.  </w:t>
      </w:r>
    </w:p>
    <w:p w14:paraId="76AE40B3" w14:textId="77777777" w:rsidR="00531754" w:rsidRPr="00531754" w:rsidRDefault="00531754" w:rsidP="00917ED0">
      <w:pPr>
        <w:pStyle w:val="Heading1"/>
      </w:pPr>
      <w:bookmarkStart w:id="41" w:name="_Toc130942923"/>
      <w:r w:rsidRPr="00531754">
        <w:t>Acronyms, Abbreviations and Key Definitions</w:t>
      </w:r>
      <w:bookmarkEnd w:id="41"/>
      <w:r w:rsidRPr="00531754">
        <w:t xml:space="preserve"> </w:t>
      </w:r>
    </w:p>
    <w:p w14:paraId="15F508F8" w14:textId="26974683" w:rsidR="00531754" w:rsidRPr="003074DA" w:rsidRDefault="00531754" w:rsidP="00DE3A9B">
      <w:pPr>
        <w:pStyle w:val="Heading2"/>
      </w:pPr>
      <w:bookmarkStart w:id="42" w:name="_Toc130942924"/>
      <w:r w:rsidRPr="003074DA">
        <w:t>Acronyms and Abbreviations</w:t>
      </w:r>
      <w:bookmarkEnd w:id="42"/>
    </w:p>
    <w:p w14:paraId="7ECF49EA" w14:textId="77777777" w:rsidR="00531754" w:rsidRPr="00531754" w:rsidRDefault="00531754" w:rsidP="0083058C">
      <w:pPr>
        <w:pStyle w:val="ListParagraph"/>
        <w:numPr>
          <w:ilvl w:val="0"/>
          <w:numId w:val="12"/>
        </w:numPr>
      </w:pPr>
      <w:r w:rsidRPr="00531754">
        <w:t>NDIS – National Disability Insurance Scheme </w:t>
      </w:r>
    </w:p>
    <w:p w14:paraId="71539BE7" w14:textId="77777777" w:rsidR="00531754" w:rsidRPr="00531754" w:rsidRDefault="00531754" w:rsidP="0083058C">
      <w:pPr>
        <w:pStyle w:val="ListParagraph"/>
        <w:numPr>
          <w:ilvl w:val="0"/>
          <w:numId w:val="12"/>
        </w:numPr>
      </w:pPr>
      <w:r w:rsidRPr="00531754">
        <w:t>ABS – Australian Bureau of Statistics </w:t>
      </w:r>
    </w:p>
    <w:p w14:paraId="2F90DD89" w14:textId="77777777" w:rsidR="00531754" w:rsidRPr="00531754" w:rsidRDefault="00531754" w:rsidP="0083058C">
      <w:pPr>
        <w:pStyle w:val="ListParagraph"/>
        <w:numPr>
          <w:ilvl w:val="0"/>
          <w:numId w:val="12"/>
        </w:numPr>
      </w:pPr>
      <w:r w:rsidRPr="00531754">
        <w:t>AIHW – Australian Institute of Health and Welfare </w:t>
      </w:r>
    </w:p>
    <w:p w14:paraId="638FAAE8" w14:textId="77777777" w:rsidR="00531754" w:rsidRPr="00531754" w:rsidRDefault="00531754" w:rsidP="0083058C">
      <w:pPr>
        <w:pStyle w:val="ListParagraph"/>
        <w:numPr>
          <w:ilvl w:val="0"/>
          <w:numId w:val="12"/>
        </w:numPr>
      </w:pPr>
      <w:r w:rsidRPr="00531754">
        <w:t>OECD – Organisation for Economic Cooperation and Development </w:t>
      </w:r>
    </w:p>
    <w:p w14:paraId="199C73D4" w14:textId="77777777" w:rsidR="00531754" w:rsidRPr="00531754" w:rsidRDefault="00531754" w:rsidP="0083058C">
      <w:pPr>
        <w:pStyle w:val="ListParagraph"/>
        <w:numPr>
          <w:ilvl w:val="0"/>
          <w:numId w:val="12"/>
        </w:numPr>
      </w:pPr>
      <w:r w:rsidRPr="00531754">
        <w:t>ECP – Economic and Community Participation  </w:t>
      </w:r>
    </w:p>
    <w:p w14:paraId="221454EC" w14:textId="77777777" w:rsidR="00531754" w:rsidRPr="00531754" w:rsidRDefault="00531754" w:rsidP="0083058C">
      <w:pPr>
        <w:pStyle w:val="ListParagraph"/>
        <w:numPr>
          <w:ilvl w:val="0"/>
          <w:numId w:val="12"/>
        </w:numPr>
      </w:pPr>
      <w:r w:rsidRPr="00531754">
        <w:t>DPFO - Disabled Peoples and Family Organisations </w:t>
      </w:r>
    </w:p>
    <w:p w14:paraId="010AB176" w14:textId="77777777" w:rsidR="00531754" w:rsidRPr="00531754" w:rsidRDefault="00531754" w:rsidP="0083058C">
      <w:pPr>
        <w:pStyle w:val="ListParagraph"/>
        <w:numPr>
          <w:ilvl w:val="0"/>
          <w:numId w:val="12"/>
        </w:numPr>
      </w:pPr>
      <w:r w:rsidRPr="00531754">
        <w:lastRenderedPageBreak/>
        <w:t>EP – Economic participation of people with disability </w:t>
      </w:r>
    </w:p>
    <w:p w14:paraId="1246B989" w14:textId="77777777" w:rsidR="00531754" w:rsidRPr="00531754" w:rsidRDefault="00531754" w:rsidP="0083058C">
      <w:pPr>
        <w:pStyle w:val="ListParagraph"/>
        <w:numPr>
          <w:ilvl w:val="0"/>
          <w:numId w:val="12"/>
        </w:numPr>
      </w:pPr>
      <w:r w:rsidRPr="00531754">
        <w:t>PITC – People in The Community </w:t>
      </w:r>
    </w:p>
    <w:p w14:paraId="3E48830E" w14:textId="77777777" w:rsidR="00531754" w:rsidRPr="00531754" w:rsidRDefault="00531754" w:rsidP="0083058C">
      <w:pPr>
        <w:pStyle w:val="ListParagraph"/>
        <w:numPr>
          <w:ilvl w:val="0"/>
          <w:numId w:val="12"/>
        </w:numPr>
      </w:pPr>
      <w:r w:rsidRPr="00531754">
        <w:t>SCP – Social and Community Participation </w:t>
      </w:r>
    </w:p>
    <w:p w14:paraId="7ED87D99" w14:textId="77777777" w:rsidR="00531754" w:rsidRPr="00531754" w:rsidRDefault="00531754" w:rsidP="0083058C">
      <w:pPr>
        <w:pStyle w:val="ListParagraph"/>
        <w:numPr>
          <w:ilvl w:val="0"/>
          <w:numId w:val="12"/>
        </w:numPr>
      </w:pPr>
      <w:r w:rsidRPr="00531754">
        <w:t>ILC – Information, Linkages and Capacity Building </w:t>
      </w:r>
    </w:p>
    <w:p w14:paraId="52574015" w14:textId="77777777" w:rsidR="00531754" w:rsidRPr="00531754" w:rsidRDefault="00531754" w:rsidP="0083058C">
      <w:pPr>
        <w:pStyle w:val="ListParagraph"/>
        <w:numPr>
          <w:ilvl w:val="0"/>
          <w:numId w:val="12"/>
        </w:numPr>
      </w:pPr>
      <w:r w:rsidRPr="00531754">
        <w:t>SROI – Social Return on Investment </w:t>
      </w:r>
    </w:p>
    <w:p w14:paraId="1F19C0D2" w14:textId="50D4BA6E" w:rsidR="00531754" w:rsidRPr="00531754" w:rsidRDefault="00531754" w:rsidP="5D8E9F8E">
      <w:pPr>
        <w:pStyle w:val="ListParagraph"/>
        <w:numPr>
          <w:ilvl w:val="0"/>
          <w:numId w:val="12"/>
        </w:numPr>
      </w:pPr>
      <w:r w:rsidRPr="00531754">
        <w:t>NDDA – National Disability Data Asset</w:t>
      </w:r>
    </w:p>
    <w:p w14:paraId="3A07083D" w14:textId="77777777" w:rsidR="00531754" w:rsidRPr="00531754" w:rsidRDefault="00531754" w:rsidP="00DE3A9B">
      <w:pPr>
        <w:pStyle w:val="Heading2"/>
      </w:pPr>
      <w:bookmarkStart w:id="43" w:name="_Toc130942925"/>
      <w:r w:rsidRPr="00531754">
        <w:t>Key Definitions</w:t>
      </w:r>
      <w:bookmarkEnd w:id="43"/>
    </w:p>
    <w:p w14:paraId="3AD3DEBB" w14:textId="77777777" w:rsidR="00531754" w:rsidRPr="00531754" w:rsidRDefault="00531754" w:rsidP="0083058C">
      <w:pPr>
        <w:pStyle w:val="ListParagraph"/>
        <w:numPr>
          <w:ilvl w:val="0"/>
          <w:numId w:val="11"/>
        </w:numPr>
      </w:pPr>
      <w:r w:rsidRPr="00531754">
        <w:t>Tier 1 – Pursuant to the original Productivity Commission definition the notion of Tier 1 support pertains to the entire population. Tier 1 of the NDIS would effectively focus on the entire Australian population in that it would provide insurance (in the form of guaranteed support) for all Australians with a significant disability. A further focus of Tier 1 would be to ‘minimise the impacts of disability’ through such activities as promoting opportunities for people with a disability and creating awareness in the community about issues affecting people with a disability (PC, 2017, APH, 2018) </w:t>
      </w:r>
    </w:p>
    <w:p w14:paraId="6D148C37" w14:textId="77777777" w:rsidR="00531754" w:rsidRPr="00531754" w:rsidRDefault="00531754" w:rsidP="0083058C">
      <w:pPr>
        <w:pStyle w:val="ListParagraph"/>
        <w:numPr>
          <w:ilvl w:val="0"/>
          <w:numId w:val="11"/>
        </w:numPr>
      </w:pPr>
      <w:r w:rsidRPr="00531754">
        <w:t>Tier 2 – Tier 2 pertains to a category of level of support provided through the NDIS. Tier 2 would include anyone with a disability and their primary carers (estimated by the Productivity Commission at around 4.8 million people). The primary form of support provided in Tier 2 would be information and referral services, as distinct from funded care and support </w:t>
      </w:r>
    </w:p>
    <w:p w14:paraId="4854037B" w14:textId="77777777" w:rsidR="00531754" w:rsidRPr="00531754" w:rsidRDefault="00531754" w:rsidP="0083058C">
      <w:pPr>
        <w:pStyle w:val="ListParagraph"/>
        <w:numPr>
          <w:ilvl w:val="0"/>
          <w:numId w:val="11"/>
        </w:numPr>
      </w:pPr>
      <w:r w:rsidRPr="00531754">
        <w:t>Tier 3 – Tier 3 pertains to individualised support rather than block funding. Tier 3 would provide long-term care and support to people with a significant and ongoing disability and who meet age and residency criteria (estimated at the time to be around 410,000 people). People receiving supports under Tier 3 would have a disability that is, or is likely to be, permanent (that is, irreversible, even though it may be of a chronic episodic nature) (APH, 2018, PC, 2017).  </w:t>
      </w:r>
    </w:p>
    <w:p w14:paraId="5A1655EE" w14:textId="77777777" w:rsidR="00531754" w:rsidRPr="00531754" w:rsidRDefault="00531754" w:rsidP="0083058C">
      <w:pPr>
        <w:pStyle w:val="ListParagraph"/>
        <w:numPr>
          <w:ilvl w:val="0"/>
          <w:numId w:val="11"/>
        </w:numPr>
      </w:pPr>
      <w:r w:rsidRPr="00531754">
        <w:t>Casual employee - A person is a casual employee if they accept an offer of a job from an employer knowing that there is no commitment to ongoing work with an agreed pattern of work. Within this report we consider a casual employee to be an employee with non-guaranteed work hours.  </w:t>
      </w:r>
    </w:p>
    <w:p w14:paraId="25EB79E8" w14:textId="77777777" w:rsidR="00531754" w:rsidRPr="00531754" w:rsidRDefault="00531754" w:rsidP="0083058C">
      <w:pPr>
        <w:pStyle w:val="ListParagraph"/>
        <w:numPr>
          <w:ilvl w:val="0"/>
          <w:numId w:val="11"/>
        </w:numPr>
      </w:pPr>
      <w:r w:rsidRPr="00531754">
        <w:t xml:space="preserve">Permanent Employee (Ongoing Employee) - Full-time and part-time employees have an advance commitment to ongoing employment. They can expect to work regular hours each week. They are also entitled to paid leave and must give or </w:t>
      </w:r>
      <w:r w:rsidRPr="00531754">
        <w:lastRenderedPageBreak/>
        <w:t>receive notice to end the employment. Within this report ongoing employees have committed weekly hours, rather than non-guaranteed hours, even where such hours usually follow a regular pattern.  </w:t>
      </w:r>
    </w:p>
    <w:p w14:paraId="55B08914" w14:textId="64013C76" w:rsidR="00531754" w:rsidRPr="00531754" w:rsidRDefault="00531754" w:rsidP="0083058C">
      <w:pPr>
        <w:pStyle w:val="ListParagraph"/>
        <w:numPr>
          <w:ilvl w:val="0"/>
          <w:numId w:val="11"/>
        </w:numPr>
      </w:pPr>
      <w:r w:rsidRPr="00531754">
        <w:t xml:space="preserve">General volunteerism – Engaging in volunteerism of a general nature in either a part time, ad hoc or episodic way, to a specific program, a </w:t>
      </w:r>
      <w:r w:rsidR="00986503" w:rsidRPr="00531754">
        <w:t>non-specific</w:t>
      </w:r>
      <w:r w:rsidRPr="00531754">
        <w:t xml:space="preserve"> program, or in a staff or </w:t>
      </w:r>
      <w:r w:rsidR="00986503" w:rsidRPr="00531754">
        <w:t>non-staff</w:t>
      </w:r>
      <w:r w:rsidRPr="00531754">
        <w:t xml:space="preserve"> (line role) based capacity. Volunteering pertains to an organisation or entity.</w:t>
      </w:r>
    </w:p>
    <w:p w14:paraId="7087AF43" w14:textId="77777777" w:rsidR="00531754" w:rsidRPr="00531754" w:rsidRDefault="00531754" w:rsidP="0083058C">
      <w:pPr>
        <w:pStyle w:val="ListParagraph"/>
        <w:numPr>
          <w:ilvl w:val="0"/>
          <w:numId w:val="11"/>
        </w:numPr>
      </w:pPr>
      <w:r w:rsidRPr="00531754">
        <w:t xml:space="preserve">Staff volunteerism – Volunteering (unremunerated) in a staff specific role. </w:t>
      </w:r>
    </w:p>
    <w:p w14:paraId="205B85DE" w14:textId="78B3E260" w:rsidR="00531754" w:rsidRPr="00531754" w:rsidRDefault="00531754" w:rsidP="0083058C">
      <w:pPr>
        <w:pStyle w:val="ListParagraph"/>
        <w:numPr>
          <w:ilvl w:val="0"/>
          <w:numId w:val="11"/>
        </w:numPr>
      </w:pPr>
      <w:r w:rsidRPr="00531754">
        <w:t xml:space="preserve">Informal volunteerism – Volunteerism pertaining to informal relationships, </w:t>
      </w:r>
      <w:r w:rsidR="00986503">
        <w:t>that is</w:t>
      </w:r>
      <w:r w:rsidRPr="00531754">
        <w:t xml:space="preserve"> non familial volunteering with </w:t>
      </w:r>
      <w:r w:rsidR="00986503" w:rsidRPr="00531754">
        <w:t>non-organisations</w:t>
      </w:r>
      <w:r w:rsidRPr="00531754">
        <w:t xml:space="preserve">; such as neighbours, acquaintances (volunteering or providing unpaid work to people outside your family). </w:t>
      </w:r>
    </w:p>
    <w:p w14:paraId="08039C27" w14:textId="77777777" w:rsidR="00F47198" w:rsidRPr="00F47198" w:rsidRDefault="00531754" w:rsidP="00917ED0">
      <w:pPr>
        <w:pStyle w:val="ListParagraph"/>
        <w:numPr>
          <w:ilvl w:val="0"/>
          <w:numId w:val="11"/>
        </w:numPr>
        <w:rPr>
          <w:rFonts w:eastAsiaTheme="majorEastAsia" w:cstheme="majorBidi"/>
          <w:color w:val="1E4E42" w:themeColor="accent1"/>
          <w:sz w:val="32"/>
          <w:szCs w:val="32"/>
        </w:rPr>
      </w:pPr>
      <w:r w:rsidRPr="00531754">
        <w:t>National Disability Data Asset – A national co-operative initiative to establish a comprehensive deidentified data asset, incorporating granular data.</w:t>
      </w:r>
    </w:p>
    <w:p w14:paraId="3B2B1185" w14:textId="119B25BE" w:rsidR="00531754" w:rsidRPr="00F47198" w:rsidRDefault="00531754" w:rsidP="00F47198">
      <w:pPr>
        <w:pStyle w:val="Heading1"/>
        <w:rPr>
          <w:color w:val="1E4E42" w:themeColor="accent1"/>
          <w:sz w:val="32"/>
        </w:rPr>
      </w:pPr>
      <w:bookmarkStart w:id="44" w:name="_Toc130942926"/>
      <w:r w:rsidRPr="00531754">
        <w:t>Introduction</w:t>
      </w:r>
      <w:bookmarkEnd w:id="31"/>
      <w:bookmarkEnd w:id="32"/>
      <w:bookmarkEnd w:id="44"/>
    </w:p>
    <w:p w14:paraId="7E4BF766" w14:textId="77777777" w:rsidR="00531754" w:rsidRPr="00531754" w:rsidRDefault="00531754" w:rsidP="00DE3A9B">
      <w:r w:rsidRPr="00531754">
        <w:t xml:space="preserve">The NDIS was designed with the intention of bringing specialist disability services under a single umbrella and was seen as a way to reduce the fragmentation associated with existing systems while promoting efficiency and better outcomes for individuals within the scheme. </w:t>
      </w:r>
    </w:p>
    <w:p w14:paraId="435F0D53" w14:textId="77777777" w:rsidR="00531754" w:rsidRPr="00531754" w:rsidRDefault="00531754" w:rsidP="00DE3A9B">
      <w:r w:rsidRPr="00531754">
        <w:t>The foundational work of the Productivity Commission (PC) sought to present a framework that was broad in scope and would serve the needs of disabled Australians across three strands of policy (APH, 2018, PC, 2017):</w:t>
      </w:r>
    </w:p>
    <w:p w14:paraId="7819AB76" w14:textId="5BA9A3EE" w:rsidR="00531754" w:rsidRPr="00531754" w:rsidRDefault="00531754" w:rsidP="00F47198">
      <w:pPr>
        <w:pStyle w:val="ListParagraph"/>
        <w:numPr>
          <w:ilvl w:val="0"/>
          <w:numId w:val="7"/>
        </w:numPr>
      </w:pPr>
      <w:r w:rsidRPr="00531754">
        <w:t>The first tier of the scheme would provide insurance against the costs of support, in the event of any eligible person acquiring a significant disability.</w:t>
      </w:r>
      <w:r w:rsidR="00F47198">
        <w:t xml:space="preserve"> (Criteria for eligibility are that applicants must have a disability caused by impairment, be an </w:t>
      </w:r>
      <w:r w:rsidR="00F47198" w:rsidRPr="004D21BC">
        <w:t>Australian citizen or permanent resident</w:t>
      </w:r>
      <w:r w:rsidR="00F47198">
        <w:t xml:space="preserve">, </w:t>
      </w:r>
      <w:r w:rsidR="00F47198" w:rsidRPr="004D21BC">
        <w:t xml:space="preserve">younger than 65 </w:t>
      </w:r>
      <w:r w:rsidR="00F47198">
        <w:t>at the time of application</w:t>
      </w:r>
      <w:r w:rsidR="00F47198" w:rsidRPr="004D21BC">
        <w:t>,</w:t>
      </w:r>
      <w:r w:rsidR="00F47198">
        <w:t xml:space="preserve"> and currently</w:t>
      </w:r>
      <w:r w:rsidR="00F47198" w:rsidRPr="004D21BC">
        <w:t xml:space="preserve"> liv</w:t>
      </w:r>
      <w:r w:rsidR="00F47198">
        <w:t>ing</w:t>
      </w:r>
      <w:r w:rsidR="00F47198" w:rsidRPr="004D21BC">
        <w:t xml:space="preserve"> in Australia.</w:t>
      </w:r>
      <w:r w:rsidR="00F47198">
        <w:t>)</w:t>
      </w:r>
    </w:p>
    <w:p w14:paraId="0BD3C96D" w14:textId="699B0C4B" w:rsidR="00531754" w:rsidRPr="00531754" w:rsidRDefault="00531754" w:rsidP="0083058C">
      <w:pPr>
        <w:pStyle w:val="ListParagraph"/>
        <w:numPr>
          <w:ilvl w:val="0"/>
          <w:numId w:val="7"/>
        </w:numPr>
      </w:pPr>
      <w:r w:rsidRPr="00531754">
        <w:t xml:space="preserve">The second tier of the scheme would provide support to any person affected by disability, through the provision of information about care and support options. This is now known as the Information Linkages and Capacity Building (ILC) program. Notably, the intention was to encourage the development of an ecosystem of support </w:t>
      </w:r>
      <w:r w:rsidRPr="00531754">
        <w:lastRenderedPageBreak/>
        <w:t>providers, providing a diversity of choice and opportunity, linking people with disabilities with community organisations. It was expected that participants would be able to access services not directly within the scope of the third tier, or for which the NDIS did not provide oversight. These services are perhaps best understood as mainstream services, and those delivered by community groups, organisations, not-for-profits (NFPs) and local government.</w:t>
      </w:r>
    </w:p>
    <w:p w14:paraId="62A7DDA8" w14:textId="2376CCFA" w:rsidR="00531754" w:rsidRPr="00F47198" w:rsidRDefault="00531754" w:rsidP="00F47198">
      <w:pPr>
        <w:pStyle w:val="ListParagraph"/>
        <w:numPr>
          <w:ilvl w:val="0"/>
          <w:numId w:val="7"/>
        </w:numPr>
      </w:pPr>
      <w:r w:rsidRPr="00531754">
        <w:t xml:space="preserve">The third tier would provide individually tailored supports to people who had been assessed and found eligible to be scheme participants. </w:t>
      </w:r>
    </w:p>
    <w:p w14:paraId="5CEF4F45" w14:textId="77777777" w:rsidR="00531754" w:rsidRPr="00531754" w:rsidRDefault="00531754" w:rsidP="00DE3A9B">
      <w:r w:rsidRPr="00531754">
        <w:t>The PC identified not-for-profit (NFP) entities, community organisations and local government as “system enablers”: these entities would build the capacity of the care and support service ecosystem, extending the options and opportunities presented to individuals with disabilities. The entities would also support and co-ordinate voluntary services at a community level, ensuring service continuity and resilience within Tier 2 services. It was also anticipated that many organisations providing Tier 3 supports would also engage in the delivery of Tier 2 supports.</w:t>
      </w:r>
    </w:p>
    <w:p w14:paraId="63C0F0B7" w14:textId="5FB035CF" w:rsidR="00531754" w:rsidRPr="00531754" w:rsidRDefault="00531754" w:rsidP="00DE3A9B">
      <w:r w:rsidRPr="00531754">
        <w:t>The provision of Tier 3 supports was not expected to result in a reduction of Tier 2 supports. However, state funding for Tier 2 service providers has declined dramatically since the introduction of the NDIS while, federal funding of Tier 2 organisations is sporadic and extremely low. Recent research  shows that 90</w:t>
      </w:r>
      <w:r w:rsidR="00670A45">
        <w:t xml:space="preserve"> per cent</w:t>
      </w:r>
      <w:r w:rsidRPr="00531754">
        <w:t xml:space="preserve"> of Australians living with a disability </w:t>
      </w:r>
      <w:r w:rsidR="00B679FA">
        <w:t xml:space="preserve">who are </w:t>
      </w:r>
      <w:r w:rsidRPr="00531754">
        <w:t>not receiving Tier 3 packages report being unable to access the services and support they need</w:t>
      </w:r>
      <w:r w:rsidR="00B679FA">
        <w:t>.</w:t>
      </w:r>
      <w:r w:rsidR="00F47198">
        <w:rPr>
          <w:rFonts w:ascii="Avenir Book" w:hAnsi="Avenir Book"/>
        </w:rPr>
        <w:t xml:space="preserve"> (</w:t>
      </w:r>
      <w:r w:rsidR="00F47198">
        <w:t>Olney S, Mills, A and Fallon L (2022) The Tier 2 tipping point: access to support for working-age Australians with disability without individual NDIS funding. Melbourne Disability Institute, University of Melbourne)</w:t>
      </w:r>
    </w:p>
    <w:p w14:paraId="7BDF96D6" w14:textId="77777777" w:rsidR="00531754" w:rsidRPr="00531754" w:rsidRDefault="00531754" w:rsidP="00DE3A9B">
      <w:r w:rsidRPr="00531754">
        <w:t>This report analyses trends within the disability services sector, and the extent of Tier 2 investment made prior to the recent change of federal government, to inform consideration as to whether greater Tier 2 investment (both state and federal) may have positive consequences for participants and future Tier 3 funding commitments. </w:t>
      </w:r>
    </w:p>
    <w:p w14:paraId="673081CD" w14:textId="03255AD6" w:rsidR="00531754" w:rsidRPr="00531754" w:rsidRDefault="00531754" w:rsidP="00DE3A9B">
      <w:pPr>
        <w:pStyle w:val="Heading2"/>
      </w:pPr>
      <w:bookmarkStart w:id="45" w:name="_Toc119966536"/>
      <w:bookmarkStart w:id="46" w:name="_Toc120266190"/>
      <w:bookmarkStart w:id="47" w:name="_Toc120266225"/>
      <w:bookmarkStart w:id="48" w:name="_Toc120266345"/>
      <w:bookmarkStart w:id="49" w:name="_Toc120268912"/>
      <w:bookmarkStart w:id="50" w:name="_Toc130942927"/>
      <w:r w:rsidRPr="00531754">
        <w:t>Understanding the intention of Tier 1 and Tier 2 supports in Disability Care</w:t>
      </w:r>
      <w:bookmarkEnd w:id="45"/>
      <w:bookmarkEnd w:id="46"/>
      <w:bookmarkEnd w:id="47"/>
      <w:bookmarkEnd w:id="48"/>
      <w:bookmarkEnd w:id="49"/>
      <w:bookmarkEnd w:id="50"/>
    </w:p>
    <w:p w14:paraId="4AF09334" w14:textId="77777777" w:rsidR="00531754" w:rsidRPr="00531754" w:rsidRDefault="00531754" w:rsidP="00917ED0">
      <w:r w:rsidRPr="00531754">
        <w:t xml:space="preserve">The NDIS is relatively young state-federal jointly funded initiative, which regulates and funds the quasi-market for disability care and support. </w:t>
      </w:r>
    </w:p>
    <w:p w14:paraId="0A4C03CA" w14:textId="77777777" w:rsidR="00531754" w:rsidRPr="00531754" w:rsidRDefault="00531754" w:rsidP="00917ED0">
      <w:r w:rsidRPr="00531754">
        <w:t xml:space="preserve">The scheme has replaced the patchwork initiatives that preceded it, promising a more integrated and less fragmented framework for the delivery of disability care services. As a </w:t>
      </w:r>
      <w:r w:rsidRPr="00531754">
        <w:lastRenderedPageBreak/>
        <w:t>jointly funded scheme the program is one of the broadest and most considered approaches to disability care ever enacted, replacing the more patchwork, and highly varied state-based schemes that preceded it.  </w:t>
      </w:r>
    </w:p>
    <w:p w14:paraId="213A2451" w14:textId="26475963" w:rsidR="00531754" w:rsidRPr="00531754" w:rsidRDefault="00531754" w:rsidP="00917ED0">
      <w:r w:rsidRPr="00531754">
        <w:t xml:space="preserve">The trial phase commenced in 2013 after the scheme was introduced under the Gillard Government. The scheme was a major departure from the system of disability care and associated supports provided through the National Disability Agreement, evidencing greater co-ordination, and investment and fundings assurance for individualised </w:t>
      </w:r>
      <w:r w:rsidR="00B679FA" w:rsidRPr="00531754">
        <w:t>supports</w:t>
      </w:r>
      <w:r w:rsidRPr="00531754">
        <w:t>.  </w:t>
      </w:r>
    </w:p>
    <w:p w14:paraId="4E8FF94A" w14:textId="5007F7DD" w:rsidR="00531754" w:rsidRPr="00531754" w:rsidRDefault="00531754" w:rsidP="00917ED0">
      <w:r w:rsidRPr="00531754">
        <w:t xml:space="preserve">The NDIS in its present form is the result of years of analysis and policy discussion regarding the frailties and challenges of the pre-existing system. </w:t>
      </w:r>
      <w:r w:rsidR="00B679FA" w:rsidRPr="00531754">
        <w:t>Several</w:t>
      </w:r>
      <w:r w:rsidRPr="00531754">
        <w:t xml:space="preserve"> reform activities played a key role in the current design, including the work of the 2007 Senate Standing Committee on Community Affairs (the Committee) inquiry report,</w:t>
      </w:r>
      <w:r w:rsidR="00B679FA">
        <w:t xml:space="preserve"> f</w:t>
      </w:r>
      <w:r w:rsidRPr="00531754">
        <w:t>unding and operation of the Commonwealth State/Territory Disability Agreement.  </w:t>
      </w:r>
    </w:p>
    <w:p w14:paraId="045B58C3" w14:textId="77777777" w:rsidR="00531754" w:rsidRPr="00531754" w:rsidRDefault="00531754" w:rsidP="00917ED0">
      <w:r w:rsidRPr="00531754">
        <w:t>In April 2008, a submission to the Rudd Government’s Australia 2020 Summit (the Summit) by disability advocates Bruce Bonyhady and Helena Sykes argued for greater investment in care-based responses for people living with disabilities. The National Disability Strategy (the Strategy) was developed by the Commonwealth and state and territory governments under the auspices of the Council of Australian Governments (COAG). In April 2008, the Government announced the establishment of the Disability Investment Group (DIG) a key milestone in the progression towards a more integrated approach to disability care.  </w:t>
      </w:r>
    </w:p>
    <w:p w14:paraId="3F68F241" w14:textId="77777777" w:rsidR="00531754" w:rsidRPr="00531754" w:rsidRDefault="00531754" w:rsidP="00917ED0">
      <w:r w:rsidRPr="00531754">
        <w:t>In December 2009, as part of the development of the Strategy, the Government requested that the Productivity Commission investigate ‘the feasibility of new approaches, including a social insurance model, for funding and delivering long-term disability care and support for people with severe or profound disabilities, however they are acquired’ (APH, 2018). The Productivity Commission reported to Government on 31 July 2011, finding that:  </w:t>
      </w:r>
    </w:p>
    <w:p w14:paraId="3822710B" w14:textId="77777777" w:rsidR="00531754" w:rsidRPr="00531754" w:rsidRDefault="00531754" w:rsidP="00917ED0">
      <w:pPr>
        <w:ind w:left="720"/>
      </w:pPr>
      <w:r w:rsidRPr="00531754">
        <w:t>The current disability support system is underfunded, unfair, fragmented, and inefficient. It gives people with a disability little choice, no certainty of access to appropriate supports and little scope to participate in the community. People with disabilities, their carers, service providers, workers in the industry and governments all want change. </w:t>
      </w:r>
    </w:p>
    <w:p w14:paraId="1C578D23" w14:textId="77777777" w:rsidR="00531754" w:rsidRPr="00531754" w:rsidRDefault="00531754" w:rsidP="00917ED0">
      <w:r w:rsidRPr="00531754">
        <w:lastRenderedPageBreak/>
        <w:t>The Productivity Commission recommended that the current system be replaced by a new disability care and support scheme, the NDIS. The scheme proposed by the Productivity Commission would have three tiers, focused on three groups of people.  </w:t>
      </w:r>
    </w:p>
    <w:p w14:paraId="65CE3EE5" w14:textId="77777777" w:rsidR="00531754" w:rsidRPr="00917ED0" w:rsidRDefault="00531754" w:rsidP="0083058C">
      <w:pPr>
        <w:pStyle w:val="ListParagraph"/>
      </w:pPr>
      <w:r w:rsidRPr="00917ED0">
        <w:t>Tier 1 of the NDIS would effectively focus on the entire Australian population, in that it would provide insurance (in the form of guaranteed support) for all Australians who acquire a significant disability. A further focus of Tier 1 would be to ‘minimise the impacts of disability’ through such activities as promoting opportunities for people with a disability and creating awareness in the community about issues affecting people with a disability. </w:t>
      </w:r>
    </w:p>
    <w:p w14:paraId="344FC676" w14:textId="77777777" w:rsidR="00531754" w:rsidRPr="00917ED0" w:rsidRDefault="00531754" w:rsidP="0083058C">
      <w:pPr>
        <w:pStyle w:val="ListParagraph"/>
      </w:pPr>
      <w:r w:rsidRPr="00917ED0">
        <w:t>Tier 2 would include anyone with a disability and their primary carers (estimated by the Productivity Commission at around 4.8 million people). The primary form of support provided in Tier 2 would be information and referral services, as distinct from funded care and support.  </w:t>
      </w:r>
    </w:p>
    <w:p w14:paraId="2DBBC0E3" w14:textId="005BE4D2" w:rsidR="00531754" w:rsidRPr="00447A80" w:rsidRDefault="00531754" w:rsidP="0083058C">
      <w:pPr>
        <w:pStyle w:val="ListParagraph"/>
      </w:pPr>
      <w:r w:rsidRPr="0083058C">
        <w:t>Tier 3 would provide long-term care and support to people with a significant and ongoing disability and who meet age and residency criteria (estimated at the time to be around 410,000 people). People receiving supports under Tier 3 would have a disability that is, or is likely to be, permanent (that is, irreversible, even though it may be of a chronic episodic nature). They would also have ‘significantly reduced functioning in self-care, communication, mobility or self-management and require significant ongoing support’ and/or be assessed as belonging to a group ‘for whom there was good evidence that [early] intervention would be safe, significantly improve outcomes and would be cost-effective’. </w:t>
      </w:r>
      <w:r w:rsidRPr="00917ED0">
        <w:br/>
      </w:r>
      <w:r w:rsidRPr="00531754">
        <w:t>(NDIS: A chronology; APH, 2022)</w:t>
      </w:r>
      <w:r w:rsidRPr="00447A80">
        <w:t> </w:t>
      </w:r>
    </w:p>
    <w:p w14:paraId="12BECE49" w14:textId="77777777" w:rsidR="0083058C" w:rsidRPr="0083058C" w:rsidRDefault="00531754" w:rsidP="0083058C">
      <w:pPr>
        <w:rPr>
          <w:rFonts w:ascii="Avenir Book" w:hAnsi="Avenir Book"/>
          <w:b/>
          <w:bCs/>
          <w:color w:val="1E4E42" w:themeColor="accent1"/>
        </w:rPr>
      </w:pPr>
      <w:r w:rsidRPr="0083058C">
        <w:rPr>
          <w:b/>
          <w:bCs/>
        </w:rPr>
        <w:t>Figure 2</w:t>
      </w:r>
    </w:p>
    <w:p w14:paraId="325189A2" w14:textId="0F6AE423" w:rsidR="00531754" w:rsidRDefault="00531754" w:rsidP="0083058C">
      <w:pPr>
        <w:rPr>
          <w:b/>
          <w:bCs/>
        </w:rPr>
      </w:pPr>
      <w:r w:rsidRPr="0083058C">
        <w:rPr>
          <w:b/>
          <w:bCs/>
        </w:rPr>
        <w:t>The Three tiers of the NDIS</w:t>
      </w:r>
    </w:p>
    <w:p w14:paraId="43E3D5F2" w14:textId="68AEF1DA" w:rsidR="0083058C" w:rsidRPr="007C66E0" w:rsidRDefault="0083058C" w:rsidP="007C66E0">
      <w:pPr>
        <w:pStyle w:val="ListParagraph"/>
      </w:pPr>
      <w:r w:rsidRPr="007C66E0">
        <w:t>Benefit from insurance against the economic/social consequences of disability.</w:t>
      </w:r>
    </w:p>
    <w:p w14:paraId="663BA251" w14:textId="66F914DC" w:rsidR="0083058C" w:rsidRPr="007C66E0" w:rsidRDefault="007C66E0" w:rsidP="007C66E0">
      <w:pPr>
        <w:pStyle w:val="ListParagraph"/>
      </w:pPr>
      <w:r w:rsidRPr="007C66E0">
        <w:t>Key block supports for individuals within and outside the scope of the NDIS</w:t>
      </w:r>
    </w:p>
    <w:p w14:paraId="7D19E28A" w14:textId="2F80C4BA" w:rsidR="00531754" w:rsidRPr="007C66E0" w:rsidRDefault="007C66E0" w:rsidP="007C66E0">
      <w:pPr>
        <w:pStyle w:val="ListParagraph"/>
      </w:pPr>
      <w:r w:rsidRPr="007C66E0">
        <w:t>Individualized supports to ensure all are able to participate more fully in society.</w:t>
      </w:r>
    </w:p>
    <w:p w14:paraId="6A3F3270" w14:textId="580744DA" w:rsidR="00531754" w:rsidRPr="00917ED0" w:rsidRDefault="00531754" w:rsidP="00917ED0">
      <w:pPr>
        <w:rPr>
          <w:b/>
          <w:bCs/>
        </w:rPr>
      </w:pPr>
      <w:r w:rsidRPr="00917ED0">
        <w:rPr>
          <w:b/>
          <w:bCs/>
        </w:rPr>
        <w:t>Note: The Three tiers of the NDIS as conceptualised by the productivity commission (2013), Source: Per Capita (2023)</w:t>
      </w:r>
    </w:p>
    <w:p w14:paraId="157ED78B" w14:textId="2F5D7270" w:rsidR="00531754" w:rsidRPr="00531754" w:rsidRDefault="00531754" w:rsidP="00917ED0">
      <w:r w:rsidRPr="00531754">
        <w:t xml:space="preserve">The current system broadly aligns with the model envisaged by the Productivity Commission, incorporating individual funding, block funding through ILC grants and other </w:t>
      </w:r>
      <w:r w:rsidRPr="00531754">
        <w:lastRenderedPageBreak/>
        <w:t>grant categorie</w:t>
      </w:r>
      <w:r w:rsidR="00B679FA">
        <w:t>s</w:t>
      </w:r>
      <w:r w:rsidRPr="00531754">
        <w:t xml:space="preserve"> administered initially through the NDIA and subsequently the DSS</w:t>
      </w:r>
      <w:r w:rsidR="00B679FA">
        <w:t>, and State and Territory funding</w:t>
      </w:r>
      <w:r w:rsidRPr="00531754">
        <w:t xml:space="preserve">. </w:t>
      </w:r>
    </w:p>
    <w:p w14:paraId="3E1FB5B4" w14:textId="77777777" w:rsidR="00531754" w:rsidRPr="00531754" w:rsidRDefault="00531754" w:rsidP="00917ED0">
      <w:r w:rsidRPr="00531754">
        <w:t xml:space="preserve">However, resource allocation and focus is placed on Tier 3 supports, despite the original emphasis on the importance of Tier 2 supports being essential to many within and outside the scope of support from Tier 3. </w:t>
      </w:r>
    </w:p>
    <w:p w14:paraId="618A9BCC" w14:textId="0A223648" w:rsidR="00531754" w:rsidRPr="00531754" w:rsidRDefault="00531754" w:rsidP="00917ED0">
      <w:r w:rsidRPr="00531754">
        <w:t>Without Tier 2 supports, individuals with disabilities are at greater risk of needing Tier 3 supports or increased Tier 3 supports, and those outside the scope of Tier 3 are left with insufficient access to quality services. Professor Bonyhady has noted the need for greater equity in the scheme’s design asserting that:</w:t>
      </w:r>
    </w:p>
    <w:p w14:paraId="1D87C00C" w14:textId="77777777" w:rsidR="00531754" w:rsidRPr="00531754" w:rsidRDefault="00531754" w:rsidP="00917ED0">
      <w:pPr>
        <w:ind w:left="720"/>
      </w:pPr>
      <w:r w:rsidRPr="00531754">
        <w:t>We need to build it up now so there is equity between the last person into the NDIS and the first person that misses out… Without that, the NDIS is built on sand and it needs to be built on strong foundations. (Jervis Barty 2021)</w:t>
      </w:r>
    </w:p>
    <w:p w14:paraId="0B8CF5D0" w14:textId="118E6C71" w:rsidR="00531754" w:rsidRPr="007C66E0" w:rsidRDefault="00531754" w:rsidP="007C66E0">
      <w:r w:rsidRPr="00531754">
        <w:t>Understanding patterns of grant provision, expenditure, staffing and volunteerism offers insight into the health of the Tier 2 (and Tier 2-like) ecosystem.   </w:t>
      </w:r>
      <w:bookmarkStart w:id="51" w:name="_Toc119966537"/>
      <w:bookmarkStart w:id="52" w:name="_Toc120266191"/>
      <w:bookmarkStart w:id="53" w:name="_Toc120266226"/>
      <w:bookmarkStart w:id="54" w:name="_Toc120266346"/>
      <w:bookmarkStart w:id="55" w:name="_Toc120268913"/>
    </w:p>
    <w:p w14:paraId="39BEF2D9" w14:textId="77777777" w:rsidR="00531754" w:rsidRPr="00531754" w:rsidRDefault="00531754" w:rsidP="00917ED0">
      <w:pPr>
        <w:pStyle w:val="Heading1"/>
      </w:pPr>
      <w:bookmarkStart w:id="56" w:name="_Toc130942928"/>
      <w:r w:rsidRPr="00531754">
        <w:t>Overall national level trends in disability expenditure grants</w:t>
      </w:r>
      <w:bookmarkEnd w:id="56"/>
      <w:r w:rsidRPr="00531754">
        <w:t> </w:t>
      </w:r>
    </w:p>
    <w:p w14:paraId="6D7730D7" w14:textId="77777777" w:rsidR="00531754" w:rsidRPr="00531754" w:rsidRDefault="00531754" w:rsidP="003B3645">
      <w:r w:rsidRPr="00531754">
        <w:t xml:space="preserve">This section provides an overview of how Australia compares with similar countries on welfare spending and disability-specific spending. Far from being a high spender, Australia spends relatively little on total welfare support, and is middling when it comes to the proportion of GDP dedicated to disability spending. Following this, we analyse the available data on Tier 2, and Tier 2-type, funding from federal, state and local budgets. </w:t>
      </w:r>
    </w:p>
    <w:p w14:paraId="1099A949" w14:textId="3DBAE613" w:rsidR="00531754" w:rsidRPr="00531754" w:rsidRDefault="00531754" w:rsidP="003B3645">
      <w:r w:rsidRPr="00531754">
        <w:t>It is important to note that, as is made clear in our previous work,</w:t>
      </w:r>
      <w:r w:rsidR="00F47198">
        <w:rPr>
          <w:rFonts w:ascii="Avenir Book" w:hAnsi="Avenir Book"/>
        </w:rPr>
        <w:t xml:space="preserve"> (</w:t>
      </w:r>
      <w:r w:rsidR="00F47198">
        <w:t xml:space="preserve">D’Rosario, M, Lloyd-Cape, M (2021) </w:t>
      </w:r>
      <w:r w:rsidR="00F47198" w:rsidRPr="006B19E4">
        <w:t>False Economy: The economic benefits of the NDIS and the consequences of government cost-cutting</w:t>
      </w:r>
      <w:r w:rsidR="00F47198">
        <w:t>. Lloyd-Cape, M and Jackson, S (2020) Austerity or Prosperity</w:t>
      </w:r>
      <w:r w:rsidR="00561530">
        <w:t>)</w:t>
      </w:r>
      <w:r w:rsidRPr="00531754">
        <w:t xml:space="preserve"> investment in welfare by the state produces returns – they cannot only be considered from one side of the balance sheet. These effects often go underreported, undermeasured and unrecognised in many policy debates and public discourse. Investment in health, education, disability services, unemployment payments, single parent payments, the aged pension and other forms of welfare can contribute to a wide range of social and economic benefits. These include improvements to the available workforce in terms of size and quality, a </w:t>
      </w:r>
      <w:r w:rsidRPr="00531754">
        <w:lastRenderedPageBreak/>
        <w:t>reduction of costly morbidity and mortality, and a decline in poverty and crime, among other areas. Social expenditures have been shown to lead to economic growth, in Australia</w:t>
      </w:r>
      <w:r w:rsidR="00561530">
        <w:rPr>
          <w:rFonts w:ascii="Avenir Book" w:hAnsi="Avenir Book"/>
        </w:rPr>
        <w:t xml:space="preserve"> (</w:t>
      </w:r>
      <w:r w:rsidR="00561530" w:rsidRPr="00F900D9">
        <w:t xml:space="preserve">Khan, H., </w:t>
      </w:r>
      <w:r w:rsidR="00561530">
        <w:t>and</w:t>
      </w:r>
      <w:r w:rsidR="00561530" w:rsidRPr="00F900D9">
        <w:t xml:space="preserve"> Bashar, O. K. M. R. (2015). Social expenditure and economic growth: evidence from </w:t>
      </w:r>
      <w:r w:rsidR="00561530">
        <w:t>A</w:t>
      </w:r>
      <w:r w:rsidR="00561530" w:rsidRPr="00F900D9">
        <w:t xml:space="preserve">ustralia and </w:t>
      </w:r>
      <w:r w:rsidR="00561530">
        <w:t>N</w:t>
      </w:r>
      <w:r w:rsidR="00561530" w:rsidRPr="00F900D9">
        <w:t xml:space="preserve">ew </w:t>
      </w:r>
      <w:r w:rsidR="00561530">
        <w:t>Z</w:t>
      </w:r>
      <w:r w:rsidR="00561530" w:rsidRPr="00F900D9">
        <w:t>ealand using cointegration and causality tests. The Journal of Developing Areas, 49(4), 285–300.</w:t>
      </w:r>
      <w:r w:rsidR="00561530">
        <w:t>)</w:t>
      </w:r>
      <w:r w:rsidRPr="00531754">
        <w:t xml:space="preserve"> and in comparator countries in the OECD.</w:t>
      </w:r>
      <w:r w:rsidR="00561530">
        <w:rPr>
          <w:rFonts w:ascii="Avenir Book" w:hAnsi="Avenir Book"/>
        </w:rPr>
        <w:t>(</w:t>
      </w:r>
      <w:r w:rsidR="00561530" w:rsidRPr="00561530">
        <w:t xml:space="preserve"> </w:t>
      </w:r>
      <w:r w:rsidR="00561530">
        <w:t>Furceri, D, Zdzienicka, A (2010) The Effects of Social Spending on Economic Activity: Empirical Evidence from a Panel of OECD Countries)</w:t>
      </w:r>
    </w:p>
    <w:p w14:paraId="0740667C" w14:textId="77777777" w:rsidR="00531754" w:rsidRPr="00531754" w:rsidRDefault="00531754" w:rsidP="00DE3A9B">
      <w:pPr>
        <w:pStyle w:val="Heading2"/>
      </w:pPr>
      <w:bookmarkStart w:id="57" w:name="_Toc119966538"/>
      <w:bookmarkStart w:id="58" w:name="_Toc120266192"/>
      <w:bookmarkStart w:id="59" w:name="_Toc120266227"/>
      <w:bookmarkStart w:id="60" w:name="_Toc120266347"/>
      <w:bookmarkStart w:id="61" w:name="_Toc120268914"/>
      <w:bookmarkStart w:id="62" w:name="_Toc130942929"/>
      <w:bookmarkEnd w:id="51"/>
      <w:bookmarkEnd w:id="52"/>
      <w:bookmarkEnd w:id="53"/>
      <w:bookmarkEnd w:id="54"/>
      <w:bookmarkEnd w:id="55"/>
      <w:r w:rsidRPr="00531754">
        <w:t xml:space="preserve">International comparisons of total welfare </w:t>
      </w:r>
      <w:bookmarkEnd w:id="57"/>
      <w:bookmarkEnd w:id="58"/>
      <w:bookmarkEnd w:id="59"/>
      <w:bookmarkEnd w:id="60"/>
      <w:bookmarkEnd w:id="61"/>
      <w:r w:rsidRPr="00531754">
        <w:t>investment</w:t>
      </w:r>
      <w:bookmarkEnd w:id="62"/>
      <w:r w:rsidRPr="00531754">
        <w:t> </w:t>
      </w:r>
    </w:p>
    <w:p w14:paraId="334F51A1" w14:textId="4D0F9403" w:rsidR="00B679FA" w:rsidRPr="007C66E0" w:rsidRDefault="00531754" w:rsidP="007C66E0">
      <w:r w:rsidRPr="00531754">
        <w:t>Current levels of welfare expenditure in Australia equates to approximately 10</w:t>
      </w:r>
      <w:r w:rsidR="00670A45">
        <w:t xml:space="preserve"> per cent</w:t>
      </w:r>
      <w:r w:rsidRPr="00531754">
        <w:t xml:space="preserve"> of GDP, which is significantly lower than the OECD average of 13</w:t>
      </w:r>
      <w:r w:rsidR="00670A45">
        <w:t xml:space="preserve"> per cent</w:t>
      </w:r>
      <w:r w:rsidRPr="00531754">
        <w:t xml:space="preserve"> (OECD, 2022). Given this observation, Australia would rank within the lower third of OECD economies. This observation runs counter to the popular media narrative that Australia is a high tax, high spending country.</w:t>
      </w:r>
      <w:r w:rsidR="00561530">
        <w:rPr>
          <w:rFonts w:ascii="Avenir Book" w:hAnsi="Avenir Book"/>
        </w:rPr>
        <w:t xml:space="preserve"> (</w:t>
      </w:r>
      <w:r w:rsidR="00561530">
        <w:t>See the Per Capita Annual Tax Survey for more information (</w:t>
      </w:r>
      <w:hyperlink r:id="rId8" w:history="1">
        <w:r w:rsidR="00561530">
          <w:rPr>
            <w:rStyle w:val="Hyperlink"/>
          </w:rPr>
          <w:t xml:space="preserve">The Per Capita Tax Survey 2021 - Per Capita </w:t>
        </w:r>
      </w:hyperlink>
      <w:r w:rsidR="00561530">
        <w:t>))</w:t>
      </w:r>
    </w:p>
    <w:p w14:paraId="11A703B6" w14:textId="0711073D" w:rsidR="00531754" w:rsidRPr="003B3645" w:rsidRDefault="00531754" w:rsidP="003B3645">
      <w:pPr>
        <w:rPr>
          <w:b/>
          <w:bCs/>
        </w:rPr>
      </w:pPr>
      <w:r w:rsidRPr="003B3645">
        <w:rPr>
          <w:b/>
          <w:bCs/>
        </w:rPr>
        <w:t>Figure 3</w:t>
      </w:r>
    </w:p>
    <w:p w14:paraId="4F460A73" w14:textId="458D0698" w:rsidR="00531754" w:rsidRDefault="00531754" w:rsidP="003B3645">
      <w:pPr>
        <w:rPr>
          <w:b/>
          <w:bCs/>
        </w:rPr>
      </w:pPr>
      <w:r w:rsidRPr="003B3645">
        <w:rPr>
          <w:b/>
          <w:bCs/>
        </w:rPr>
        <w:t>Welfare</w:t>
      </w:r>
      <w:r w:rsidR="00DC6DE2">
        <w:rPr>
          <w:rFonts w:ascii="Avenir Book" w:hAnsi="Avenir Book"/>
          <w:b/>
          <w:bCs/>
          <w:color w:val="1E4E42" w:themeColor="accent1"/>
        </w:rPr>
        <w:t xml:space="preserve"> </w:t>
      </w:r>
      <w:r w:rsidRPr="003B3645">
        <w:rPr>
          <w:b/>
          <w:bCs/>
        </w:rPr>
        <w:t>expenditure as a percentage of GDP (Selected OECD countries)</w:t>
      </w:r>
    </w:p>
    <w:p w14:paraId="7645A172" w14:textId="684F9443" w:rsidR="00DC6DE2" w:rsidRDefault="00DC6DE2" w:rsidP="003B3645">
      <w:pPr>
        <w:rPr>
          <w:b/>
          <w:bCs/>
        </w:rPr>
      </w:pPr>
      <w:r w:rsidRPr="001C17AD">
        <w:t>OECD estimates pool social welfare expenditures with individual disability support investments. Source: OECD 2022</w:t>
      </w:r>
    </w:p>
    <w:tbl>
      <w:tblPr>
        <w:tblStyle w:val="TableGrid"/>
        <w:tblW w:w="0" w:type="auto"/>
        <w:tblLook w:val="04A0" w:firstRow="1" w:lastRow="0" w:firstColumn="1" w:lastColumn="0" w:noHBand="0" w:noVBand="1"/>
        <w:tblCaption w:val="Welfare expenditure as a percentage of GDP (Selected OECD countries)"/>
      </w:tblPr>
      <w:tblGrid>
        <w:gridCol w:w="4865"/>
        <w:gridCol w:w="4865"/>
      </w:tblGrid>
      <w:tr w:rsidR="001B2455" w14:paraId="489341B4" w14:textId="77777777" w:rsidTr="000D0D33">
        <w:tc>
          <w:tcPr>
            <w:tcW w:w="4865" w:type="dxa"/>
          </w:tcPr>
          <w:p w14:paraId="25087804" w14:textId="29B7CF9A" w:rsidR="001B2455" w:rsidRPr="00720543" w:rsidRDefault="001B2455" w:rsidP="001B2455">
            <w:pPr>
              <w:rPr>
                <w:b/>
                <w:bCs/>
              </w:rPr>
            </w:pPr>
            <w:r w:rsidRPr="00720543">
              <w:rPr>
                <w:b/>
                <w:bCs/>
              </w:rPr>
              <w:t>Country</w:t>
            </w:r>
          </w:p>
        </w:tc>
        <w:tc>
          <w:tcPr>
            <w:tcW w:w="4865" w:type="dxa"/>
          </w:tcPr>
          <w:p w14:paraId="50F0FFD4" w14:textId="580C6A45" w:rsidR="001B2455" w:rsidRPr="00720543" w:rsidRDefault="00720543" w:rsidP="001B2455">
            <w:pPr>
              <w:rPr>
                <w:b/>
                <w:bCs/>
              </w:rPr>
            </w:pPr>
            <w:r w:rsidRPr="00720543">
              <w:rPr>
                <w:b/>
                <w:bCs/>
              </w:rPr>
              <w:t>Expenditure</w:t>
            </w:r>
          </w:p>
        </w:tc>
      </w:tr>
      <w:tr w:rsidR="000D0D33" w14:paraId="31C21519" w14:textId="77777777" w:rsidTr="000D0D33">
        <w:tc>
          <w:tcPr>
            <w:tcW w:w="4865" w:type="dxa"/>
          </w:tcPr>
          <w:p w14:paraId="79C03193" w14:textId="274817D5" w:rsidR="000D0D33" w:rsidRDefault="003E2D1B" w:rsidP="001B2455">
            <w:r>
              <w:t>Mexico</w:t>
            </w:r>
          </w:p>
        </w:tc>
        <w:tc>
          <w:tcPr>
            <w:tcW w:w="4865" w:type="dxa"/>
          </w:tcPr>
          <w:p w14:paraId="5D3ABF19" w14:textId="24C34790" w:rsidR="000D0D33" w:rsidRDefault="001B2455" w:rsidP="001B2455">
            <w:r>
              <w:t>3.96</w:t>
            </w:r>
            <w:r w:rsidR="00670A45">
              <w:t xml:space="preserve"> per cent</w:t>
            </w:r>
          </w:p>
        </w:tc>
      </w:tr>
      <w:tr w:rsidR="000D0D33" w14:paraId="6374CB6A" w14:textId="77777777" w:rsidTr="000D0D33">
        <w:tc>
          <w:tcPr>
            <w:tcW w:w="4865" w:type="dxa"/>
          </w:tcPr>
          <w:p w14:paraId="7DB032F3" w14:textId="645E5561" w:rsidR="000D0D33" w:rsidRDefault="003E2D1B" w:rsidP="001B2455">
            <w:r>
              <w:t>Republic of South Korea</w:t>
            </w:r>
          </w:p>
        </w:tc>
        <w:tc>
          <w:tcPr>
            <w:tcW w:w="4865" w:type="dxa"/>
          </w:tcPr>
          <w:p w14:paraId="6B9F906E" w14:textId="10734F36" w:rsidR="000D0D33" w:rsidRDefault="001B2455" w:rsidP="001B2455">
            <w:r>
              <w:t>5.63</w:t>
            </w:r>
            <w:r w:rsidR="00670A45">
              <w:t xml:space="preserve"> per cent</w:t>
            </w:r>
          </w:p>
        </w:tc>
      </w:tr>
      <w:tr w:rsidR="000D0D33" w14:paraId="12DF5049" w14:textId="77777777" w:rsidTr="000D0D33">
        <w:tc>
          <w:tcPr>
            <w:tcW w:w="4865" w:type="dxa"/>
          </w:tcPr>
          <w:p w14:paraId="12AC7A4D" w14:textId="674CDFCF" w:rsidR="000D0D33" w:rsidRDefault="003E2D1B" w:rsidP="001B2455">
            <w:r>
              <w:t>Chile</w:t>
            </w:r>
          </w:p>
        </w:tc>
        <w:tc>
          <w:tcPr>
            <w:tcW w:w="4865" w:type="dxa"/>
          </w:tcPr>
          <w:p w14:paraId="7DDC98D0" w14:textId="058DA588" w:rsidR="000D0D33" w:rsidRDefault="001B2455" w:rsidP="001B2455">
            <w:r>
              <w:t>5.82</w:t>
            </w:r>
            <w:r w:rsidR="00670A45">
              <w:t xml:space="preserve"> per cent</w:t>
            </w:r>
          </w:p>
        </w:tc>
      </w:tr>
      <w:tr w:rsidR="000D0D33" w14:paraId="39CC439A" w14:textId="77777777" w:rsidTr="000D0D33">
        <w:tc>
          <w:tcPr>
            <w:tcW w:w="4865" w:type="dxa"/>
          </w:tcPr>
          <w:p w14:paraId="1C17C994" w14:textId="034A5379" w:rsidR="000D0D33" w:rsidRDefault="003E2D1B" w:rsidP="001B2455">
            <w:r>
              <w:t>Ireland</w:t>
            </w:r>
          </w:p>
        </w:tc>
        <w:tc>
          <w:tcPr>
            <w:tcW w:w="4865" w:type="dxa"/>
          </w:tcPr>
          <w:p w14:paraId="579CEA10" w14:textId="68FEC319" w:rsidR="000D0D33" w:rsidRDefault="001B2455" w:rsidP="001B2455">
            <w:r>
              <w:t>8.11</w:t>
            </w:r>
            <w:r w:rsidR="00670A45">
              <w:t xml:space="preserve"> per cent</w:t>
            </w:r>
          </w:p>
        </w:tc>
      </w:tr>
      <w:tr w:rsidR="000D0D33" w14:paraId="50DA2135" w14:textId="77777777" w:rsidTr="000D0D33">
        <w:tc>
          <w:tcPr>
            <w:tcW w:w="4865" w:type="dxa"/>
          </w:tcPr>
          <w:p w14:paraId="6C4A31FA" w14:textId="1234E913" w:rsidR="000D0D33" w:rsidRDefault="003E2D1B" w:rsidP="001B2455">
            <w:r>
              <w:t>Turkey</w:t>
            </w:r>
          </w:p>
        </w:tc>
        <w:tc>
          <w:tcPr>
            <w:tcW w:w="4865" w:type="dxa"/>
          </w:tcPr>
          <w:p w14:paraId="756C2526" w14:textId="6F12455D" w:rsidR="000D0D33" w:rsidRDefault="006C68D4" w:rsidP="001B2455">
            <w:r>
              <w:t>8.82</w:t>
            </w:r>
            <w:r w:rsidR="00670A45">
              <w:t xml:space="preserve"> per cent</w:t>
            </w:r>
          </w:p>
        </w:tc>
      </w:tr>
      <w:tr w:rsidR="000D0D33" w14:paraId="678E5FA9" w14:textId="77777777" w:rsidTr="000D0D33">
        <w:tc>
          <w:tcPr>
            <w:tcW w:w="4865" w:type="dxa"/>
          </w:tcPr>
          <w:p w14:paraId="5B38D893" w14:textId="4DCB9D2A" w:rsidR="000D0D33" w:rsidRDefault="003E2D1B" w:rsidP="001B2455">
            <w:r>
              <w:t>United States</w:t>
            </w:r>
          </w:p>
        </w:tc>
        <w:tc>
          <w:tcPr>
            <w:tcW w:w="4865" w:type="dxa"/>
          </w:tcPr>
          <w:p w14:paraId="2ED975F1" w14:textId="1CA2AAFE" w:rsidR="000D0D33" w:rsidRDefault="006C68D4" w:rsidP="001B2455">
            <w:r>
              <w:t>9.66</w:t>
            </w:r>
            <w:r w:rsidR="00670A45">
              <w:t xml:space="preserve"> per cent</w:t>
            </w:r>
          </w:p>
        </w:tc>
      </w:tr>
      <w:tr w:rsidR="000D0D33" w14:paraId="541052A4" w14:textId="77777777" w:rsidTr="000D0D33">
        <w:tc>
          <w:tcPr>
            <w:tcW w:w="4865" w:type="dxa"/>
          </w:tcPr>
          <w:p w14:paraId="5BF8D0AD" w14:textId="73ED2C51" w:rsidR="000D0D33" w:rsidRDefault="003E2D1B" w:rsidP="001B2455">
            <w:r>
              <w:t>Canada</w:t>
            </w:r>
          </w:p>
        </w:tc>
        <w:tc>
          <w:tcPr>
            <w:tcW w:w="4865" w:type="dxa"/>
          </w:tcPr>
          <w:p w14:paraId="736A6778" w14:textId="7191A838" w:rsidR="000D0D33" w:rsidRDefault="006C68D4" w:rsidP="001B2455">
            <w:r>
              <w:t>9.97</w:t>
            </w:r>
            <w:r w:rsidR="00670A45">
              <w:t xml:space="preserve"> per cent</w:t>
            </w:r>
          </w:p>
        </w:tc>
      </w:tr>
      <w:tr w:rsidR="000D0D33" w14:paraId="7A4F2AD2" w14:textId="77777777" w:rsidTr="000D0D33">
        <w:tc>
          <w:tcPr>
            <w:tcW w:w="4865" w:type="dxa"/>
          </w:tcPr>
          <w:p w14:paraId="113F34B9" w14:textId="6AC9BC7D" w:rsidR="000D0D33" w:rsidRDefault="002F3FAB" w:rsidP="001B2455">
            <w:r>
              <w:t>Australia</w:t>
            </w:r>
          </w:p>
        </w:tc>
        <w:tc>
          <w:tcPr>
            <w:tcW w:w="4865" w:type="dxa"/>
          </w:tcPr>
          <w:p w14:paraId="40D65A33" w14:textId="26C5DAFE" w:rsidR="000D0D33" w:rsidRDefault="006C68D4" w:rsidP="001B2455">
            <w:r>
              <w:t>10.18</w:t>
            </w:r>
            <w:r w:rsidR="00670A45">
              <w:t xml:space="preserve"> per cent</w:t>
            </w:r>
          </w:p>
        </w:tc>
      </w:tr>
      <w:tr w:rsidR="000D0D33" w14:paraId="68ED6E6E" w14:textId="77777777" w:rsidTr="000D0D33">
        <w:tc>
          <w:tcPr>
            <w:tcW w:w="4865" w:type="dxa"/>
          </w:tcPr>
          <w:p w14:paraId="4A2AA164" w14:textId="0448CFC3" w:rsidR="000D0D33" w:rsidRDefault="002F3FAB" w:rsidP="001B2455">
            <w:r>
              <w:lastRenderedPageBreak/>
              <w:t>Iceland</w:t>
            </w:r>
          </w:p>
        </w:tc>
        <w:tc>
          <w:tcPr>
            <w:tcW w:w="4865" w:type="dxa"/>
          </w:tcPr>
          <w:p w14:paraId="607E50C5" w14:textId="2FA58F1D" w:rsidR="000D0D33" w:rsidRDefault="006C68D4" w:rsidP="001B2455">
            <w:r>
              <w:t>10.36</w:t>
            </w:r>
            <w:r w:rsidR="00670A45">
              <w:t xml:space="preserve"> per cent</w:t>
            </w:r>
          </w:p>
        </w:tc>
      </w:tr>
      <w:tr w:rsidR="000D0D33" w14:paraId="69B195FE" w14:textId="77777777" w:rsidTr="000D0D33">
        <w:tc>
          <w:tcPr>
            <w:tcW w:w="4865" w:type="dxa"/>
          </w:tcPr>
          <w:p w14:paraId="77B25C22" w14:textId="16DEC4E1" w:rsidR="000D0D33" w:rsidRDefault="002F3FAB" w:rsidP="001B2455">
            <w:r>
              <w:t>New Zealand</w:t>
            </w:r>
          </w:p>
        </w:tc>
        <w:tc>
          <w:tcPr>
            <w:tcW w:w="4865" w:type="dxa"/>
          </w:tcPr>
          <w:p w14:paraId="10856CF4" w14:textId="4E0C96F3" w:rsidR="000D0D33" w:rsidRDefault="006C68D4" w:rsidP="001B2455">
            <w:r>
              <w:t>10.42</w:t>
            </w:r>
            <w:r w:rsidR="00670A45">
              <w:t xml:space="preserve"> per cent</w:t>
            </w:r>
          </w:p>
        </w:tc>
      </w:tr>
      <w:tr w:rsidR="000D0D33" w14:paraId="5681A765" w14:textId="77777777" w:rsidTr="000D0D33">
        <w:tc>
          <w:tcPr>
            <w:tcW w:w="4865" w:type="dxa"/>
          </w:tcPr>
          <w:p w14:paraId="5CD42ACE" w14:textId="0C2006C8" w:rsidR="000D0D33" w:rsidRDefault="002A6926" w:rsidP="001B2455">
            <w:r>
              <w:t>Lithuania</w:t>
            </w:r>
          </w:p>
        </w:tc>
        <w:tc>
          <w:tcPr>
            <w:tcW w:w="4865" w:type="dxa"/>
          </w:tcPr>
          <w:p w14:paraId="527B1280" w14:textId="48D14905" w:rsidR="000D0D33" w:rsidRDefault="006C68D4" w:rsidP="001B2455">
            <w:r>
              <w:t>10.69</w:t>
            </w:r>
            <w:r w:rsidR="00670A45">
              <w:t xml:space="preserve"> per cent</w:t>
            </w:r>
          </w:p>
        </w:tc>
      </w:tr>
      <w:tr w:rsidR="000D0D33" w14:paraId="11821848" w14:textId="77777777" w:rsidTr="000D0D33">
        <w:tc>
          <w:tcPr>
            <w:tcW w:w="4865" w:type="dxa"/>
          </w:tcPr>
          <w:p w14:paraId="46FFA0F0" w14:textId="20B5B06E" w:rsidR="000D0D33" w:rsidRDefault="002A6926" w:rsidP="001B2455">
            <w:r>
              <w:t>Isr</w:t>
            </w:r>
            <w:r w:rsidR="004F5B39">
              <w:t>ae</w:t>
            </w:r>
            <w:r>
              <w:t>l and the Occupied</w:t>
            </w:r>
            <w:r w:rsidR="004F5B39">
              <w:t xml:space="preserve"> T…</w:t>
            </w:r>
          </w:p>
        </w:tc>
        <w:tc>
          <w:tcPr>
            <w:tcW w:w="4865" w:type="dxa"/>
          </w:tcPr>
          <w:p w14:paraId="57CDE975" w14:textId="1849389F" w:rsidR="000D0D33" w:rsidRDefault="006C68D4" w:rsidP="001B2455">
            <w:r>
              <w:t>11.25</w:t>
            </w:r>
            <w:r w:rsidR="00670A45">
              <w:t xml:space="preserve"> per cent</w:t>
            </w:r>
          </w:p>
        </w:tc>
      </w:tr>
      <w:tr w:rsidR="000D0D33" w14:paraId="5A5AEE25" w14:textId="77777777" w:rsidTr="000D0D33">
        <w:tc>
          <w:tcPr>
            <w:tcW w:w="4865" w:type="dxa"/>
          </w:tcPr>
          <w:p w14:paraId="46EA2F6A" w14:textId="72A17BA4" w:rsidR="000D0D33" w:rsidRDefault="00352ECD" w:rsidP="001B2455">
            <w:r>
              <w:t>United Kingdom</w:t>
            </w:r>
          </w:p>
        </w:tc>
        <w:tc>
          <w:tcPr>
            <w:tcW w:w="4865" w:type="dxa"/>
          </w:tcPr>
          <w:p w14:paraId="2129C442" w14:textId="4E47D5A8" w:rsidR="000D0D33" w:rsidRDefault="006C68D4" w:rsidP="001B2455">
            <w:r>
              <w:t>11.31</w:t>
            </w:r>
            <w:r w:rsidR="00670A45">
              <w:t xml:space="preserve"> per cent</w:t>
            </w:r>
          </w:p>
        </w:tc>
      </w:tr>
      <w:tr w:rsidR="000D0D33" w14:paraId="2086E2C0" w14:textId="77777777" w:rsidTr="000D0D33">
        <w:tc>
          <w:tcPr>
            <w:tcW w:w="4865" w:type="dxa"/>
          </w:tcPr>
          <w:p w14:paraId="6D6ED6EF" w14:textId="78E5000B" w:rsidR="000D0D33" w:rsidRDefault="00352ECD" w:rsidP="001B2455">
            <w:r>
              <w:t>Slovak Republic</w:t>
            </w:r>
          </w:p>
        </w:tc>
        <w:tc>
          <w:tcPr>
            <w:tcW w:w="4865" w:type="dxa"/>
          </w:tcPr>
          <w:p w14:paraId="50387254" w14:textId="053676F3" w:rsidR="000D0D33" w:rsidRDefault="006C68D4" w:rsidP="001B2455">
            <w:r>
              <w:t>11.78</w:t>
            </w:r>
            <w:r w:rsidR="00670A45">
              <w:t xml:space="preserve"> per cent</w:t>
            </w:r>
          </w:p>
        </w:tc>
      </w:tr>
      <w:tr w:rsidR="000D0D33" w14:paraId="01CAAE2B" w14:textId="77777777" w:rsidTr="000D0D33">
        <w:tc>
          <w:tcPr>
            <w:tcW w:w="4865" w:type="dxa"/>
          </w:tcPr>
          <w:p w14:paraId="71B5983E" w14:textId="55FD8D46" w:rsidR="000D0D33" w:rsidRDefault="00352ECD" w:rsidP="001B2455">
            <w:r>
              <w:t>Estonia</w:t>
            </w:r>
          </w:p>
        </w:tc>
        <w:tc>
          <w:tcPr>
            <w:tcW w:w="4865" w:type="dxa"/>
          </w:tcPr>
          <w:p w14:paraId="5E9E8113" w14:textId="1B418308" w:rsidR="000D0D33" w:rsidRDefault="006C68D4" w:rsidP="001B2455">
            <w:r>
              <w:t>12.06</w:t>
            </w:r>
            <w:r w:rsidR="00670A45">
              <w:t xml:space="preserve"> per cent</w:t>
            </w:r>
          </w:p>
        </w:tc>
      </w:tr>
      <w:tr w:rsidR="000D0D33" w14:paraId="3C0FC3A3" w14:textId="77777777" w:rsidTr="000D0D33">
        <w:tc>
          <w:tcPr>
            <w:tcW w:w="4865" w:type="dxa"/>
          </w:tcPr>
          <w:p w14:paraId="57884930" w14:textId="5F8CBF22" w:rsidR="000D0D33" w:rsidRDefault="00352ECD" w:rsidP="001B2455">
            <w:r>
              <w:t>Czech Republic</w:t>
            </w:r>
          </w:p>
        </w:tc>
        <w:tc>
          <w:tcPr>
            <w:tcW w:w="4865" w:type="dxa"/>
          </w:tcPr>
          <w:p w14:paraId="226C9EAB" w14:textId="031F0B7F" w:rsidR="000D0D33" w:rsidRDefault="006C68D4" w:rsidP="001B2455">
            <w:r>
              <w:t>12.16</w:t>
            </w:r>
            <w:r w:rsidR="00670A45">
              <w:t xml:space="preserve"> per cent</w:t>
            </w:r>
          </w:p>
        </w:tc>
      </w:tr>
      <w:tr w:rsidR="000D0D33" w14:paraId="2A885EC3" w14:textId="77777777" w:rsidTr="000D0D33">
        <w:tc>
          <w:tcPr>
            <w:tcW w:w="4865" w:type="dxa"/>
          </w:tcPr>
          <w:p w14:paraId="43D122ED" w14:textId="3AB2A8B6" w:rsidR="000D0D33" w:rsidRDefault="00352ECD" w:rsidP="001B2455">
            <w:r>
              <w:t>Latvia</w:t>
            </w:r>
          </w:p>
        </w:tc>
        <w:tc>
          <w:tcPr>
            <w:tcW w:w="4865" w:type="dxa"/>
          </w:tcPr>
          <w:p w14:paraId="4935A85A" w14:textId="4158CEC6" w:rsidR="000D0D33" w:rsidRDefault="006C68D4" w:rsidP="001B2455">
            <w:r>
              <w:t>12.2</w:t>
            </w:r>
            <w:r w:rsidR="00670A45">
              <w:t xml:space="preserve"> per cent</w:t>
            </w:r>
          </w:p>
        </w:tc>
      </w:tr>
      <w:tr w:rsidR="000D0D33" w14:paraId="15820CE3" w14:textId="77777777" w:rsidTr="000D0D33">
        <w:tc>
          <w:tcPr>
            <w:tcW w:w="4865" w:type="dxa"/>
          </w:tcPr>
          <w:p w14:paraId="4CA81F0E" w14:textId="3159FD10" w:rsidR="000D0D33" w:rsidRDefault="00352ECD" w:rsidP="001B2455">
            <w:r>
              <w:t>Netherlands</w:t>
            </w:r>
          </w:p>
        </w:tc>
        <w:tc>
          <w:tcPr>
            <w:tcW w:w="4865" w:type="dxa"/>
          </w:tcPr>
          <w:p w14:paraId="68BC291C" w14:textId="5C60ACC2" w:rsidR="000D0D33" w:rsidRDefault="006C68D4" w:rsidP="001B2455">
            <w:r>
              <w:t>12.89</w:t>
            </w:r>
            <w:r w:rsidR="00670A45">
              <w:t xml:space="preserve"> per cent</w:t>
            </w:r>
          </w:p>
        </w:tc>
      </w:tr>
      <w:tr w:rsidR="00352ECD" w14:paraId="79790C5A" w14:textId="77777777" w:rsidTr="000D0D33">
        <w:tc>
          <w:tcPr>
            <w:tcW w:w="4865" w:type="dxa"/>
          </w:tcPr>
          <w:p w14:paraId="6B441EFF" w14:textId="6A0328CA" w:rsidR="00352ECD" w:rsidRDefault="005F632F" w:rsidP="001B2455">
            <w:r>
              <w:t>OECD median</w:t>
            </w:r>
          </w:p>
        </w:tc>
        <w:tc>
          <w:tcPr>
            <w:tcW w:w="4865" w:type="dxa"/>
          </w:tcPr>
          <w:p w14:paraId="2F660FCE" w14:textId="71FEA664" w:rsidR="00352ECD" w:rsidRDefault="006C68D4" w:rsidP="001B2455">
            <w:r>
              <w:t>12.98</w:t>
            </w:r>
            <w:r w:rsidR="00670A45">
              <w:t xml:space="preserve"> per cent</w:t>
            </w:r>
          </w:p>
        </w:tc>
      </w:tr>
      <w:tr w:rsidR="00352ECD" w14:paraId="34393146" w14:textId="77777777" w:rsidTr="000D0D33">
        <w:tc>
          <w:tcPr>
            <w:tcW w:w="4865" w:type="dxa"/>
          </w:tcPr>
          <w:p w14:paraId="18A6493A" w14:textId="48C1A17E" w:rsidR="00352ECD" w:rsidRDefault="005F632F" w:rsidP="001B2455">
            <w:r>
              <w:t>Switzerland</w:t>
            </w:r>
          </w:p>
        </w:tc>
        <w:tc>
          <w:tcPr>
            <w:tcW w:w="4865" w:type="dxa"/>
          </w:tcPr>
          <w:p w14:paraId="3E53E9B2" w14:textId="749A12F3" w:rsidR="00352ECD" w:rsidRDefault="004F42FE" w:rsidP="001B2455">
            <w:r>
              <w:t>13.07</w:t>
            </w:r>
            <w:r w:rsidR="00670A45">
              <w:t xml:space="preserve"> per cent</w:t>
            </w:r>
          </w:p>
        </w:tc>
      </w:tr>
      <w:tr w:rsidR="00352ECD" w14:paraId="4BAC173A" w14:textId="77777777" w:rsidTr="000D0D33">
        <w:tc>
          <w:tcPr>
            <w:tcW w:w="4865" w:type="dxa"/>
          </w:tcPr>
          <w:p w14:paraId="6A8EFCBB" w14:textId="3A004B82" w:rsidR="00352ECD" w:rsidRDefault="005F632F" w:rsidP="001B2455">
            <w:r>
              <w:t>Hungary</w:t>
            </w:r>
          </w:p>
        </w:tc>
        <w:tc>
          <w:tcPr>
            <w:tcW w:w="4865" w:type="dxa"/>
          </w:tcPr>
          <w:p w14:paraId="0A82816E" w14:textId="0AEE9192" w:rsidR="00352ECD" w:rsidRDefault="008B6C2E" w:rsidP="001B2455">
            <w:r>
              <w:t>13.72</w:t>
            </w:r>
            <w:r w:rsidR="00670A45">
              <w:t xml:space="preserve"> per cent</w:t>
            </w:r>
          </w:p>
        </w:tc>
      </w:tr>
      <w:tr w:rsidR="00352ECD" w14:paraId="626B5B38" w14:textId="77777777" w:rsidTr="000D0D33">
        <w:tc>
          <w:tcPr>
            <w:tcW w:w="4865" w:type="dxa"/>
          </w:tcPr>
          <w:p w14:paraId="157E16FD" w14:textId="40B8710D" w:rsidR="00352ECD" w:rsidRDefault="005F632F" w:rsidP="001B2455">
            <w:r>
              <w:t>Japan</w:t>
            </w:r>
          </w:p>
        </w:tc>
        <w:tc>
          <w:tcPr>
            <w:tcW w:w="4865" w:type="dxa"/>
          </w:tcPr>
          <w:p w14:paraId="2144AB46" w14:textId="7F2D494D" w:rsidR="00352ECD" w:rsidRDefault="008B6C2E" w:rsidP="001B2455">
            <w:r>
              <w:t>14.45</w:t>
            </w:r>
            <w:r w:rsidR="00670A45">
              <w:t xml:space="preserve"> per cent</w:t>
            </w:r>
          </w:p>
        </w:tc>
      </w:tr>
      <w:tr w:rsidR="00352ECD" w14:paraId="3564C5A9" w14:textId="77777777" w:rsidTr="000D0D33">
        <w:tc>
          <w:tcPr>
            <w:tcW w:w="4865" w:type="dxa"/>
          </w:tcPr>
          <w:p w14:paraId="46EE59C0" w14:textId="394CB7A2" w:rsidR="00352ECD" w:rsidRDefault="005F632F" w:rsidP="001B2455">
            <w:r>
              <w:t>Slovenia</w:t>
            </w:r>
          </w:p>
        </w:tc>
        <w:tc>
          <w:tcPr>
            <w:tcW w:w="4865" w:type="dxa"/>
          </w:tcPr>
          <w:p w14:paraId="40F5EBD3" w14:textId="577FC802" w:rsidR="00352ECD" w:rsidRDefault="008B6C2E" w:rsidP="001B2455">
            <w:r>
              <w:t>15.31</w:t>
            </w:r>
            <w:r w:rsidR="00670A45">
              <w:t xml:space="preserve"> per cent</w:t>
            </w:r>
          </w:p>
        </w:tc>
      </w:tr>
      <w:tr w:rsidR="00352ECD" w14:paraId="6ED312AE" w14:textId="77777777" w:rsidTr="000D0D33">
        <w:tc>
          <w:tcPr>
            <w:tcW w:w="4865" w:type="dxa"/>
          </w:tcPr>
          <w:p w14:paraId="1D6750E1" w14:textId="12922AE4" w:rsidR="00352ECD" w:rsidRDefault="005F632F" w:rsidP="001B2455">
            <w:r>
              <w:t>Poland</w:t>
            </w:r>
          </w:p>
        </w:tc>
        <w:tc>
          <w:tcPr>
            <w:tcW w:w="4865" w:type="dxa"/>
          </w:tcPr>
          <w:p w14:paraId="1F9694B1" w14:textId="53AB3690" w:rsidR="00352ECD" w:rsidRDefault="008B6C2E" w:rsidP="001B2455">
            <w:r>
              <w:t>15.82</w:t>
            </w:r>
            <w:r w:rsidR="00670A45">
              <w:t xml:space="preserve"> per cent</w:t>
            </w:r>
          </w:p>
        </w:tc>
      </w:tr>
      <w:tr w:rsidR="00352ECD" w14:paraId="58104569" w14:textId="77777777" w:rsidTr="000D0D33">
        <w:tc>
          <w:tcPr>
            <w:tcW w:w="4865" w:type="dxa"/>
          </w:tcPr>
          <w:p w14:paraId="6DC2F0ED" w14:textId="4A027FA3" w:rsidR="00352ECD" w:rsidRDefault="005F632F" w:rsidP="001B2455">
            <w:r>
              <w:t>Luxembourg</w:t>
            </w:r>
          </w:p>
        </w:tc>
        <w:tc>
          <w:tcPr>
            <w:tcW w:w="4865" w:type="dxa"/>
          </w:tcPr>
          <w:p w14:paraId="6AA1B100" w14:textId="73F7D410" w:rsidR="00352ECD" w:rsidRDefault="008B6C2E" w:rsidP="001B2455">
            <w:r>
              <w:t>15.93</w:t>
            </w:r>
            <w:r w:rsidR="00670A45">
              <w:t xml:space="preserve"> per cent</w:t>
            </w:r>
          </w:p>
        </w:tc>
      </w:tr>
      <w:tr w:rsidR="00352ECD" w14:paraId="2464E82D" w14:textId="77777777" w:rsidTr="000D0D33">
        <w:tc>
          <w:tcPr>
            <w:tcW w:w="4865" w:type="dxa"/>
          </w:tcPr>
          <w:p w14:paraId="05AAC889" w14:textId="12D27E40" w:rsidR="00352ECD" w:rsidRDefault="004C42AC" w:rsidP="001B2455">
            <w:r>
              <w:t>Germany</w:t>
            </w:r>
          </w:p>
        </w:tc>
        <w:tc>
          <w:tcPr>
            <w:tcW w:w="4865" w:type="dxa"/>
          </w:tcPr>
          <w:p w14:paraId="03DBDAC8" w14:textId="68C37A21" w:rsidR="00352ECD" w:rsidRDefault="008B6C2E" w:rsidP="001B2455">
            <w:r>
              <w:t>15.95</w:t>
            </w:r>
            <w:r w:rsidR="00670A45">
              <w:t xml:space="preserve"> per cent</w:t>
            </w:r>
          </w:p>
        </w:tc>
      </w:tr>
      <w:tr w:rsidR="000D0D33" w14:paraId="5A5ED416" w14:textId="77777777" w:rsidTr="000D0D33">
        <w:tc>
          <w:tcPr>
            <w:tcW w:w="4865" w:type="dxa"/>
          </w:tcPr>
          <w:p w14:paraId="393521A7" w14:textId="231D7E57" w:rsidR="000D0D33" w:rsidRDefault="004C42AC" w:rsidP="001B2455">
            <w:r>
              <w:t>Portugal</w:t>
            </w:r>
          </w:p>
        </w:tc>
        <w:tc>
          <w:tcPr>
            <w:tcW w:w="4865" w:type="dxa"/>
          </w:tcPr>
          <w:p w14:paraId="4658DE8E" w14:textId="3290834B" w:rsidR="000D0D33" w:rsidRDefault="008B6C2E" w:rsidP="001B2455">
            <w:r>
              <w:t>16.56</w:t>
            </w:r>
            <w:r w:rsidR="00670A45">
              <w:t xml:space="preserve"> per cent</w:t>
            </w:r>
          </w:p>
        </w:tc>
      </w:tr>
      <w:tr w:rsidR="000D0D33" w14:paraId="4E0C3B00" w14:textId="77777777" w:rsidTr="000D0D33">
        <w:tc>
          <w:tcPr>
            <w:tcW w:w="4865" w:type="dxa"/>
          </w:tcPr>
          <w:p w14:paraId="02FB3C6B" w14:textId="1333F784" w:rsidR="000D0D33" w:rsidRDefault="004C42AC" w:rsidP="001B2455">
            <w:r>
              <w:t>Spain</w:t>
            </w:r>
          </w:p>
        </w:tc>
        <w:tc>
          <w:tcPr>
            <w:tcW w:w="4865" w:type="dxa"/>
          </w:tcPr>
          <w:p w14:paraId="7B4981FA" w14:textId="2662BF6F" w:rsidR="000D0D33" w:rsidRDefault="008B6C2E" w:rsidP="001B2455">
            <w:r>
              <w:t>16.84</w:t>
            </w:r>
            <w:r w:rsidR="00670A45">
              <w:t xml:space="preserve"> per cent</w:t>
            </w:r>
          </w:p>
        </w:tc>
      </w:tr>
      <w:tr w:rsidR="000D0D33" w14:paraId="77E1E86D" w14:textId="77777777" w:rsidTr="000D0D33">
        <w:tc>
          <w:tcPr>
            <w:tcW w:w="4865" w:type="dxa"/>
          </w:tcPr>
          <w:p w14:paraId="46403E0D" w14:textId="50AFCBE9" w:rsidR="000D0D33" w:rsidRDefault="004C42AC" w:rsidP="001B2455">
            <w:r>
              <w:t>Sweden</w:t>
            </w:r>
          </w:p>
        </w:tc>
        <w:tc>
          <w:tcPr>
            <w:tcW w:w="4865" w:type="dxa"/>
          </w:tcPr>
          <w:p w14:paraId="29994467" w14:textId="5F632F72" w:rsidR="000D0D33" w:rsidRDefault="008B6C2E" w:rsidP="001B2455">
            <w:r>
              <w:t>17.96</w:t>
            </w:r>
            <w:r w:rsidR="00670A45">
              <w:t xml:space="preserve"> per cent</w:t>
            </w:r>
          </w:p>
        </w:tc>
      </w:tr>
      <w:tr w:rsidR="000D0D33" w14:paraId="7BF9A584" w14:textId="77777777" w:rsidTr="000D0D33">
        <w:tc>
          <w:tcPr>
            <w:tcW w:w="4865" w:type="dxa"/>
          </w:tcPr>
          <w:p w14:paraId="309E829A" w14:textId="2029A001" w:rsidR="000D0D33" w:rsidRDefault="004C42AC" w:rsidP="001B2455">
            <w:r>
              <w:t>Norway</w:t>
            </w:r>
          </w:p>
        </w:tc>
        <w:tc>
          <w:tcPr>
            <w:tcW w:w="4865" w:type="dxa"/>
          </w:tcPr>
          <w:p w14:paraId="4C052217" w14:textId="1B10CF17" w:rsidR="000D0D33" w:rsidRDefault="00CC2DE4" w:rsidP="001B2455">
            <w:r>
              <w:t>18.17</w:t>
            </w:r>
            <w:r w:rsidR="00670A45">
              <w:t xml:space="preserve"> per cent</w:t>
            </w:r>
          </w:p>
        </w:tc>
      </w:tr>
      <w:tr w:rsidR="000D0D33" w14:paraId="016E98A0" w14:textId="77777777" w:rsidTr="000D0D33">
        <w:tc>
          <w:tcPr>
            <w:tcW w:w="4865" w:type="dxa"/>
          </w:tcPr>
          <w:p w14:paraId="334FBF00" w14:textId="2E7CFA15" w:rsidR="000D0D33" w:rsidRDefault="004C42AC" w:rsidP="001B2455">
            <w:r>
              <w:t>Denmark</w:t>
            </w:r>
          </w:p>
        </w:tc>
        <w:tc>
          <w:tcPr>
            <w:tcW w:w="4865" w:type="dxa"/>
          </w:tcPr>
          <w:p w14:paraId="155F3B32" w14:textId="73480A1D" w:rsidR="000D0D33" w:rsidRDefault="00CC2DE4" w:rsidP="001B2455">
            <w:r>
              <w:t>19.47</w:t>
            </w:r>
            <w:r w:rsidR="00670A45">
              <w:t xml:space="preserve"> per cent</w:t>
            </w:r>
          </w:p>
        </w:tc>
      </w:tr>
      <w:tr w:rsidR="000D0D33" w14:paraId="011D049D" w14:textId="77777777" w:rsidTr="000D0D33">
        <w:tc>
          <w:tcPr>
            <w:tcW w:w="4865" w:type="dxa"/>
          </w:tcPr>
          <w:p w14:paraId="0AE1F317" w14:textId="05566193" w:rsidR="000D0D33" w:rsidRDefault="004C42AC" w:rsidP="001B2455">
            <w:r>
              <w:lastRenderedPageBreak/>
              <w:t>Greece</w:t>
            </w:r>
          </w:p>
        </w:tc>
        <w:tc>
          <w:tcPr>
            <w:tcW w:w="4865" w:type="dxa"/>
          </w:tcPr>
          <w:p w14:paraId="19377F58" w14:textId="289B22E6" w:rsidR="000D0D33" w:rsidRDefault="00CC2DE4" w:rsidP="001B2455">
            <w:r>
              <w:t>19.64</w:t>
            </w:r>
            <w:r w:rsidR="00670A45">
              <w:t xml:space="preserve"> per cent</w:t>
            </w:r>
          </w:p>
        </w:tc>
      </w:tr>
      <w:tr w:rsidR="000D0D33" w14:paraId="1FEFCA5D" w14:textId="77777777" w:rsidTr="000D0D33">
        <w:tc>
          <w:tcPr>
            <w:tcW w:w="4865" w:type="dxa"/>
          </w:tcPr>
          <w:p w14:paraId="5146A841" w14:textId="01427A69" w:rsidR="000D0D33" w:rsidRDefault="004C42AC" w:rsidP="001B2455">
            <w:r>
              <w:t>Belgium</w:t>
            </w:r>
          </w:p>
        </w:tc>
        <w:tc>
          <w:tcPr>
            <w:tcW w:w="4865" w:type="dxa"/>
          </w:tcPr>
          <w:p w14:paraId="1EB1A410" w14:textId="442F6D6E" w:rsidR="000D0D33" w:rsidRDefault="00CC2DE4" w:rsidP="001B2455">
            <w:r>
              <w:t>19.71</w:t>
            </w:r>
            <w:r w:rsidR="00670A45">
              <w:t xml:space="preserve"> per cent</w:t>
            </w:r>
          </w:p>
        </w:tc>
      </w:tr>
      <w:tr w:rsidR="000D0D33" w14:paraId="00E4FCB9" w14:textId="77777777" w:rsidTr="000D0D33">
        <w:tc>
          <w:tcPr>
            <w:tcW w:w="4865" w:type="dxa"/>
          </w:tcPr>
          <w:p w14:paraId="4D330F60" w14:textId="5F797623" w:rsidR="000D0D33" w:rsidRDefault="004C42AC" w:rsidP="001B2455">
            <w:r>
              <w:t>Austria</w:t>
            </w:r>
          </w:p>
        </w:tc>
        <w:tc>
          <w:tcPr>
            <w:tcW w:w="4865" w:type="dxa"/>
          </w:tcPr>
          <w:p w14:paraId="3AE1BB8E" w14:textId="306BD188" w:rsidR="000D0D33" w:rsidRDefault="00CC2DE4" w:rsidP="001B2455">
            <w:r>
              <w:t>19.83</w:t>
            </w:r>
            <w:r w:rsidR="00670A45">
              <w:t xml:space="preserve"> per cent</w:t>
            </w:r>
          </w:p>
        </w:tc>
      </w:tr>
      <w:tr w:rsidR="000D0D33" w14:paraId="11EC5BF2" w14:textId="77777777" w:rsidTr="000D0D33">
        <w:tc>
          <w:tcPr>
            <w:tcW w:w="4865" w:type="dxa"/>
          </w:tcPr>
          <w:p w14:paraId="6BBFF948" w14:textId="195C55AB" w:rsidR="000D0D33" w:rsidRDefault="004C42AC" w:rsidP="001B2455">
            <w:r>
              <w:t>Italy</w:t>
            </w:r>
          </w:p>
        </w:tc>
        <w:tc>
          <w:tcPr>
            <w:tcW w:w="4865" w:type="dxa"/>
          </w:tcPr>
          <w:p w14:paraId="3ECB2237" w14:textId="71017484" w:rsidR="000D0D33" w:rsidRDefault="00CC2DE4" w:rsidP="001B2455">
            <w:r>
              <w:t>20.67</w:t>
            </w:r>
            <w:r w:rsidR="00670A45">
              <w:t xml:space="preserve"> per cent</w:t>
            </w:r>
          </w:p>
        </w:tc>
      </w:tr>
      <w:tr w:rsidR="000D0D33" w14:paraId="4DC2097E" w14:textId="77777777" w:rsidTr="000D0D33">
        <w:tc>
          <w:tcPr>
            <w:tcW w:w="4865" w:type="dxa"/>
          </w:tcPr>
          <w:p w14:paraId="338FFCBA" w14:textId="7FB5D635" w:rsidR="000D0D33" w:rsidRDefault="004C42AC" w:rsidP="001B2455">
            <w:r>
              <w:t>France</w:t>
            </w:r>
          </w:p>
        </w:tc>
        <w:tc>
          <w:tcPr>
            <w:tcW w:w="4865" w:type="dxa"/>
          </w:tcPr>
          <w:p w14:paraId="35DF2CAF" w14:textId="28321D38" w:rsidR="000D0D33" w:rsidRDefault="00CC2DE4" w:rsidP="001B2455">
            <w:r>
              <w:t>21.05</w:t>
            </w:r>
            <w:r w:rsidR="00670A45">
              <w:t xml:space="preserve"> per cent</w:t>
            </w:r>
          </w:p>
        </w:tc>
      </w:tr>
      <w:tr w:rsidR="000D0D33" w14:paraId="1ED398A7" w14:textId="77777777" w:rsidTr="000D0D33">
        <w:tc>
          <w:tcPr>
            <w:tcW w:w="4865" w:type="dxa"/>
          </w:tcPr>
          <w:p w14:paraId="27F31166" w14:textId="7161DDE0" w:rsidR="000D0D33" w:rsidRDefault="004C42AC" w:rsidP="001B2455">
            <w:r>
              <w:t>Finland</w:t>
            </w:r>
          </w:p>
        </w:tc>
        <w:tc>
          <w:tcPr>
            <w:tcW w:w="4865" w:type="dxa"/>
          </w:tcPr>
          <w:p w14:paraId="32EF3BBD" w14:textId="49095B88" w:rsidR="000D0D33" w:rsidRDefault="00CC2DE4" w:rsidP="001B2455">
            <w:r>
              <w:t>22.26</w:t>
            </w:r>
            <w:r w:rsidR="00670A45">
              <w:t xml:space="preserve"> per cent</w:t>
            </w:r>
          </w:p>
        </w:tc>
      </w:tr>
    </w:tbl>
    <w:p w14:paraId="63F78365" w14:textId="14DB7B57" w:rsidR="00531754" w:rsidRPr="00531754" w:rsidRDefault="00531754" w:rsidP="003B3645">
      <w:pPr>
        <w:rPr>
          <w:color w:val="1E4E42" w:themeColor="accent1"/>
        </w:rPr>
      </w:pPr>
      <w:r w:rsidRPr="00531754">
        <w:t xml:space="preserve">Note: the estimates are based on the OECD method any may vary from ABS reported values nominally. Excludes health, labour market programs and housing. </w:t>
      </w:r>
      <w:bookmarkStart w:id="63" w:name="_Hlk128468445"/>
      <w:r w:rsidRPr="00531754">
        <w:t>OECD estimates pool social welfare expenditures with individual disability support investments. Source: OECD 2022</w:t>
      </w:r>
      <w:bookmarkEnd w:id="63"/>
    </w:p>
    <w:p w14:paraId="4631D899" w14:textId="08927B0C" w:rsidR="00531754" w:rsidRPr="00531754" w:rsidRDefault="00531754" w:rsidP="003B3645">
      <w:pPr>
        <w:rPr>
          <w:color w:val="1E4E42" w:themeColor="accent1"/>
        </w:rPr>
      </w:pPr>
      <w:r w:rsidRPr="00531754">
        <w:t>When focusing specifically on disability expenditure as a portion of GDP, national spending levels are average within the OECD, lagging many of the other advanced economies. Expenditure levels are similar to levels observed in Poland and Estonia but substantially smaller than those of Spain, New Zealand, Switzerland and countries in the Nordic region.</w:t>
      </w:r>
      <w:r w:rsidR="00561530">
        <w:t xml:space="preserve"> (The chart and analysis pertains to a critical year of transition, where NDIS investment increased, with the chart series reflecting 2018 investment data, noting the modest level of investment as a percentage of GDP in comparison to other economies. Investment in disability services has improved with recent (2019) data suggesting that our expenditure level as a percentage of GDP has increased, but this shift notwithstanding Australian investment levels still lag many advanced economies (see Appendix 4))</w:t>
      </w:r>
      <w:r w:rsidRPr="00531754">
        <w:t xml:space="preserve"> A lack of granular data pertaining to category specific service data both at a domestic and OECD level makes information service specific benchmarking more difficult, should the distribution of sector specific funding be broadly comparable, domestic expenditure on ILC/Tier 2 type activities would likely lag the noted countries.  </w:t>
      </w:r>
    </w:p>
    <w:p w14:paraId="014F2FEA" w14:textId="77777777" w:rsidR="00531754" w:rsidRPr="003B3645" w:rsidRDefault="00531754" w:rsidP="003B3645">
      <w:pPr>
        <w:rPr>
          <w:b/>
          <w:bCs/>
        </w:rPr>
      </w:pPr>
      <w:r w:rsidRPr="003B3645">
        <w:rPr>
          <w:b/>
          <w:bCs/>
        </w:rPr>
        <w:t>Figure 4</w:t>
      </w:r>
    </w:p>
    <w:p w14:paraId="71950A33" w14:textId="201F99E2" w:rsidR="00531754" w:rsidRPr="004135C9" w:rsidRDefault="00531754" w:rsidP="003B3645">
      <w:pPr>
        <w:rPr>
          <w:b/>
          <w:bCs/>
        </w:rPr>
      </w:pPr>
      <w:r w:rsidRPr="003B3645">
        <w:rPr>
          <w:b/>
          <w:bCs/>
        </w:rPr>
        <w:t>Expenditure on incapacity as a percentage of GDP (Selected OECD)</w:t>
      </w:r>
    </w:p>
    <w:tbl>
      <w:tblPr>
        <w:tblStyle w:val="TableGrid"/>
        <w:tblW w:w="0" w:type="auto"/>
        <w:tblLook w:val="04A0" w:firstRow="1" w:lastRow="0" w:firstColumn="1" w:lastColumn="0" w:noHBand="0" w:noVBand="1"/>
      </w:tblPr>
      <w:tblGrid>
        <w:gridCol w:w="3114"/>
        <w:gridCol w:w="6616"/>
      </w:tblGrid>
      <w:tr w:rsidR="007844C5" w:rsidRPr="007844C5" w14:paraId="552DD667" w14:textId="77777777" w:rsidTr="00E23116">
        <w:tc>
          <w:tcPr>
            <w:tcW w:w="3114" w:type="dxa"/>
          </w:tcPr>
          <w:p w14:paraId="17948E53" w14:textId="6C22E54A" w:rsidR="007844C5" w:rsidRPr="00E23116" w:rsidRDefault="007844C5" w:rsidP="00DF38EA">
            <w:pPr>
              <w:rPr>
                <w:b/>
                <w:bCs/>
              </w:rPr>
            </w:pPr>
            <w:r w:rsidRPr="00E23116">
              <w:rPr>
                <w:b/>
                <w:bCs/>
              </w:rPr>
              <w:t>Country</w:t>
            </w:r>
          </w:p>
        </w:tc>
        <w:tc>
          <w:tcPr>
            <w:tcW w:w="6616" w:type="dxa"/>
          </w:tcPr>
          <w:p w14:paraId="3924D5E0" w14:textId="323B97DF" w:rsidR="007844C5" w:rsidRPr="00E23116" w:rsidRDefault="00E23116" w:rsidP="00DF38EA">
            <w:pPr>
              <w:rPr>
                <w:b/>
                <w:bCs/>
              </w:rPr>
            </w:pPr>
            <w:r w:rsidRPr="00E23116">
              <w:rPr>
                <w:b/>
                <w:bCs/>
              </w:rPr>
              <w:t>Expenditure on incapacity as a percentage of GDP</w:t>
            </w:r>
          </w:p>
        </w:tc>
      </w:tr>
      <w:tr w:rsidR="007844C5" w:rsidRPr="007844C5" w14:paraId="5525A5BC" w14:textId="700E54EF" w:rsidTr="00E23116">
        <w:tc>
          <w:tcPr>
            <w:tcW w:w="3114" w:type="dxa"/>
          </w:tcPr>
          <w:p w14:paraId="77D22D6D" w14:textId="77777777" w:rsidR="007844C5" w:rsidRPr="007844C5" w:rsidRDefault="007844C5" w:rsidP="00DF38EA">
            <w:r w:rsidRPr="007844C5">
              <w:t>Australia</w:t>
            </w:r>
          </w:p>
        </w:tc>
        <w:tc>
          <w:tcPr>
            <w:tcW w:w="6616" w:type="dxa"/>
          </w:tcPr>
          <w:p w14:paraId="70DD35C7" w14:textId="68D892E1" w:rsidR="007844C5" w:rsidRPr="007844C5" w:rsidRDefault="007749F2" w:rsidP="00DF38EA">
            <w:r>
              <w:t>2.036</w:t>
            </w:r>
          </w:p>
        </w:tc>
      </w:tr>
      <w:tr w:rsidR="007844C5" w:rsidRPr="007844C5" w14:paraId="4F28D7CD" w14:textId="5AF36BE9" w:rsidTr="00E23116">
        <w:tc>
          <w:tcPr>
            <w:tcW w:w="3114" w:type="dxa"/>
          </w:tcPr>
          <w:p w14:paraId="2053EFF2" w14:textId="77777777" w:rsidR="007844C5" w:rsidRPr="007844C5" w:rsidRDefault="007844C5" w:rsidP="00DF38EA">
            <w:r w:rsidRPr="007844C5">
              <w:lastRenderedPageBreak/>
              <w:t>Austria</w:t>
            </w:r>
          </w:p>
        </w:tc>
        <w:tc>
          <w:tcPr>
            <w:tcW w:w="6616" w:type="dxa"/>
          </w:tcPr>
          <w:p w14:paraId="477FA3B5" w14:textId="1AF292BC" w:rsidR="007844C5" w:rsidRPr="007844C5" w:rsidRDefault="007749F2" w:rsidP="00DF38EA">
            <w:r>
              <w:t>1.998</w:t>
            </w:r>
          </w:p>
        </w:tc>
      </w:tr>
      <w:tr w:rsidR="007844C5" w:rsidRPr="007844C5" w14:paraId="2A1F53D2" w14:textId="0C7D3DA2" w:rsidTr="00E23116">
        <w:tc>
          <w:tcPr>
            <w:tcW w:w="3114" w:type="dxa"/>
          </w:tcPr>
          <w:p w14:paraId="6CEBB8D9" w14:textId="77777777" w:rsidR="007844C5" w:rsidRPr="007844C5" w:rsidRDefault="007844C5" w:rsidP="00DF38EA">
            <w:r w:rsidRPr="007844C5">
              <w:t>Belgium</w:t>
            </w:r>
          </w:p>
        </w:tc>
        <w:tc>
          <w:tcPr>
            <w:tcW w:w="6616" w:type="dxa"/>
          </w:tcPr>
          <w:p w14:paraId="3BB2310A" w14:textId="53048390" w:rsidR="007844C5" w:rsidRPr="007844C5" w:rsidRDefault="007749F2" w:rsidP="00DF38EA">
            <w:r>
              <w:t>3.097</w:t>
            </w:r>
          </w:p>
        </w:tc>
      </w:tr>
      <w:tr w:rsidR="007844C5" w:rsidRPr="007844C5" w14:paraId="2B065D64" w14:textId="160AE15A" w:rsidTr="00E23116">
        <w:tc>
          <w:tcPr>
            <w:tcW w:w="3114" w:type="dxa"/>
          </w:tcPr>
          <w:p w14:paraId="0EDF63DA" w14:textId="77777777" w:rsidR="007844C5" w:rsidRPr="007844C5" w:rsidRDefault="007844C5" w:rsidP="00DF38EA">
            <w:r w:rsidRPr="007844C5">
              <w:t>Canada</w:t>
            </w:r>
          </w:p>
        </w:tc>
        <w:tc>
          <w:tcPr>
            <w:tcW w:w="6616" w:type="dxa"/>
          </w:tcPr>
          <w:p w14:paraId="3A73E6CE" w14:textId="4F0D8482" w:rsidR="007844C5" w:rsidRPr="007844C5" w:rsidRDefault="007749F2" w:rsidP="00DF38EA">
            <w:r>
              <w:t>0.717</w:t>
            </w:r>
          </w:p>
        </w:tc>
      </w:tr>
      <w:tr w:rsidR="007844C5" w:rsidRPr="007844C5" w14:paraId="70B667A8" w14:textId="7EA89C39" w:rsidTr="00E23116">
        <w:tc>
          <w:tcPr>
            <w:tcW w:w="3114" w:type="dxa"/>
          </w:tcPr>
          <w:p w14:paraId="2E398BD6" w14:textId="77777777" w:rsidR="007844C5" w:rsidRPr="007844C5" w:rsidRDefault="007844C5" w:rsidP="00DF38EA">
            <w:r w:rsidRPr="007844C5">
              <w:t>Chile</w:t>
            </w:r>
          </w:p>
        </w:tc>
        <w:tc>
          <w:tcPr>
            <w:tcW w:w="6616" w:type="dxa"/>
          </w:tcPr>
          <w:p w14:paraId="257E2142" w14:textId="21611F2A" w:rsidR="007844C5" w:rsidRPr="007844C5" w:rsidRDefault="00691D02" w:rsidP="00DF38EA">
            <w:r>
              <w:t>0.742</w:t>
            </w:r>
          </w:p>
        </w:tc>
      </w:tr>
      <w:tr w:rsidR="007844C5" w:rsidRPr="007844C5" w14:paraId="232F1B34" w14:textId="7DFB9F7B" w:rsidTr="00E23116">
        <w:tc>
          <w:tcPr>
            <w:tcW w:w="3114" w:type="dxa"/>
          </w:tcPr>
          <w:p w14:paraId="20B38CD9" w14:textId="77777777" w:rsidR="007844C5" w:rsidRPr="007844C5" w:rsidRDefault="007844C5" w:rsidP="00DF38EA">
            <w:r w:rsidRPr="007844C5">
              <w:t>Colombia</w:t>
            </w:r>
          </w:p>
        </w:tc>
        <w:tc>
          <w:tcPr>
            <w:tcW w:w="6616" w:type="dxa"/>
          </w:tcPr>
          <w:p w14:paraId="39222081" w14:textId="07933FF5" w:rsidR="007844C5" w:rsidRPr="007844C5" w:rsidRDefault="00691D02" w:rsidP="00DF38EA">
            <w:r>
              <w:t>0.086</w:t>
            </w:r>
          </w:p>
        </w:tc>
      </w:tr>
      <w:tr w:rsidR="007844C5" w:rsidRPr="007844C5" w14:paraId="0B08DFD9" w14:textId="5E084808" w:rsidTr="00E23116">
        <w:tc>
          <w:tcPr>
            <w:tcW w:w="3114" w:type="dxa"/>
          </w:tcPr>
          <w:p w14:paraId="61336079" w14:textId="77777777" w:rsidR="007844C5" w:rsidRPr="007844C5" w:rsidRDefault="007844C5" w:rsidP="00DF38EA">
            <w:r w:rsidRPr="007844C5">
              <w:t>Costa Rica</w:t>
            </w:r>
          </w:p>
        </w:tc>
        <w:tc>
          <w:tcPr>
            <w:tcW w:w="6616" w:type="dxa"/>
          </w:tcPr>
          <w:p w14:paraId="7EC0405B" w14:textId="7F1D5235" w:rsidR="007844C5" w:rsidRPr="007844C5" w:rsidRDefault="00691D02" w:rsidP="00DF38EA">
            <w:r>
              <w:t>0.34</w:t>
            </w:r>
          </w:p>
        </w:tc>
      </w:tr>
      <w:tr w:rsidR="007844C5" w:rsidRPr="007844C5" w14:paraId="461D1224" w14:textId="65C7EAA1" w:rsidTr="00E23116">
        <w:tc>
          <w:tcPr>
            <w:tcW w:w="3114" w:type="dxa"/>
          </w:tcPr>
          <w:p w14:paraId="6E802BCC" w14:textId="77777777" w:rsidR="007844C5" w:rsidRPr="007844C5" w:rsidRDefault="007844C5" w:rsidP="00DF38EA">
            <w:r w:rsidRPr="007844C5">
              <w:t>Czech Republic</w:t>
            </w:r>
          </w:p>
        </w:tc>
        <w:tc>
          <w:tcPr>
            <w:tcW w:w="6616" w:type="dxa"/>
          </w:tcPr>
          <w:p w14:paraId="418107B7" w14:textId="38B7FE8A" w:rsidR="007844C5" w:rsidRPr="007844C5" w:rsidRDefault="00691D02" w:rsidP="00DF38EA">
            <w:r>
              <w:t>1.764</w:t>
            </w:r>
          </w:p>
        </w:tc>
      </w:tr>
      <w:tr w:rsidR="007844C5" w:rsidRPr="007844C5" w14:paraId="186F220B" w14:textId="415F6810" w:rsidTr="00E23116">
        <w:tc>
          <w:tcPr>
            <w:tcW w:w="3114" w:type="dxa"/>
          </w:tcPr>
          <w:p w14:paraId="644DD19B" w14:textId="77777777" w:rsidR="007844C5" w:rsidRPr="007844C5" w:rsidRDefault="007844C5" w:rsidP="00DF38EA">
            <w:r w:rsidRPr="007844C5">
              <w:t>Denmark</w:t>
            </w:r>
          </w:p>
        </w:tc>
        <w:tc>
          <w:tcPr>
            <w:tcW w:w="6616" w:type="dxa"/>
          </w:tcPr>
          <w:p w14:paraId="0427FB5E" w14:textId="19E37530" w:rsidR="007844C5" w:rsidRPr="007844C5" w:rsidRDefault="00691D02" w:rsidP="00DF38EA">
            <w:r>
              <w:t>4.47</w:t>
            </w:r>
          </w:p>
        </w:tc>
      </w:tr>
      <w:tr w:rsidR="007844C5" w:rsidRPr="007844C5" w14:paraId="2CEF17B6" w14:textId="36B1789C" w:rsidTr="00E23116">
        <w:tc>
          <w:tcPr>
            <w:tcW w:w="3114" w:type="dxa"/>
          </w:tcPr>
          <w:p w14:paraId="7A79C7B3" w14:textId="77777777" w:rsidR="007844C5" w:rsidRPr="007844C5" w:rsidRDefault="007844C5" w:rsidP="00DF38EA">
            <w:r w:rsidRPr="007844C5">
              <w:t>Estonia</w:t>
            </w:r>
          </w:p>
        </w:tc>
        <w:tc>
          <w:tcPr>
            <w:tcW w:w="6616" w:type="dxa"/>
          </w:tcPr>
          <w:p w14:paraId="516CC686" w14:textId="0BCC8230" w:rsidR="007844C5" w:rsidRPr="007844C5" w:rsidRDefault="00691D02" w:rsidP="00DF38EA">
            <w:r>
              <w:t>2.296</w:t>
            </w:r>
          </w:p>
        </w:tc>
      </w:tr>
      <w:tr w:rsidR="007844C5" w:rsidRPr="007844C5" w14:paraId="61FBDBB5" w14:textId="080A8FB8" w:rsidTr="00E23116">
        <w:tc>
          <w:tcPr>
            <w:tcW w:w="3114" w:type="dxa"/>
          </w:tcPr>
          <w:p w14:paraId="6B6D7A5B" w14:textId="77777777" w:rsidR="007844C5" w:rsidRPr="007844C5" w:rsidRDefault="007844C5" w:rsidP="00DF38EA">
            <w:r w:rsidRPr="007844C5">
              <w:t>Finland</w:t>
            </w:r>
          </w:p>
        </w:tc>
        <w:tc>
          <w:tcPr>
            <w:tcW w:w="6616" w:type="dxa"/>
          </w:tcPr>
          <w:p w14:paraId="1838459C" w14:textId="5D4F50C4" w:rsidR="007844C5" w:rsidRPr="007844C5" w:rsidRDefault="00691D02" w:rsidP="00DF38EA">
            <w:r>
              <w:t>3.168</w:t>
            </w:r>
          </w:p>
        </w:tc>
      </w:tr>
      <w:tr w:rsidR="007844C5" w:rsidRPr="007844C5" w14:paraId="30F24881" w14:textId="6F87CB74" w:rsidTr="00E23116">
        <w:tc>
          <w:tcPr>
            <w:tcW w:w="3114" w:type="dxa"/>
          </w:tcPr>
          <w:p w14:paraId="1628A944" w14:textId="77777777" w:rsidR="007844C5" w:rsidRPr="007844C5" w:rsidRDefault="007844C5" w:rsidP="00DF38EA">
            <w:r w:rsidRPr="007844C5">
              <w:t>France</w:t>
            </w:r>
          </w:p>
        </w:tc>
        <w:tc>
          <w:tcPr>
            <w:tcW w:w="6616" w:type="dxa"/>
          </w:tcPr>
          <w:p w14:paraId="47951129" w14:textId="7A525564" w:rsidR="007844C5" w:rsidRPr="007844C5" w:rsidRDefault="00072D2A" w:rsidP="00DF38EA">
            <w:r>
              <w:t>1.696</w:t>
            </w:r>
          </w:p>
        </w:tc>
      </w:tr>
      <w:tr w:rsidR="007844C5" w:rsidRPr="007844C5" w14:paraId="42EF3EFA" w14:textId="7F8E6069" w:rsidTr="00E23116">
        <w:tc>
          <w:tcPr>
            <w:tcW w:w="3114" w:type="dxa"/>
          </w:tcPr>
          <w:p w14:paraId="59D45C8C" w14:textId="77777777" w:rsidR="007844C5" w:rsidRPr="007844C5" w:rsidRDefault="007844C5" w:rsidP="00DF38EA">
            <w:r w:rsidRPr="007844C5">
              <w:t>Germany</w:t>
            </w:r>
          </w:p>
        </w:tc>
        <w:tc>
          <w:tcPr>
            <w:tcW w:w="6616" w:type="dxa"/>
          </w:tcPr>
          <w:p w14:paraId="1415880B" w14:textId="3672AE61" w:rsidR="007844C5" w:rsidRPr="007844C5" w:rsidRDefault="00072D2A" w:rsidP="00DF38EA">
            <w:r>
              <w:t>2.298</w:t>
            </w:r>
          </w:p>
        </w:tc>
      </w:tr>
      <w:tr w:rsidR="007844C5" w:rsidRPr="007844C5" w14:paraId="62ABFCEE" w14:textId="2850EA64" w:rsidTr="00E23116">
        <w:tc>
          <w:tcPr>
            <w:tcW w:w="3114" w:type="dxa"/>
          </w:tcPr>
          <w:p w14:paraId="6F4FC7AC" w14:textId="77777777" w:rsidR="007844C5" w:rsidRPr="007844C5" w:rsidRDefault="007844C5" w:rsidP="00DF38EA">
            <w:r w:rsidRPr="007844C5">
              <w:t>Greece</w:t>
            </w:r>
          </w:p>
        </w:tc>
        <w:tc>
          <w:tcPr>
            <w:tcW w:w="6616" w:type="dxa"/>
          </w:tcPr>
          <w:p w14:paraId="433CC55C" w14:textId="4DE8E59B" w:rsidR="007844C5" w:rsidRPr="007844C5" w:rsidRDefault="00072D2A" w:rsidP="00DF38EA">
            <w:r>
              <w:t>1.225</w:t>
            </w:r>
          </w:p>
        </w:tc>
      </w:tr>
      <w:tr w:rsidR="007844C5" w:rsidRPr="007844C5" w14:paraId="28228C17" w14:textId="22DD698C" w:rsidTr="00E23116">
        <w:tc>
          <w:tcPr>
            <w:tcW w:w="3114" w:type="dxa"/>
          </w:tcPr>
          <w:p w14:paraId="7B132294" w14:textId="77777777" w:rsidR="007844C5" w:rsidRPr="007844C5" w:rsidRDefault="007844C5" w:rsidP="00DF38EA">
            <w:r w:rsidRPr="007844C5">
              <w:t>Hungary</w:t>
            </w:r>
          </w:p>
        </w:tc>
        <w:tc>
          <w:tcPr>
            <w:tcW w:w="6616" w:type="dxa"/>
          </w:tcPr>
          <w:p w14:paraId="2326ED30" w14:textId="79D13643" w:rsidR="007844C5" w:rsidRPr="007844C5" w:rsidRDefault="00072D2A" w:rsidP="00DF38EA">
            <w:r>
              <w:t>1.55</w:t>
            </w:r>
          </w:p>
        </w:tc>
      </w:tr>
      <w:tr w:rsidR="007844C5" w:rsidRPr="007844C5" w14:paraId="5281E652" w14:textId="04C4A23D" w:rsidTr="00E23116">
        <w:tc>
          <w:tcPr>
            <w:tcW w:w="3114" w:type="dxa"/>
          </w:tcPr>
          <w:p w14:paraId="50651FCD" w14:textId="77777777" w:rsidR="007844C5" w:rsidRPr="007844C5" w:rsidRDefault="007844C5" w:rsidP="00DF38EA">
            <w:r w:rsidRPr="007844C5">
              <w:t>Iceland</w:t>
            </w:r>
          </w:p>
        </w:tc>
        <w:tc>
          <w:tcPr>
            <w:tcW w:w="6616" w:type="dxa"/>
          </w:tcPr>
          <w:p w14:paraId="0690B037" w14:textId="7728B2B9" w:rsidR="007844C5" w:rsidRPr="007844C5" w:rsidRDefault="00072D2A" w:rsidP="00DF38EA">
            <w:r>
              <w:t>2.926</w:t>
            </w:r>
          </w:p>
        </w:tc>
      </w:tr>
      <w:tr w:rsidR="007844C5" w:rsidRPr="007844C5" w14:paraId="7760FDDD" w14:textId="50771815" w:rsidTr="00E23116">
        <w:tc>
          <w:tcPr>
            <w:tcW w:w="3114" w:type="dxa"/>
          </w:tcPr>
          <w:p w14:paraId="5C6DB260" w14:textId="77777777" w:rsidR="007844C5" w:rsidRPr="007844C5" w:rsidRDefault="007844C5" w:rsidP="00DF38EA">
            <w:r w:rsidRPr="007844C5">
              <w:t>Ireland</w:t>
            </w:r>
          </w:p>
        </w:tc>
        <w:tc>
          <w:tcPr>
            <w:tcW w:w="6616" w:type="dxa"/>
          </w:tcPr>
          <w:p w14:paraId="03E3AD82" w14:textId="2C8ABDE5" w:rsidR="007844C5" w:rsidRPr="007844C5" w:rsidRDefault="00072D2A" w:rsidP="00DF38EA">
            <w:r>
              <w:t>1.388</w:t>
            </w:r>
          </w:p>
        </w:tc>
      </w:tr>
      <w:tr w:rsidR="007844C5" w:rsidRPr="007844C5" w14:paraId="6BC59DD8" w14:textId="7237E5F9" w:rsidTr="00E23116">
        <w:tc>
          <w:tcPr>
            <w:tcW w:w="3114" w:type="dxa"/>
          </w:tcPr>
          <w:p w14:paraId="5EF80430" w14:textId="77777777" w:rsidR="007844C5" w:rsidRPr="007844C5" w:rsidRDefault="007844C5" w:rsidP="00DF38EA">
            <w:r w:rsidRPr="007844C5">
              <w:t>Israel</w:t>
            </w:r>
          </w:p>
        </w:tc>
        <w:tc>
          <w:tcPr>
            <w:tcW w:w="6616" w:type="dxa"/>
          </w:tcPr>
          <w:p w14:paraId="657E7BAA" w14:textId="48174A7F" w:rsidR="007844C5" w:rsidRPr="007844C5" w:rsidRDefault="00072D2A" w:rsidP="00DF38EA">
            <w:r>
              <w:t>2.848</w:t>
            </w:r>
          </w:p>
        </w:tc>
      </w:tr>
      <w:tr w:rsidR="007844C5" w:rsidRPr="007844C5" w14:paraId="5C0EAA29" w14:textId="57AA2592" w:rsidTr="00E23116">
        <w:tc>
          <w:tcPr>
            <w:tcW w:w="3114" w:type="dxa"/>
          </w:tcPr>
          <w:p w14:paraId="174563B4" w14:textId="77777777" w:rsidR="007844C5" w:rsidRPr="007844C5" w:rsidRDefault="007844C5" w:rsidP="00DF38EA">
            <w:r w:rsidRPr="007844C5">
              <w:t>Italy</w:t>
            </w:r>
          </w:p>
        </w:tc>
        <w:tc>
          <w:tcPr>
            <w:tcW w:w="6616" w:type="dxa"/>
          </w:tcPr>
          <w:p w14:paraId="35702B6E" w14:textId="09D576DD" w:rsidR="007844C5" w:rsidRPr="007844C5" w:rsidRDefault="00072D2A" w:rsidP="00DF38EA">
            <w:r>
              <w:t>1.727</w:t>
            </w:r>
          </w:p>
        </w:tc>
      </w:tr>
      <w:tr w:rsidR="007844C5" w:rsidRPr="007844C5" w14:paraId="340ADAFF" w14:textId="264EFDC8" w:rsidTr="00E23116">
        <w:tc>
          <w:tcPr>
            <w:tcW w:w="3114" w:type="dxa"/>
          </w:tcPr>
          <w:p w14:paraId="39A2C275" w14:textId="77777777" w:rsidR="007844C5" w:rsidRPr="007844C5" w:rsidRDefault="007844C5" w:rsidP="00DF38EA">
            <w:r w:rsidRPr="007844C5">
              <w:t>Japan</w:t>
            </w:r>
          </w:p>
        </w:tc>
        <w:tc>
          <w:tcPr>
            <w:tcW w:w="6616" w:type="dxa"/>
          </w:tcPr>
          <w:p w14:paraId="3F6A9C2D" w14:textId="68AF7BAB" w:rsidR="007844C5" w:rsidRPr="007844C5" w:rsidRDefault="00990D67" w:rsidP="00DF38EA">
            <w:r>
              <w:t>1.086</w:t>
            </w:r>
          </w:p>
        </w:tc>
      </w:tr>
      <w:tr w:rsidR="007844C5" w:rsidRPr="007844C5" w14:paraId="13BD13F0" w14:textId="10D02867" w:rsidTr="00E23116">
        <w:tc>
          <w:tcPr>
            <w:tcW w:w="3114" w:type="dxa"/>
          </w:tcPr>
          <w:p w14:paraId="1F802FF9" w14:textId="77777777" w:rsidR="007844C5" w:rsidRPr="007844C5" w:rsidRDefault="007844C5" w:rsidP="00DF38EA">
            <w:r w:rsidRPr="007844C5">
              <w:t>Korea</w:t>
            </w:r>
          </w:p>
        </w:tc>
        <w:tc>
          <w:tcPr>
            <w:tcW w:w="6616" w:type="dxa"/>
          </w:tcPr>
          <w:p w14:paraId="1CAAB204" w14:textId="4D3871BB" w:rsidR="007844C5" w:rsidRPr="007844C5" w:rsidRDefault="00990D67" w:rsidP="00DF38EA">
            <w:r>
              <w:t>0.641</w:t>
            </w:r>
          </w:p>
        </w:tc>
      </w:tr>
      <w:tr w:rsidR="007844C5" w:rsidRPr="007844C5" w14:paraId="7B8A75E5" w14:textId="0B163D57" w:rsidTr="00E23116">
        <w:tc>
          <w:tcPr>
            <w:tcW w:w="3114" w:type="dxa"/>
          </w:tcPr>
          <w:p w14:paraId="57B2A5AB" w14:textId="77777777" w:rsidR="007844C5" w:rsidRPr="007844C5" w:rsidRDefault="007844C5" w:rsidP="00DF38EA">
            <w:r w:rsidRPr="007844C5">
              <w:t>Latvia</w:t>
            </w:r>
          </w:p>
        </w:tc>
        <w:tc>
          <w:tcPr>
            <w:tcW w:w="6616" w:type="dxa"/>
          </w:tcPr>
          <w:p w14:paraId="6F3BE2B5" w14:textId="35C18F62" w:rsidR="007844C5" w:rsidRPr="007844C5" w:rsidRDefault="00990D67" w:rsidP="00DF38EA">
            <w:r>
              <w:t>2.145</w:t>
            </w:r>
          </w:p>
        </w:tc>
      </w:tr>
      <w:tr w:rsidR="007844C5" w:rsidRPr="007844C5" w14:paraId="062C8A10" w14:textId="5900E8C1" w:rsidTr="00E23116">
        <w:tc>
          <w:tcPr>
            <w:tcW w:w="3114" w:type="dxa"/>
          </w:tcPr>
          <w:p w14:paraId="09D9DE29" w14:textId="77777777" w:rsidR="007844C5" w:rsidRPr="007844C5" w:rsidRDefault="007844C5" w:rsidP="00DF38EA">
            <w:r w:rsidRPr="007844C5">
              <w:t>Lithuania</w:t>
            </w:r>
          </w:p>
        </w:tc>
        <w:tc>
          <w:tcPr>
            <w:tcW w:w="6616" w:type="dxa"/>
          </w:tcPr>
          <w:p w14:paraId="12EE2722" w14:textId="4D2DF085" w:rsidR="007844C5" w:rsidRPr="007844C5" w:rsidRDefault="00990D67" w:rsidP="00DF38EA">
            <w:r>
              <w:t>2.143</w:t>
            </w:r>
          </w:p>
        </w:tc>
      </w:tr>
      <w:tr w:rsidR="007844C5" w:rsidRPr="007844C5" w14:paraId="5ED96F68" w14:textId="73FF657E" w:rsidTr="00E23116">
        <w:tc>
          <w:tcPr>
            <w:tcW w:w="3114" w:type="dxa"/>
          </w:tcPr>
          <w:p w14:paraId="75B94001" w14:textId="77777777" w:rsidR="007844C5" w:rsidRPr="007844C5" w:rsidRDefault="007844C5" w:rsidP="00DF38EA">
            <w:r w:rsidRPr="007844C5">
              <w:t>Luxembourg</w:t>
            </w:r>
          </w:p>
        </w:tc>
        <w:tc>
          <w:tcPr>
            <w:tcW w:w="6616" w:type="dxa"/>
          </w:tcPr>
          <w:p w14:paraId="27E58AE3" w14:textId="192AE0CF" w:rsidR="007844C5" w:rsidRPr="007844C5" w:rsidRDefault="00990D67" w:rsidP="00DF38EA">
            <w:r>
              <w:t>2.41</w:t>
            </w:r>
          </w:p>
        </w:tc>
      </w:tr>
      <w:tr w:rsidR="007844C5" w:rsidRPr="007844C5" w14:paraId="7EE5D0B0" w14:textId="5E9EFE79" w:rsidTr="00E23116">
        <w:tc>
          <w:tcPr>
            <w:tcW w:w="3114" w:type="dxa"/>
          </w:tcPr>
          <w:p w14:paraId="5693CB29" w14:textId="77777777" w:rsidR="007844C5" w:rsidRPr="007844C5" w:rsidRDefault="007844C5" w:rsidP="00DF38EA">
            <w:r w:rsidRPr="007844C5">
              <w:lastRenderedPageBreak/>
              <w:t>Mexico</w:t>
            </w:r>
          </w:p>
        </w:tc>
        <w:tc>
          <w:tcPr>
            <w:tcW w:w="6616" w:type="dxa"/>
          </w:tcPr>
          <w:p w14:paraId="14955727" w14:textId="374A2A2D" w:rsidR="007844C5" w:rsidRPr="007844C5" w:rsidRDefault="00990D67" w:rsidP="00DF38EA">
            <w:r>
              <w:t>0.047</w:t>
            </w:r>
          </w:p>
        </w:tc>
      </w:tr>
      <w:tr w:rsidR="007844C5" w:rsidRPr="007844C5" w14:paraId="4C24F7E5" w14:textId="4F982E5F" w:rsidTr="00E23116">
        <w:tc>
          <w:tcPr>
            <w:tcW w:w="3114" w:type="dxa"/>
          </w:tcPr>
          <w:p w14:paraId="5183E640" w14:textId="77777777" w:rsidR="007844C5" w:rsidRPr="007844C5" w:rsidRDefault="007844C5" w:rsidP="00DF38EA">
            <w:r w:rsidRPr="007844C5">
              <w:t>Netherlands</w:t>
            </w:r>
          </w:p>
        </w:tc>
        <w:tc>
          <w:tcPr>
            <w:tcW w:w="6616" w:type="dxa"/>
          </w:tcPr>
          <w:p w14:paraId="1C37DE69" w14:textId="5FEC7A58" w:rsidR="007844C5" w:rsidRPr="007844C5" w:rsidRDefault="00990D67" w:rsidP="00DF38EA">
            <w:r>
              <w:t>2.862</w:t>
            </w:r>
          </w:p>
        </w:tc>
      </w:tr>
      <w:tr w:rsidR="007844C5" w:rsidRPr="007844C5" w14:paraId="59F61B6D" w14:textId="3BF00A3A" w:rsidTr="00E23116">
        <w:tc>
          <w:tcPr>
            <w:tcW w:w="3114" w:type="dxa"/>
          </w:tcPr>
          <w:p w14:paraId="4146F371" w14:textId="77777777" w:rsidR="007844C5" w:rsidRPr="007844C5" w:rsidRDefault="007844C5" w:rsidP="00DF38EA">
            <w:r w:rsidRPr="007844C5">
              <w:t>New Zealand</w:t>
            </w:r>
          </w:p>
        </w:tc>
        <w:tc>
          <w:tcPr>
            <w:tcW w:w="6616" w:type="dxa"/>
          </w:tcPr>
          <w:p w14:paraId="02C51A1B" w14:textId="63151E03" w:rsidR="007844C5" w:rsidRPr="007844C5" w:rsidRDefault="00990D67" w:rsidP="00DF38EA">
            <w:r>
              <w:t>2.349</w:t>
            </w:r>
          </w:p>
        </w:tc>
      </w:tr>
      <w:tr w:rsidR="007844C5" w:rsidRPr="007844C5" w14:paraId="473A0E0D" w14:textId="23559843" w:rsidTr="00E23116">
        <w:tc>
          <w:tcPr>
            <w:tcW w:w="3114" w:type="dxa"/>
          </w:tcPr>
          <w:p w14:paraId="51871B95" w14:textId="77777777" w:rsidR="007844C5" w:rsidRPr="007844C5" w:rsidRDefault="007844C5" w:rsidP="00DF38EA">
            <w:r w:rsidRPr="007844C5">
              <w:t>Norway</w:t>
            </w:r>
          </w:p>
        </w:tc>
        <w:tc>
          <w:tcPr>
            <w:tcW w:w="6616" w:type="dxa"/>
          </w:tcPr>
          <w:p w14:paraId="25BF069A" w14:textId="43D43DCA" w:rsidR="007844C5" w:rsidRPr="007844C5" w:rsidRDefault="00990D67" w:rsidP="00DF38EA">
            <w:r>
              <w:t>4.26</w:t>
            </w:r>
          </w:p>
        </w:tc>
      </w:tr>
      <w:tr w:rsidR="007844C5" w:rsidRPr="007844C5" w14:paraId="5DDD92AA" w14:textId="0CFC7E1B" w:rsidTr="00E23116">
        <w:tc>
          <w:tcPr>
            <w:tcW w:w="3114" w:type="dxa"/>
          </w:tcPr>
          <w:p w14:paraId="1939EA48" w14:textId="77777777" w:rsidR="007844C5" w:rsidRPr="007844C5" w:rsidRDefault="007844C5" w:rsidP="00DF38EA">
            <w:r w:rsidRPr="007844C5">
              <w:t>OECD – Total</w:t>
            </w:r>
          </w:p>
        </w:tc>
        <w:tc>
          <w:tcPr>
            <w:tcW w:w="6616" w:type="dxa"/>
          </w:tcPr>
          <w:p w14:paraId="4D7E87FB" w14:textId="25B070D0" w:rsidR="007844C5" w:rsidRPr="007844C5" w:rsidRDefault="00990D67" w:rsidP="00DF38EA">
            <w:r>
              <w:t>1.933</w:t>
            </w:r>
          </w:p>
        </w:tc>
      </w:tr>
      <w:tr w:rsidR="007844C5" w:rsidRPr="007844C5" w14:paraId="5DB36D4C" w14:textId="6FAD2553" w:rsidTr="00E23116">
        <w:tc>
          <w:tcPr>
            <w:tcW w:w="3114" w:type="dxa"/>
          </w:tcPr>
          <w:p w14:paraId="18505AAD" w14:textId="77777777" w:rsidR="007844C5" w:rsidRPr="007844C5" w:rsidRDefault="007844C5" w:rsidP="00DF38EA">
            <w:r w:rsidRPr="007844C5">
              <w:t>Poland</w:t>
            </w:r>
          </w:p>
        </w:tc>
        <w:tc>
          <w:tcPr>
            <w:tcW w:w="6616" w:type="dxa"/>
          </w:tcPr>
          <w:p w14:paraId="607DC794" w14:textId="7BB72CC1" w:rsidR="007844C5" w:rsidRPr="007844C5" w:rsidRDefault="00990D67" w:rsidP="00DF38EA">
            <w:r>
              <w:t>2.068</w:t>
            </w:r>
          </w:p>
        </w:tc>
      </w:tr>
      <w:tr w:rsidR="007844C5" w:rsidRPr="007844C5" w14:paraId="69595FAE" w14:textId="126D5E85" w:rsidTr="00E23116">
        <w:tc>
          <w:tcPr>
            <w:tcW w:w="3114" w:type="dxa"/>
          </w:tcPr>
          <w:p w14:paraId="4774DD44" w14:textId="77777777" w:rsidR="007844C5" w:rsidRPr="007844C5" w:rsidRDefault="007844C5" w:rsidP="00DF38EA">
            <w:r w:rsidRPr="007844C5">
              <w:t>Portugal</w:t>
            </w:r>
          </w:p>
        </w:tc>
        <w:tc>
          <w:tcPr>
            <w:tcW w:w="6616" w:type="dxa"/>
          </w:tcPr>
          <w:p w14:paraId="08CFD043" w14:textId="44ABAEDB" w:rsidR="007844C5" w:rsidRPr="007844C5" w:rsidRDefault="00990D67" w:rsidP="00DF38EA">
            <w:r>
              <w:t>1.679</w:t>
            </w:r>
          </w:p>
        </w:tc>
      </w:tr>
      <w:tr w:rsidR="007844C5" w:rsidRPr="007844C5" w14:paraId="53E8C64C" w14:textId="7B532179" w:rsidTr="00E23116">
        <w:tc>
          <w:tcPr>
            <w:tcW w:w="3114" w:type="dxa"/>
          </w:tcPr>
          <w:p w14:paraId="24B87838" w14:textId="77777777" w:rsidR="007844C5" w:rsidRPr="007844C5" w:rsidRDefault="007844C5" w:rsidP="00DF38EA">
            <w:r w:rsidRPr="007844C5">
              <w:t>Slovak Republic</w:t>
            </w:r>
          </w:p>
        </w:tc>
        <w:tc>
          <w:tcPr>
            <w:tcW w:w="6616" w:type="dxa"/>
          </w:tcPr>
          <w:p w14:paraId="3F382920" w14:textId="633F7973" w:rsidR="007844C5" w:rsidRPr="007844C5" w:rsidRDefault="00990D67" w:rsidP="00DF38EA">
            <w:r>
              <w:t>1.85</w:t>
            </w:r>
          </w:p>
        </w:tc>
      </w:tr>
      <w:tr w:rsidR="007844C5" w:rsidRPr="007844C5" w14:paraId="0386B9F6" w14:textId="3C0E8A5F" w:rsidTr="00E23116">
        <w:tc>
          <w:tcPr>
            <w:tcW w:w="3114" w:type="dxa"/>
          </w:tcPr>
          <w:p w14:paraId="240C362A" w14:textId="77777777" w:rsidR="007844C5" w:rsidRPr="007844C5" w:rsidRDefault="007844C5" w:rsidP="00DF38EA">
            <w:r w:rsidRPr="007844C5">
              <w:t>Slovenia</w:t>
            </w:r>
          </w:p>
        </w:tc>
        <w:tc>
          <w:tcPr>
            <w:tcW w:w="6616" w:type="dxa"/>
          </w:tcPr>
          <w:p w14:paraId="14DF2240" w14:textId="22FF2684" w:rsidR="007844C5" w:rsidRPr="007844C5" w:rsidRDefault="00990D67" w:rsidP="00DF38EA">
            <w:r>
              <w:t>1.809</w:t>
            </w:r>
          </w:p>
        </w:tc>
      </w:tr>
      <w:tr w:rsidR="007844C5" w:rsidRPr="007844C5" w14:paraId="17C5B9D8" w14:textId="7FCD398A" w:rsidTr="00E23116">
        <w:tc>
          <w:tcPr>
            <w:tcW w:w="3114" w:type="dxa"/>
          </w:tcPr>
          <w:p w14:paraId="6298B788" w14:textId="77777777" w:rsidR="007844C5" w:rsidRPr="007844C5" w:rsidRDefault="007844C5" w:rsidP="00DF38EA">
            <w:r w:rsidRPr="007844C5">
              <w:t>Spain</w:t>
            </w:r>
          </w:p>
        </w:tc>
        <w:tc>
          <w:tcPr>
            <w:tcW w:w="6616" w:type="dxa"/>
          </w:tcPr>
          <w:p w14:paraId="7F255851" w14:textId="01C857A8" w:rsidR="007844C5" w:rsidRPr="007844C5" w:rsidRDefault="00990D67" w:rsidP="00DF38EA">
            <w:r>
              <w:t>2.365</w:t>
            </w:r>
          </w:p>
        </w:tc>
      </w:tr>
      <w:tr w:rsidR="007844C5" w:rsidRPr="007844C5" w14:paraId="58D20217" w14:textId="0A962E59" w:rsidTr="00E23116">
        <w:tc>
          <w:tcPr>
            <w:tcW w:w="3114" w:type="dxa"/>
          </w:tcPr>
          <w:p w14:paraId="17775A5B" w14:textId="77777777" w:rsidR="007844C5" w:rsidRPr="007844C5" w:rsidRDefault="007844C5" w:rsidP="00DF38EA">
            <w:r w:rsidRPr="007844C5">
              <w:t>Sweden</w:t>
            </w:r>
          </w:p>
        </w:tc>
        <w:tc>
          <w:tcPr>
            <w:tcW w:w="6616" w:type="dxa"/>
          </w:tcPr>
          <w:p w14:paraId="3E7CC08F" w14:textId="270A7EEB" w:rsidR="007844C5" w:rsidRPr="007844C5" w:rsidRDefault="00990D67" w:rsidP="00DF38EA">
            <w:r>
              <w:t>3.514</w:t>
            </w:r>
          </w:p>
        </w:tc>
      </w:tr>
      <w:tr w:rsidR="007844C5" w:rsidRPr="007844C5" w14:paraId="2299D2D8" w14:textId="710ED4AB" w:rsidTr="00E23116">
        <w:tc>
          <w:tcPr>
            <w:tcW w:w="3114" w:type="dxa"/>
          </w:tcPr>
          <w:p w14:paraId="0BA70C91" w14:textId="77777777" w:rsidR="007844C5" w:rsidRPr="007844C5" w:rsidRDefault="007844C5" w:rsidP="00DF38EA">
            <w:r w:rsidRPr="007844C5">
              <w:t>Switzerland</w:t>
            </w:r>
          </w:p>
        </w:tc>
        <w:tc>
          <w:tcPr>
            <w:tcW w:w="6616" w:type="dxa"/>
          </w:tcPr>
          <w:p w14:paraId="61019988" w14:textId="28C0D869" w:rsidR="007844C5" w:rsidRPr="007844C5" w:rsidRDefault="00990D67" w:rsidP="00DF38EA">
            <w:r>
              <w:t>2.702</w:t>
            </w:r>
          </w:p>
        </w:tc>
      </w:tr>
      <w:tr w:rsidR="007844C5" w:rsidRPr="007844C5" w14:paraId="18D40BD1" w14:textId="6B5895E9" w:rsidTr="00E23116">
        <w:tc>
          <w:tcPr>
            <w:tcW w:w="3114" w:type="dxa"/>
          </w:tcPr>
          <w:p w14:paraId="023A7CD8" w14:textId="77777777" w:rsidR="007844C5" w:rsidRPr="007844C5" w:rsidRDefault="007844C5" w:rsidP="00DF38EA">
            <w:r w:rsidRPr="007844C5">
              <w:t>Türkiye</w:t>
            </w:r>
          </w:p>
        </w:tc>
        <w:tc>
          <w:tcPr>
            <w:tcW w:w="6616" w:type="dxa"/>
          </w:tcPr>
          <w:p w14:paraId="407C0687" w14:textId="74AE9AD1" w:rsidR="007844C5" w:rsidRPr="007844C5" w:rsidRDefault="00990D67" w:rsidP="00DF38EA">
            <w:r>
              <w:t>0.451</w:t>
            </w:r>
          </w:p>
        </w:tc>
      </w:tr>
      <w:tr w:rsidR="004135C9" w:rsidRPr="007844C5" w14:paraId="0DCAD116" w14:textId="77777777" w:rsidTr="00E23116">
        <w:tc>
          <w:tcPr>
            <w:tcW w:w="3114" w:type="dxa"/>
          </w:tcPr>
          <w:p w14:paraId="1D52C43D" w14:textId="682E354C" w:rsidR="004135C9" w:rsidRPr="007844C5" w:rsidRDefault="004135C9" w:rsidP="00DF38EA">
            <w:r>
              <w:t>United Kingdom</w:t>
            </w:r>
          </w:p>
        </w:tc>
        <w:tc>
          <w:tcPr>
            <w:tcW w:w="6616" w:type="dxa"/>
          </w:tcPr>
          <w:p w14:paraId="0B3F130F" w14:textId="5C7C06B5" w:rsidR="004135C9" w:rsidRDefault="004135C9" w:rsidP="00DF38EA">
            <w:r>
              <w:t>1.701</w:t>
            </w:r>
          </w:p>
        </w:tc>
      </w:tr>
      <w:tr w:rsidR="004135C9" w:rsidRPr="007844C5" w14:paraId="0724EA75" w14:textId="77777777" w:rsidTr="00E23116">
        <w:tc>
          <w:tcPr>
            <w:tcW w:w="3114" w:type="dxa"/>
          </w:tcPr>
          <w:p w14:paraId="4A8EAD4D" w14:textId="101E05CB" w:rsidR="004135C9" w:rsidRPr="007844C5" w:rsidRDefault="004135C9" w:rsidP="00DF38EA">
            <w:r>
              <w:t>United States</w:t>
            </w:r>
          </w:p>
        </w:tc>
        <w:tc>
          <w:tcPr>
            <w:tcW w:w="6616" w:type="dxa"/>
          </w:tcPr>
          <w:p w14:paraId="5E9B4EA5" w14:textId="4C77BB24" w:rsidR="004135C9" w:rsidRDefault="004135C9" w:rsidP="00DF38EA">
            <w:r>
              <w:t>1.014</w:t>
            </w:r>
          </w:p>
        </w:tc>
      </w:tr>
    </w:tbl>
    <w:p w14:paraId="7DB530B3" w14:textId="5993F4E6" w:rsidR="00531754" w:rsidRPr="00531754" w:rsidRDefault="00531754" w:rsidP="003B3645">
      <w:r w:rsidRPr="00531754">
        <w:t xml:space="preserve">Note: Percentage of GDP in incapacity employing the OECD method. Values may vary nominally from ABS reported values, due to slight variations in aggregation methods. </w:t>
      </w:r>
      <w:r w:rsidR="00577A43">
        <w:t xml:space="preserve">Source: OECD (2022), data series 2018. </w:t>
      </w:r>
      <w:r w:rsidRPr="00531754">
        <w:t> </w:t>
      </w:r>
    </w:p>
    <w:p w14:paraId="260B68CA" w14:textId="76BF6BE4" w:rsidR="00531754" w:rsidRPr="004135C9" w:rsidRDefault="00531754" w:rsidP="004135C9">
      <w:pPr>
        <w:pStyle w:val="Heading2"/>
        <w:rPr>
          <w:rFonts w:ascii="Avenir Book" w:hAnsi="Avenir Book"/>
        </w:rPr>
      </w:pPr>
      <w:bookmarkStart w:id="64" w:name="_Toc119966539"/>
      <w:bookmarkStart w:id="65" w:name="_Toc120266193"/>
      <w:bookmarkStart w:id="66" w:name="_Toc120266228"/>
      <w:bookmarkStart w:id="67" w:name="_Toc120266348"/>
      <w:bookmarkStart w:id="68" w:name="_Toc120268915"/>
      <w:bookmarkStart w:id="69" w:name="_Toc130942930"/>
      <w:r w:rsidRPr="00531754">
        <w:t xml:space="preserve">Trends in State and Federal Welfare </w:t>
      </w:r>
      <w:bookmarkEnd w:id="64"/>
      <w:bookmarkEnd w:id="65"/>
      <w:bookmarkEnd w:id="66"/>
      <w:bookmarkEnd w:id="67"/>
      <w:bookmarkEnd w:id="68"/>
      <w:r w:rsidRPr="00531754">
        <w:t>Investment</w:t>
      </w:r>
      <w:bookmarkEnd w:id="69"/>
    </w:p>
    <w:p w14:paraId="1EBFE367" w14:textId="77777777" w:rsidR="00531754" w:rsidRPr="00531754" w:rsidRDefault="00531754" w:rsidP="003B3645">
      <w:r w:rsidRPr="00531754">
        <w:t>Understanding trends in broad welfare expenditure inform our analysis of sector specific expenditure and Tier 2 supports. Tier 2 and 3 supports are a subset of the broader welfare expenditure funding pool. Welfare spending generally aims to improve the social and economic wellbeing of the population broadly. It is distinct from health spending in that it incorporates income support and social and economic employment-related programs and services (for example, unemployment relief and family and relationships services). </w:t>
      </w:r>
    </w:p>
    <w:p w14:paraId="4283ADFA" w14:textId="77777777" w:rsidR="00531754" w:rsidRPr="00531754" w:rsidRDefault="00531754" w:rsidP="003B3645">
      <w:r w:rsidRPr="00531754">
        <w:lastRenderedPageBreak/>
        <w:t>Both the Australian Government and the state and territory governments contribute to welfare spending, as do non-government organisations and individuals. The Australian Government primarily contributes through cash payments relating to its areas of responsibility, as defined in the Australian Constitution (which include family allowances, unemployment benefits and pensions); it also contributes to certain welfare services. The states and territories focus more on providing welfare services. </w:t>
      </w:r>
    </w:p>
    <w:p w14:paraId="74584D5F" w14:textId="2CF9E2D5" w:rsidR="00531754" w:rsidRPr="00531754" w:rsidRDefault="00531754" w:rsidP="003B3645">
      <w:r w:rsidRPr="00531754">
        <w:t>Welfare expenditures have increased significantly in recent years to nearly 200 billion dollars in 2020, up from approximately 180 billion dollars equating to a 12</w:t>
      </w:r>
      <w:r w:rsidR="00670A45">
        <w:t xml:space="preserve"> per cent</w:t>
      </w:r>
      <w:r w:rsidRPr="00531754">
        <w:t xml:space="preserve"> increase in investment since 2018. It is important to acknowledge that this increase is inconsistent with the preceding trend, whereby the rate of increase was closer to the rate of inflation. The rate of change in welfare funding between 2001 and 2020 equates to approximately 3.5</w:t>
      </w:r>
      <w:r w:rsidR="00670A45">
        <w:t xml:space="preserve"> per cent</w:t>
      </w:r>
      <w:r w:rsidRPr="00531754">
        <w:t>. The significant increase in the welfare expenditure were the economic measures enacted from March 2020 in response to the Covid 19 pandemic, rather than a structural shift in welfare policy.  </w:t>
      </w:r>
    </w:p>
    <w:p w14:paraId="78318C8B" w14:textId="226649E4" w:rsidR="00531754" w:rsidRPr="00531754" w:rsidRDefault="00531754" w:rsidP="003B3645">
      <w:r w:rsidRPr="00531754">
        <w:t>In 2019–20, the Australian and state and territory governments spent $195.7 billion on welfare. In real terms (adjusted for inflation), this represented a 12</w:t>
      </w:r>
      <w:r w:rsidR="00670A45">
        <w:t xml:space="preserve"> per cent</w:t>
      </w:r>
      <w:r w:rsidRPr="00531754">
        <w:t xml:space="preserve"> growth in spending from 2018–19 – an additional $21.5 billion. This real growth was much higher than the average growth over the period from 2001–02 to 2019–20 (3.5</w:t>
      </w:r>
      <w:r w:rsidR="00670A45">
        <w:t xml:space="preserve"> per cent</w:t>
      </w:r>
      <w:r w:rsidRPr="00531754">
        <w:t xml:space="preserve"> per annum) (AIHW, 2022). The main driver of this high growth rate in 2019–20 was the economic measures the Australian Government implemented from March 2020 in response to the coronavirus 2019 (COVID-19) pandemic (Ibid, 2022). In 2019–20, $195.7 billion was the estimated investment in welfare distributed across six target groups.</w:t>
      </w:r>
    </w:p>
    <w:p w14:paraId="1FE9A503" w14:textId="77777777" w:rsidR="00531754" w:rsidRPr="006A73C6" w:rsidRDefault="00531754" w:rsidP="006A73C6">
      <w:pPr>
        <w:rPr>
          <w:b/>
          <w:bCs/>
        </w:rPr>
      </w:pPr>
      <w:r w:rsidRPr="006A73C6">
        <w:rPr>
          <w:b/>
          <w:bCs/>
        </w:rPr>
        <w:t>Table 1</w:t>
      </w:r>
    </w:p>
    <w:p w14:paraId="616C28F2" w14:textId="77777777" w:rsidR="00531754" w:rsidRPr="006A73C6" w:rsidRDefault="00531754" w:rsidP="006A73C6">
      <w:pPr>
        <w:rPr>
          <w:b/>
          <w:bCs/>
        </w:rPr>
      </w:pPr>
      <w:r w:rsidRPr="006A73C6">
        <w:rPr>
          <w:b/>
          <w:bCs/>
        </w:rPr>
        <w:t>Distribution of welfare expenditure</w:t>
      </w:r>
    </w:p>
    <w:tbl>
      <w:tblPr>
        <w:tblStyle w:val="TableGrid"/>
        <w:tblW w:w="5000" w:type="pct"/>
        <w:tblLook w:val="04A0" w:firstRow="1" w:lastRow="0" w:firstColumn="1" w:lastColumn="0" w:noHBand="0" w:noVBand="1"/>
      </w:tblPr>
      <w:tblGrid>
        <w:gridCol w:w="3248"/>
        <w:gridCol w:w="3203"/>
        <w:gridCol w:w="3279"/>
      </w:tblGrid>
      <w:tr w:rsidR="00531754" w:rsidRPr="00531754" w14:paraId="7B7210AE" w14:textId="77777777" w:rsidTr="002424C8">
        <w:tc>
          <w:tcPr>
            <w:tcW w:w="1669" w:type="pct"/>
            <w:hideMark/>
          </w:tcPr>
          <w:p w14:paraId="0D6BC959" w14:textId="77777777" w:rsidR="00531754" w:rsidRPr="00670A45" w:rsidRDefault="00531754" w:rsidP="002424C8">
            <w:pPr>
              <w:rPr>
                <w:b/>
                <w:bCs/>
              </w:rPr>
            </w:pPr>
            <w:r w:rsidRPr="00670A45">
              <w:rPr>
                <w:b/>
                <w:bCs/>
              </w:rPr>
              <w:t>Percentage share of welfare </w:t>
            </w:r>
          </w:p>
        </w:tc>
        <w:tc>
          <w:tcPr>
            <w:tcW w:w="1646" w:type="pct"/>
            <w:hideMark/>
          </w:tcPr>
          <w:p w14:paraId="7B18115A" w14:textId="6B558F33" w:rsidR="00531754" w:rsidRPr="00670A45" w:rsidRDefault="00531754" w:rsidP="002424C8">
            <w:pPr>
              <w:rPr>
                <w:b/>
                <w:bCs/>
              </w:rPr>
            </w:pPr>
            <w:r w:rsidRPr="00670A45">
              <w:rPr>
                <w:b/>
                <w:bCs/>
              </w:rPr>
              <w:t xml:space="preserve">Monetary value of share </w:t>
            </w:r>
            <w:r w:rsidR="005345A6" w:rsidRPr="00670A45">
              <w:rPr>
                <w:b/>
                <w:bCs/>
              </w:rPr>
              <w:br/>
            </w:r>
            <w:r w:rsidRPr="00670A45">
              <w:rPr>
                <w:b/>
                <w:bCs/>
              </w:rPr>
              <w:t>(in $Billions) </w:t>
            </w:r>
          </w:p>
        </w:tc>
        <w:tc>
          <w:tcPr>
            <w:tcW w:w="1685" w:type="pct"/>
            <w:hideMark/>
          </w:tcPr>
          <w:p w14:paraId="655EA879" w14:textId="77777777" w:rsidR="00531754" w:rsidRPr="00670A45" w:rsidRDefault="00531754" w:rsidP="002424C8">
            <w:pPr>
              <w:rPr>
                <w:b/>
                <w:bCs/>
              </w:rPr>
            </w:pPr>
            <w:r w:rsidRPr="00670A45">
              <w:rPr>
                <w:b/>
                <w:bCs/>
              </w:rPr>
              <w:t>Beneficiary group </w:t>
            </w:r>
          </w:p>
        </w:tc>
      </w:tr>
      <w:tr w:rsidR="00531754" w:rsidRPr="00531754" w14:paraId="180E037F" w14:textId="77777777" w:rsidTr="002424C8">
        <w:tc>
          <w:tcPr>
            <w:tcW w:w="1669" w:type="pct"/>
            <w:hideMark/>
          </w:tcPr>
          <w:p w14:paraId="61F6E489" w14:textId="6E025099" w:rsidR="00531754" w:rsidRPr="00531754" w:rsidRDefault="00531754" w:rsidP="002424C8">
            <w:r w:rsidRPr="00531754">
              <w:t>39</w:t>
            </w:r>
            <w:r w:rsidR="00670A45">
              <w:t xml:space="preserve"> per cent</w:t>
            </w:r>
            <w:r w:rsidRPr="00531754">
              <w:t> </w:t>
            </w:r>
          </w:p>
        </w:tc>
        <w:tc>
          <w:tcPr>
            <w:tcW w:w="1646" w:type="pct"/>
            <w:hideMark/>
          </w:tcPr>
          <w:p w14:paraId="57AA4963" w14:textId="77777777" w:rsidR="00531754" w:rsidRPr="00531754" w:rsidRDefault="00531754" w:rsidP="002424C8">
            <w:r w:rsidRPr="00531754">
              <w:t>76.4 </w:t>
            </w:r>
          </w:p>
        </w:tc>
        <w:tc>
          <w:tcPr>
            <w:tcW w:w="1685" w:type="pct"/>
            <w:hideMark/>
          </w:tcPr>
          <w:p w14:paraId="3ACE5134" w14:textId="77777777" w:rsidR="00531754" w:rsidRPr="00531754" w:rsidRDefault="00531754" w:rsidP="002424C8">
            <w:r w:rsidRPr="00531754">
              <w:t>Older persons </w:t>
            </w:r>
          </w:p>
        </w:tc>
      </w:tr>
      <w:tr w:rsidR="00531754" w:rsidRPr="00531754" w14:paraId="1E760D21" w14:textId="77777777" w:rsidTr="002424C8">
        <w:tc>
          <w:tcPr>
            <w:tcW w:w="1669" w:type="pct"/>
            <w:hideMark/>
          </w:tcPr>
          <w:p w14:paraId="6CA8DD2D" w14:textId="114F7975" w:rsidR="00531754" w:rsidRPr="00531754" w:rsidRDefault="00531754" w:rsidP="002424C8">
            <w:r w:rsidRPr="00531754">
              <w:t>26</w:t>
            </w:r>
            <w:r w:rsidR="00670A45">
              <w:t xml:space="preserve"> per cent</w:t>
            </w:r>
            <w:r w:rsidRPr="00531754">
              <w:t> </w:t>
            </w:r>
          </w:p>
        </w:tc>
        <w:tc>
          <w:tcPr>
            <w:tcW w:w="1646" w:type="pct"/>
            <w:hideMark/>
          </w:tcPr>
          <w:p w14:paraId="2539F079" w14:textId="77777777" w:rsidR="00531754" w:rsidRPr="00531754" w:rsidRDefault="00531754" w:rsidP="002424C8">
            <w:r w:rsidRPr="00531754">
              <w:t>50.3 </w:t>
            </w:r>
          </w:p>
        </w:tc>
        <w:tc>
          <w:tcPr>
            <w:tcW w:w="1685" w:type="pct"/>
            <w:hideMark/>
          </w:tcPr>
          <w:p w14:paraId="3ACB25CD" w14:textId="77777777" w:rsidR="00531754" w:rsidRPr="00531754" w:rsidRDefault="00531754" w:rsidP="002424C8">
            <w:r w:rsidRPr="00531754">
              <w:t>Disability </w:t>
            </w:r>
          </w:p>
        </w:tc>
      </w:tr>
      <w:tr w:rsidR="00531754" w:rsidRPr="00531754" w14:paraId="70506859" w14:textId="77777777" w:rsidTr="002424C8">
        <w:tc>
          <w:tcPr>
            <w:tcW w:w="1669" w:type="pct"/>
            <w:hideMark/>
          </w:tcPr>
          <w:p w14:paraId="31E274CB" w14:textId="7CD5FCEA" w:rsidR="00531754" w:rsidRPr="00531754" w:rsidRDefault="00531754" w:rsidP="002424C8">
            <w:r w:rsidRPr="00531754">
              <w:t>20</w:t>
            </w:r>
            <w:r w:rsidR="00670A45">
              <w:t xml:space="preserve"> per cent</w:t>
            </w:r>
            <w:r w:rsidRPr="00531754">
              <w:t> </w:t>
            </w:r>
          </w:p>
        </w:tc>
        <w:tc>
          <w:tcPr>
            <w:tcW w:w="1646" w:type="pct"/>
            <w:hideMark/>
          </w:tcPr>
          <w:p w14:paraId="57A7665D" w14:textId="77777777" w:rsidR="00531754" w:rsidRPr="00531754" w:rsidRDefault="00531754" w:rsidP="002424C8">
            <w:r w:rsidRPr="00531754">
              <w:t>38.1 </w:t>
            </w:r>
          </w:p>
        </w:tc>
        <w:tc>
          <w:tcPr>
            <w:tcW w:w="1685" w:type="pct"/>
            <w:hideMark/>
          </w:tcPr>
          <w:p w14:paraId="4C0ED6BA" w14:textId="77777777" w:rsidR="00531754" w:rsidRPr="00531754" w:rsidRDefault="00531754" w:rsidP="002424C8">
            <w:r w:rsidRPr="00531754">
              <w:t>Families and Children </w:t>
            </w:r>
          </w:p>
        </w:tc>
      </w:tr>
      <w:tr w:rsidR="00531754" w:rsidRPr="00531754" w14:paraId="65AE5B24" w14:textId="77777777" w:rsidTr="002424C8">
        <w:tc>
          <w:tcPr>
            <w:tcW w:w="1669" w:type="pct"/>
            <w:hideMark/>
          </w:tcPr>
          <w:p w14:paraId="57C002CF" w14:textId="1D8AFB8C" w:rsidR="00531754" w:rsidRPr="00531754" w:rsidRDefault="00531754" w:rsidP="002424C8">
            <w:r w:rsidRPr="00531754">
              <w:lastRenderedPageBreak/>
              <w:t>9.5</w:t>
            </w:r>
            <w:r w:rsidR="00670A45">
              <w:t xml:space="preserve"> per cent</w:t>
            </w:r>
            <w:r w:rsidRPr="00531754">
              <w:t> </w:t>
            </w:r>
          </w:p>
        </w:tc>
        <w:tc>
          <w:tcPr>
            <w:tcW w:w="1646" w:type="pct"/>
            <w:hideMark/>
          </w:tcPr>
          <w:p w14:paraId="7C38AF5D" w14:textId="77777777" w:rsidR="00531754" w:rsidRPr="00531754" w:rsidRDefault="00531754" w:rsidP="002424C8">
            <w:r w:rsidRPr="00531754">
              <w:t>18.5 </w:t>
            </w:r>
          </w:p>
        </w:tc>
        <w:tc>
          <w:tcPr>
            <w:tcW w:w="1685" w:type="pct"/>
            <w:hideMark/>
          </w:tcPr>
          <w:p w14:paraId="25AC7FC4" w14:textId="77777777" w:rsidR="00531754" w:rsidRPr="00531754" w:rsidRDefault="00531754" w:rsidP="002424C8">
            <w:r w:rsidRPr="00531754">
              <w:t>Unemployed persons </w:t>
            </w:r>
          </w:p>
        </w:tc>
      </w:tr>
      <w:tr w:rsidR="00531754" w:rsidRPr="00531754" w14:paraId="0A0EA820" w14:textId="77777777" w:rsidTr="002424C8">
        <w:tc>
          <w:tcPr>
            <w:tcW w:w="1669" w:type="pct"/>
            <w:hideMark/>
          </w:tcPr>
          <w:p w14:paraId="6CEB6538" w14:textId="0A108CFA" w:rsidR="00531754" w:rsidRPr="00531754" w:rsidRDefault="00531754" w:rsidP="002424C8">
            <w:r w:rsidRPr="00531754">
              <w:t>6.3</w:t>
            </w:r>
            <w:r w:rsidR="00670A45">
              <w:t xml:space="preserve"> per cent</w:t>
            </w:r>
            <w:r w:rsidRPr="00531754">
              <w:t> </w:t>
            </w:r>
          </w:p>
        </w:tc>
        <w:tc>
          <w:tcPr>
            <w:tcW w:w="1646" w:type="pct"/>
            <w:hideMark/>
          </w:tcPr>
          <w:p w14:paraId="1D96F9D3" w14:textId="77777777" w:rsidR="00531754" w:rsidRPr="00531754" w:rsidRDefault="00531754" w:rsidP="002424C8">
            <w:r w:rsidRPr="00531754">
              <w:t>12.4 </w:t>
            </w:r>
          </w:p>
        </w:tc>
        <w:tc>
          <w:tcPr>
            <w:tcW w:w="1685" w:type="pct"/>
            <w:hideMark/>
          </w:tcPr>
          <w:p w14:paraId="43FADD75" w14:textId="77777777" w:rsidR="00531754" w:rsidRPr="00531754" w:rsidRDefault="00531754" w:rsidP="002424C8">
            <w:r w:rsidRPr="00531754">
              <w:t>First People groups, homeless persons, other persons not within the stated groups </w:t>
            </w:r>
          </w:p>
        </w:tc>
      </w:tr>
    </w:tbl>
    <w:p w14:paraId="18AD43AC" w14:textId="1FAB6D82" w:rsidR="00531754" w:rsidRPr="00531754" w:rsidRDefault="00531754" w:rsidP="006A73C6">
      <w:r w:rsidRPr="00531754">
        <w:t> Source: AIHW (2022)</w:t>
      </w:r>
    </w:p>
    <w:p w14:paraId="4A09DBC0" w14:textId="77777777" w:rsidR="00531754" w:rsidRPr="00531754" w:rsidRDefault="00531754" w:rsidP="006A73C6">
      <w:r w:rsidRPr="00531754">
        <w:t xml:space="preserve">The increase in welfare investment was significant but not dissimilar to the significant increase in welfare expenditure observed post the GFC. </w:t>
      </w:r>
    </w:p>
    <w:p w14:paraId="77402C6A" w14:textId="006EA8B8" w:rsidR="00531754" w:rsidRPr="00531754" w:rsidRDefault="00531754" w:rsidP="006A73C6">
      <w:r w:rsidRPr="00531754">
        <w:t>The 12</w:t>
      </w:r>
      <w:r w:rsidR="00670A45">
        <w:t xml:space="preserve"> per cent</w:t>
      </w:r>
      <w:r w:rsidRPr="00531754">
        <w:t xml:space="preserve"> increase in government welfare investment occurring between 2019–2020 is reasonably attributable to COVID specific response activities. Within the increase in disability spending, the majority went toward Tier 3 services (AIHW 2022, ABS 2022).  </w:t>
      </w:r>
    </w:p>
    <w:p w14:paraId="73F4CC46" w14:textId="77777777" w:rsidR="00531754" w:rsidRPr="00531754" w:rsidRDefault="00531754" w:rsidP="0083058C">
      <w:pPr>
        <w:pStyle w:val="ListParagraph"/>
        <w:numPr>
          <w:ilvl w:val="0"/>
          <w:numId w:val="13"/>
        </w:numPr>
      </w:pPr>
      <w:r w:rsidRPr="00531754">
        <w:t>Unemployed people (increased by $8.7 billion, largely attributable to COVID-19 response measures) </w:t>
      </w:r>
    </w:p>
    <w:p w14:paraId="114D9DAE" w14:textId="77777777" w:rsidR="00531754" w:rsidRPr="00531754" w:rsidRDefault="00531754" w:rsidP="0083058C">
      <w:pPr>
        <w:pStyle w:val="ListParagraph"/>
        <w:numPr>
          <w:ilvl w:val="0"/>
          <w:numId w:val="13"/>
        </w:numPr>
      </w:pPr>
      <w:r w:rsidRPr="00531754">
        <w:t>People living with a disability ($6.3 billion aligned with investment in Tier 3 of the NDIS) </w:t>
      </w:r>
    </w:p>
    <w:p w14:paraId="69A6E69D" w14:textId="77777777" w:rsidR="00531754" w:rsidRPr="00531754" w:rsidRDefault="00531754" w:rsidP="0083058C">
      <w:pPr>
        <w:pStyle w:val="ListParagraph"/>
        <w:numPr>
          <w:ilvl w:val="0"/>
          <w:numId w:val="13"/>
        </w:numPr>
      </w:pPr>
      <w:r w:rsidRPr="00531754">
        <w:t>Older people ($4.4 billion largely related to the Age Pension) </w:t>
      </w:r>
    </w:p>
    <w:p w14:paraId="259D209B" w14:textId="4FE70A2B" w:rsidR="00531754" w:rsidRPr="002424C8" w:rsidRDefault="00531754" w:rsidP="002424C8">
      <w:pPr>
        <w:pStyle w:val="ListParagraph"/>
        <w:numPr>
          <w:ilvl w:val="0"/>
          <w:numId w:val="13"/>
        </w:numPr>
      </w:pPr>
      <w:r w:rsidRPr="00531754">
        <w:t>Families and children ($2.2 billion largely related to Working Age Payments for parents) (Ibid, 2022). </w:t>
      </w:r>
    </w:p>
    <w:p w14:paraId="3F733950" w14:textId="77777777" w:rsidR="00531754" w:rsidRPr="00D60BC6" w:rsidRDefault="00531754" w:rsidP="00D60BC6">
      <w:pPr>
        <w:rPr>
          <w:b/>
          <w:bCs/>
        </w:rPr>
      </w:pPr>
      <w:r w:rsidRPr="00D60BC6">
        <w:rPr>
          <w:b/>
          <w:bCs/>
        </w:rPr>
        <w:t>Figure 5</w:t>
      </w:r>
    </w:p>
    <w:p w14:paraId="68F3F2BC" w14:textId="3E4F7234" w:rsidR="004135C9" w:rsidRPr="00D34B5D" w:rsidRDefault="00531754" w:rsidP="004135C9">
      <w:pPr>
        <w:rPr>
          <w:b/>
          <w:bCs/>
        </w:rPr>
      </w:pPr>
      <w:r w:rsidRPr="00D60BC6">
        <w:rPr>
          <w:b/>
          <w:bCs/>
        </w:rPr>
        <w:t>Total Expenditure on Welfare in Australia 2001 to 2020</w:t>
      </w:r>
    </w:p>
    <w:tbl>
      <w:tblPr>
        <w:tblStyle w:val="TableGrid"/>
        <w:tblW w:w="0" w:type="auto"/>
        <w:tblLook w:val="04A0" w:firstRow="1" w:lastRow="0" w:firstColumn="1" w:lastColumn="0" w:noHBand="0" w:noVBand="1"/>
        <w:tblCaption w:val="Total Expenditure on Welfare in Australia 2001 to 2020"/>
      </w:tblPr>
      <w:tblGrid>
        <w:gridCol w:w="5026"/>
        <w:gridCol w:w="4704"/>
      </w:tblGrid>
      <w:tr w:rsidR="004135C9" w:rsidRPr="0027215C" w14:paraId="4B5DD114" w14:textId="77777777" w:rsidTr="00961BAD">
        <w:tc>
          <w:tcPr>
            <w:tcW w:w="5026" w:type="dxa"/>
          </w:tcPr>
          <w:p w14:paraId="71B3F72D" w14:textId="12434A16" w:rsidR="004135C9" w:rsidRPr="00D029D6" w:rsidRDefault="004135C9" w:rsidP="00961BAD">
            <w:pPr>
              <w:rPr>
                <w:b/>
                <w:bCs/>
                <w:lang w:val="en-US"/>
              </w:rPr>
            </w:pPr>
            <w:r w:rsidRPr="00D029D6">
              <w:rPr>
                <w:b/>
                <w:bCs/>
                <w:lang w:val="en-US"/>
              </w:rPr>
              <w:t>Year</w:t>
            </w:r>
            <w:r w:rsidR="00CB2E06">
              <w:rPr>
                <w:b/>
                <w:bCs/>
                <w:lang w:val="en-US"/>
              </w:rPr>
              <w:t>s</w:t>
            </w:r>
          </w:p>
        </w:tc>
        <w:tc>
          <w:tcPr>
            <w:tcW w:w="4704" w:type="dxa"/>
          </w:tcPr>
          <w:p w14:paraId="201E743B" w14:textId="5C34066B" w:rsidR="004135C9" w:rsidRPr="00D029D6" w:rsidRDefault="00CB2E06" w:rsidP="00961BAD">
            <w:pPr>
              <w:rPr>
                <w:b/>
                <w:bCs/>
                <w:lang w:val="en-US"/>
              </w:rPr>
            </w:pPr>
            <w:r w:rsidRPr="00D60BC6">
              <w:rPr>
                <w:b/>
                <w:bCs/>
              </w:rPr>
              <w:t>Total Expenditure</w:t>
            </w:r>
            <w:r w:rsidR="00D31B53">
              <w:rPr>
                <w:b/>
                <w:bCs/>
              </w:rPr>
              <w:t xml:space="preserve"> ($ billion)</w:t>
            </w:r>
          </w:p>
        </w:tc>
      </w:tr>
      <w:tr w:rsidR="004135C9" w:rsidRPr="0027215C" w14:paraId="75A18A9C" w14:textId="77777777" w:rsidTr="00961BAD">
        <w:tc>
          <w:tcPr>
            <w:tcW w:w="5026" w:type="dxa"/>
          </w:tcPr>
          <w:p w14:paraId="692AB757" w14:textId="479B9F1D" w:rsidR="004135C9" w:rsidRPr="0027215C" w:rsidRDefault="004135C9" w:rsidP="00961BAD">
            <w:pPr>
              <w:rPr>
                <w:rFonts w:ascii="Avenir Book" w:hAnsi="Avenir Book"/>
              </w:rPr>
            </w:pPr>
            <w:r w:rsidRPr="0027215C">
              <w:rPr>
                <w:lang w:val="en-US"/>
              </w:rPr>
              <w:t>20</w:t>
            </w:r>
            <w:r w:rsidR="00554DA5">
              <w:rPr>
                <w:lang w:val="en-US"/>
              </w:rPr>
              <w:t>0</w:t>
            </w:r>
            <w:r w:rsidRPr="0027215C">
              <w:rPr>
                <w:lang w:val="en-US"/>
              </w:rPr>
              <w:t>1-02</w:t>
            </w:r>
          </w:p>
        </w:tc>
        <w:tc>
          <w:tcPr>
            <w:tcW w:w="4704" w:type="dxa"/>
          </w:tcPr>
          <w:p w14:paraId="26C884F6" w14:textId="7276530A" w:rsidR="004135C9" w:rsidRPr="0027215C" w:rsidRDefault="00D31B53" w:rsidP="00961BAD">
            <w:pPr>
              <w:rPr>
                <w:lang w:val="en-US"/>
              </w:rPr>
            </w:pPr>
            <w:r>
              <w:rPr>
                <w:lang w:val="en-US"/>
              </w:rPr>
              <w:t>106</w:t>
            </w:r>
          </w:p>
        </w:tc>
      </w:tr>
      <w:tr w:rsidR="004135C9" w:rsidRPr="0027215C" w14:paraId="6E1C934D" w14:textId="77777777" w:rsidTr="00961BAD">
        <w:tc>
          <w:tcPr>
            <w:tcW w:w="5026" w:type="dxa"/>
          </w:tcPr>
          <w:p w14:paraId="514F7A2F" w14:textId="77777777" w:rsidR="004135C9" w:rsidRPr="0027215C" w:rsidRDefault="004135C9" w:rsidP="00961BAD">
            <w:pPr>
              <w:rPr>
                <w:rFonts w:ascii="Avenir Book" w:hAnsi="Avenir Book"/>
              </w:rPr>
            </w:pPr>
            <w:r w:rsidRPr="0027215C">
              <w:rPr>
                <w:lang w:val="en-US"/>
              </w:rPr>
              <w:t>2002-03</w:t>
            </w:r>
          </w:p>
        </w:tc>
        <w:tc>
          <w:tcPr>
            <w:tcW w:w="4704" w:type="dxa"/>
          </w:tcPr>
          <w:p w14:paraId="710F2C1F" w14:textId="2460F20E" w:rsidR="004135C9" w:rsidRPr="0027215C" w:rsidRDefault="00D31B53" w:rsidP="00961BAD">
            <w:pPr>
              <w:rPr>
                <w:lang w:val="en-US"/>
              </w:rPr>
            </w:pPr>
            <w:r>
              <w:rPr>
                <w:lang w:val="en-US"/>
              </w:rPr>
              <w:t>108</w:t>
            </w:r>
          </w:p>
        </w:tc>
      </w:tr>
      <w:tr w:rsidR="004135C9" w:rsidRPr="0027215C" w14:paraId="712ED840" w14:textId="77777777" w:rsidTr="00961BAD">
        <w:tc>
          <w:tcPr>
            <w:tcW w:w="5026" w:type="dxa"/>
          </w:tcPr>
          <w:p w14:paraId="594BDC7E" w14:textId="77777777" w:rsidR="004135C9" w:rsidRPr="0027215C" w:rsidRDefault="004135C9" w:rsidP="00961BAD">
            <w:pPr>
              <w:rPr>
                <w:rFonts w:ascii="Avenir Book" w:hAnsi="Avenir Book"/>
              </w:rPr>
            </w:pPr>
            <w:r w:rsidRPr="0027215C">
              <w:rPr>
                <w:lang w:val="en-US"/>
              </w:rPr>
              <w:t>2003-04</w:t>
            </w:r>
          </w:p>
        </w:tc>
        <w:tc>
          <w:tcPr>
            <w:tcW w:w="4704" w:type="dxa"/>
          </w:tcPr>
          <w:p w14:paraId="4E56C0CA" w14:textId="76E20552" w:rsidR="004135C9" w:rsidRPr="0027215C" w:rsidRDefault="00D31B53" w:rsidP="00961BAD">
            <w:pPr>
              <w:rPr>
                <w:lang w:val="en-US"/>
              </w:rPr>
            </w:pPr>
            <w:r>
              <w:rPr>
                <w:lang w:val="en-US"/>
              </w:rPr>
              <w:t>118</w:t>
            </w:r>
          </w:p>
        </w:tc>
      </w:tr>
      <w:tr w:rsidR="004135C9" w:rsidRPr="0027215C" w14:paraId="1FC0DCBB" w14:textId="77777777" w:rsidTr="00961BAD">
        <w:tc>
          <w:tcPr>
            <w:tcW w:w="5026" w:type="dxa"/>
          </w:tcPr>
          <w:p w14:paraId="2D2B0B68" w14:textId="77777777" w:rsidR="004135C9" w:rsidRPr="0027215C" w:rsidRDefault="004135C9" w:rsidP="00961BAD">
            <w:pPr>
              <w:rPr>
                <w:rFonts w:ascii="Avenir Book" w:hAnsi="Avenir Book"/>
              </w:rPr>
            </w:pPr>
            <w:r w:rsidRPr="0027215C">
              <w:rPr>
                <w:lang w:val="en-US"/>
              </w:rPr>
              <w:t>2004-05</w:t>
            </w:r>
          </w:p>
        </w:tc>
        <w:tc>
          <w:tcPr>
            <w:tcW w:w="4704" w:type="dxa"/>
          </w:tcPr>
          <w:p w14:paraId="67616DDE" w14:textId="1E19E61F" w:rsidR="004135C9" w:rsidRPr="0027215C" w:rsidRDefault="00D31B53" w:rsidP="00961BAD">
            <w:pPr>
              <w:rPr>
                <w:lang w:val="en-US"/>
              </w:rPr>
            </w:pPr>
            <w:r>
              <w:rPr>
                <w:lang w:val="en-US"/>
              </w:rPr>
              <w:t>116</w:t>
            </w:r>
          </w:p>
        </w:tc>
      </w:tr>
      <w:tr w:rsidR="004135C9" w:rsidRPr="0027215C" w14:paraId="03792DD2" w14:textId="77777777" w:rsidTr="00961BAD">
        <w:tc>
          <w:tcPr>
            <w:tcW w:w="5026" w:type="dxa"/>
          </w:tcPr>
          <w:p w14:paraId="44E0A7CF" w14:textId="77777777" w:rsidR="004135C9" w:rsidRPr="0027215C" w:rsidRDefault="004135C9" w:rsidP="00961BAD">
            <w:pPr>
              <w:rPr>
                <w:rFonts w:ascii="Avenir Book" w:hAnsi="Avenir Book"/>
              </w:rPr>
            </w:pPr>
            <w:r w:rsidRPr="0027215C">
              <w:rPr>
                <w:lang w:val="en-US"/>
              </w:rPr>
              <w:t>2005-06</w:t>
            </w:r>
          </w:p>
        </w:tc>
        <w:tc>
          <w:tcPr>
            <w:tcW w:w="4704" w:type="dxa"/>
          </w:tcPr>
          <w:p w14:paraId="79927AAD" w14:textId="5BA46C61" w:rsidR="004135C9" w:rsidRPr="0027215C" w:rsidRDefault="00D31B53" w:rsidP="00961BAD">
            <w:pPr>
              <w:rPr>
                <w:lang w:val="en-US"/>
              </w:rPr>
            </w:pPr>
            <w:r>
              <w:rPr>
                <w:lang w:val="en-US"/>
              </w:rPr>
              <w:t>117</w:t>
            </w:r>
          </w:p>
        </w:tc>
      </w:tr>
      <w:tr w:rsidR="004135C9" w:rsidRPr="0027215C" w14:paraId="2C3AFA1C" w14:textId="77777777" w:rsidTr="00961BAD">
        <w:tc>
          <w:tcPr>
            <w:tcW w:w="5026" w:type="dxa"/>
          </w:tcPr>
          <w:p w14:paraId="5ADF8537" w14:textId="77777777" w:rsidR="004135C9" w:rsidRPr="0027215C" w:rsidRDefault="004135C9" w:rsidP="00961BAD">
            <w:pPr>
              <w:rPr>
                <w:rFonts w:ascii="Avenir Book" w:hAnsi="Avenir Book"/>
              </w:rPr>
            </w:pPr>
            <w:r w:rsidRPr="0027215C">
              <w:rPr>
                <w:lang w:val="en-US"/>
              </w:rPr>
              <w:t>2006-07</w:t>
            </w:r>
          </w:p>
        </w:tc>
        <w:tc>
          <w:tcPr>
            <w:tcW w:w="4704" w:type="dxa"/>
          </w:tcPr>
          <w:p w14:paraId="4C066419" w14:textId="4F69D6FF" w:rsidR="004135C9" w:rsidRPr="0027215C" w:rsidRDefault="00D31B53" w:rsidP="00961BAD">
            <w:pPr>
              <w:rPr>
                <w:lang w:val="en-US"/>
              </w:rPr>
            </w:pPr>
            <w:r>
              <w:rPr>
                <w:lang w:val="en-US"/>
              </w:rPr>
              <w:t>123</w:t>
            </w:r>
          </w:p>
        </w:tc>
      </w:tr>
      <w:tr w:rsidR="004135C9" w:rsidRPr="0027215C" w14:paraId="57675FF8" w14:textId="77777777" w:rsidTr="00961BAD">
        <w:tc>
          <w:tcPr>
            <w:tcW w:w="5026" w:type="dxa"/>
          </w:tcPr>
          <w:p w14:paraId="6D99D4A4" w14:textId="77777777" w:rsidR="004135C9" w:rsidRPr="0027215C" w:rsidRDefault="004135C9" w:rsidP="00961BAD">
            <w:pPr>
              <w:rPr>
                <w:rFonts w:ascii="Avenir Book" w:hAnsi="Avenir Book"/>
              </w:rPr>
            </w:pPr>
            <w:r w:rsidRPr="0027215C">
              <w:rPr>
                <w:lang w:val="en-US"/>
              </w:rPr>
              <w:lastRenderedPageBreak/>
              <w:t>2007-08</w:t>
            </w:r>
          </w:p>
        </w:tc>
        <w:tc>
          <w:tcPr>
            <w:tcW w:w="4704" w:type="dxa"/>
          </w:tcPr>
          <w:p w14:paraId="417F9AED" w14:textId="77AE84BC" w:rsidR="004135C9" w:rsidRPr="0027215C" w:rsidRDefault="00D31B53" w:rsidP="00961BAD">
            <w:pPr>
              <w:rPr>
                <w:lang w:val="en-US"/>
              </w:rPr>
            </w:pPr>
            <w:r>
              <w:rPr>
                <w:lang w:val="en-US"/>
              </w:rPr>
              <w:t>126</w:t>
            </w:r>
          </w:p>
        </w:tc>
      </w:tr>
      <w:tr w:rsidR="004135C9" w:rsidRPr="0027215C" w14:paraId="264056AE" w14:textId="77777777" w:rsidTr="00961BAD">
        <w:tc>
          <w:tcPr>
            <w:tcW w:w="5026" w:type="dxa"/>
          </w:tcPr>
          <w:p w14:paraId="33D9A02F" w14:textId="77777777" w:rsidR="004135C9" w:rsidRPr="0027215C" w:rsidRDefault="004135C9" w:rsidP="00961BAD">
            <w:pPr>
              <w:rPr>
                <w:rFonts w:ascii="Avenir Book" w:hAnsi="Avenir Book"/>
              </w:rPr>
            </w:pPr>
            <w:r w:rsidRPr="0027215C">
              <w:rPr>
                <w:lang w:val="en-US"/>
              </w:rPr>
              <w:t>2008-09</w:t>
            </w:r>
          </w:p>
        </w:tc>
        <w:tc>
          <w:tcPr>
            <w:tcW w:w="4704" w:type="dxa"/>
          </w:tcPr>
          <w:p w14:paraId="3EE304EA" w14:textId="3A8204B5" w:rsidR="004135C9" w:rsidRPr="0027215C" w:rsidRDefault="00D31B53" w:rsidP="00961BAD">
            <w:pPr>
              <w:rPr>
                <w:lang w:val="en-US"/>
              </w:rPr>
            </w:pPr>
            <w:r>
              <w:rPr>
                <w:lang w:val="en-US"/>
              </w:rPr>
              <w:t>161</w:t>
            </w:r>
          </w:p>
        </w:tc>
      </w:tr>
      <w:tr w:rsidR="004135C9" w:rsidRPr="0027215C" w14:paraId="50E577BC" w14:textId="77777777" w:rsidTr="00961BAD">
        <w:tc>
          <w:tcPr>
            <w:tcW w:w="5026" w:type="dxa"/>
          </w:tcPr>
          <w:p w14:paraId="0D4A2A9B" w14:textId="77777777" w:rsidR="004135C9" w:rsidRPr="0027215C" w:rsidRDefault="004135C9" w:rsidP="00961BAD">
            <w:pPr>
              <w:rPr>
                <w:rFonts w:ascii="Avenir Book" w:hAnsi="Avenir Book"/>
              </w:rPr>
            </w:pPr>
            <w:r w:rsidRPr="0027215C">
              <w:rPr>
                <w:lang w:val="en-US"/>
              </w:rPr>
              <w:t>2009-10</w:t>
            </w:r>
          </w:p>
        </w:tc>
        <w:tc>
          <w:tcPr>
            <w:tcW w:w="4704" w:type="dxa"/>
          </w:tcPr>
          <w:p w14:paraId="7151242B" w14:textId="3C78FC52" w:rsidR="004135C9" w:rsidRPr="0027215C" w:rsidRDefault="00D31B53" w:rsidP="00961BAD">
            <w:pPr>
              <w:rPr>
                <w:lang w:val="en-US"/>
              </w:rPr>
            </w:pPr>
            <w:r>
              <w:rPr>
                <w:lang w:val="en-US"/>
              </w:rPr>
              <w:t>135</w:t>
            </w:r>
          </w:p>
        </w:tc>
      </w:tr>
      <w:tr w:rsidR="004135C9" w:rsidRPr="0027215C" w14:paraId="6E5A347D" w14:textId="77777777" w:rsidTr="00961BAD">
        <w:tc>
          <w:tcPr>
            <w:tcW w:w="5026" w:type="dxa"/>
          </w:tcPr>
          <w:p w14:paraId="0E2F59B7" w14:textId="77777777" w:rsidR="004135C9" w:rsidRPr="0027215C" w:rsidRDefault="004135C9" w:rsidP="00961BAD">
            <w:pPr>
              <w:rPr>
                <w:rFonts w:ascii="Avenir Book" w:hAnsi="Avenir Book"/>
              </w:rPr>
            </w:pPr>
            <w:r w:rsidRPr="0027215C">
              <w:rPr>
                <w:lang w:val="en-US"/>
              </w:rPr>
              <w:t>2010-11</w:t>
            </w:r>
          </w:p>
        </w:tc>
        <w:tc>
          <w:tcPr>
            <w:tcW w:w="4704" w:type="dxa"/>
          </w:tcPr>
          <w:p w14:paraId="499182F8" w14:textId="5DDC2528" w:rsidR="004135C9" w:rsidRPr="0027215C" w:rsidRDefault="00EB3090" w:rsidP="00961BAD">
            <w:pPr>
              <w:rPr>
                <w:lang w:val="en-US"/>
              </w:rPr>
            </w:pPr>
            <w:r>
              <w:rPr>
                <w:lang w:val="en-US"/>
              </w:rPr>
              <w:t>140</w:t>
            </w:r>
          </w:p>
        </w:tc>
      </w:tr>
      <w:tr w:rsidR="004135C9" w:rsidRPr="0027215C" w14:paraId="1EC0AFB9" w14:textId="77777777" w:rsidTr="00961BAD">
        <w:tc>
          <w:tcPr>
            <w:tcW w:w="5026" w:type="dxa"/>
          </w:tcPr>
          <w:p w14:paraId="159C9BCB" w14:textId="77777777" w:rsidR="004135C9" w:rsidRPr="0027215C" w:rsidRDefault="004135C9" w:rsidP="00961BAD">
            <w:pPr>
              <w:rPr>
                <w:rFonts w:ascii="Avenir Book" w:hAnsi="Avenir Book"/>
              </w:rPr>
            </w:pPr>
            <w:r w:rsidRPr="0027215C">
              <w:rPr>
                <w:lang w:val="en-US"/>
              </w:rPr>
              <w:t>2011-12</w:t>
            </w:r>
          </w:p>
        </w:tc>
        <w:tc>
          <w:tcPr>
            <w:tcW w:w="4704" w:type="dxa"/>
          </w:tcPr>
          <w:p w14:paraId="3411824E" w14:textId="0E0C090F" w:rsidR="004135C9" w:rsidRPr="0027215C" w:rsidRDefault="00EB3090" w:rsidP="00961BAD">
            <w:pPr>
              <w:rPr>
                <w:lang w:val="en-US"/>
              </w:rPr>
            </w:pPr>
            <w:r>
              <w:rPr>
                <w:lang w:val="en-US"/>
              </w:rPr>
              <w:t>150</w:t>
            </w:r>
          </w:p>
        </w:tc>
      </w:tr>
      <w:tr w:rsidR="004135C9" w:rsidRPr="0027215C" w14:paraId="51E9B120" w14:textId="77777777" w:rsidTr="00961BAD">
        <w:tc>
          <w:tcPr>
            <w:tcW w:w="5026" w:type="dxa"/>
          </w:tcPr>
          <w:p w14:paraId="61220753" w14:textId="77777777" w:rsidR="004135C9" w:rsidRPr="0027215C" w:rsidRDefault="004135C9" w:rsidP="00961BAD">
            <w:pPr>
              <w:rPr>
                <w:rFonts w:ascii="Avenir Book" w:hAnsi="Avenir Book"/>
              </w:rPr>
            </w:pPr>
            <w:r w:rsidRPr="0027215C">
              <w:rPr>
                <w:lang w:val="en-US"/>
              </w:rPr>
              <w:t>2012-13</w:t>
            </w:r>
          </w:p>
        </w:tc>
        <w:tc>
          <w:tcPr>
            <w:tcW w:w="4704" w:type="dxa"/>
          </w:tcPr>
          <w:p w14:paraId="717FE10D" w14:textId="62DAADCC" w:rsidR="004135C9" w:rsidRPr="0027215C" w:rsidRDefault="00EB3090" w:rsidP="00961BAD">
            <w:pPr>
              <w:rPr>
                <w:lang w:val="en-US"/>
              </w:rPr>
            </w:pPr>
            <w:r>
              <w:rPr>
                <w:lang w:val="en-US"/>
              </w:rPr>
              <w:t>153</w:t>
            </w:r>
          </w:p>
        </w:tc>
      </w:tr>
      <w:tr w:rsidR="004135C9" w:rsidRPr="0027215C" w14:paraId="4091405D" w14:textId="77777777" w:rsidTr="00961BAD">
        <w:tc>
          <w:tcPr>
            <w:tcW w:w="5026" w:type="dxa"/>
          </w:tcPr>
          <w:p w14:paraId="0D3CE6C7" w14:textId="77777777" w:rsidR="004135C9" w:rsidRPr="0027215C" w:rsidRDefault="004135C9" w:rsidP="00961BAD">
            <w:pPr>
              <w:rPr>
                <w:rFonts w:ascii="Avenir Book" w:hAnsi="Avenir Book"/>
              </w:rPr>
            </w:pPr>
            <w:r w:rsidRPr="0027215C">
              <w:rPr>
                <w:lang w:val="en-US"/>
              </w:rPr>
              <w:t>2013-14</w:t>
            </w:r>
          </w:p>
        </w:tc>
        <w:tc>
          <w:tcPr>
            <w:tcW w:w="4704" w:type="dxa"/>
          </w:tcPr>
          <w:p w14:paraId="746E2513" w14:textId="27C8FBED" w:rsidR="004135C9" w:rsidRPr="0027215C" w:rsidRDefault="00EB3090" w:rsidP="00961BAD">
            <w:pPr>
              <w:rPr>
                <w:lang w:val="en-US"/>
              </w:rPr>
            </w:pPr>
            <w:r>
              <w:rPr>
                <w:lang w:val="en-US"/>
              </w:rPr>
              <w:t>156</w:t>
            </w:r>
          </w:p>
        </w:tc>
      </w:tr>
      <w:tr w:rsidR="004135C9" w:rsidRPr="0027215C" w14:paraId="34AF75A9" w14:textId="77777777" w:rsidTr="00961BAD">
        <w:tc>
          <w:tcPr>
            <w:tcW w:w="5026" w:type="dxa"/>
          </w:tcPr>
          <w:p w14:paraId="1F5F105F" w14:textId="77777777" w:rsidR="004135C9" w:rsidRPr="0027215C" w:rsidRDefault="004135C9" w:rsidP="00961BAD">
            <w:pPr>
              <w:rPr>
                <w:rFonts w:ascii="Avenir Book" w:hAnsi="Avenir Book"/>
              </w:rPr>
            </w:pPr>
            <w:r w:rsidRPr="0027215C">
              <w:rPr>
                <w:lang w:val="en-US"/>
              </w:rPr>
              <w:t>2014-15</w:t>
            </w:r>
          </w:p>
        </w:tc>
        <w:tc>
          <w:tcPr>
            <w:tcW w:w="4704" w:type="dxa"/>
          </w:tcPr>
          <w:p w14:paraId="1D03C529" w14:textId="64E3E1EF" w:rsidR="004135C9" w:rsidRPr="0027215C" w:rsidRDefault="00EB3090" w:rsidP="00961BAD">
            <w:pPr>
              <w:rPr>
                <w:lang w:val="en-US"/>
              </w:rPr>
            </w:pPr>
            <w:r>
              <w:rPr>
                <w:lang w:val="en-US"/>
              </w:rPr>
              <w:t>165</w:t>
            </w:r>
          </w:p>
        </w:tc>
      </w:tr>
      <w:tr w:rsidR="004135C9" w:rsidRPr="0027215C" w14:paraId="521CE3B5" w14:textId="77777777" w:rsidTr="00961BAD">
        <w:tc>
          <w:tcPr>
            <w:tcW w:w="5026" w:type="dxa"/>
          </w:tcPr>
          <w:p w14:paraId="4A419DF9" w14:textId="77777777" w:rsidR="004135C9" w:rsidRPr="0027215C" w:rsidRDefault="004135C9" w:rsidP="00961BAD">
            <w:pPr>
              <w:rPr>
                <w:rFonts w:ascii="Avenir Book" w:hAnsi="Avenir Book"/>
              </w:rPr>
            </w:pPr>
            <w:r w:rsidRPr="0027215C">
              <w:rPr>
                <w:lang w:val="en-US"/>
              </w:rPr>
              <w:t>2015-16</w:t>
            </w:r>
          </w:p>
        </w:tc>
        <w:tc>
          <w:tcPr>
            <w:tcW w:w="4704" w:type="dxa"/>
          </w:tcPr>
          <w:p w14:paraId="52564188" w14:textId="7BDCAD82" w:rsidR="004135C9" w:rsidRPr="0027215C" w:rsidRDefault="00EB3090" w:rsidP="00961BAD">
            <w:pPr>
              <w:rPr>
                <w:lang w:val="en-US"/>
              </w:rPr>
            </w:pPr>
            <w:r>
              <w:rPr>
                <w:lang w:val="en-US"/>
              </w:rPr>
              <w:t>168</w:t>
            </w:r>
          </w:p>
        </w:tc>
      </w:tr>
      <w:tr w:rsidR="004135C9" w:rsidRPr="0027215C" w14:paraId="22379BDB" w14:textId="77777777" w:rsidTr="00961BAD">
        <w:tc>
          <w:tcPr>
            <w:tcW w:w="5026" w:type="dxa"/>
          </w:tcPr>
          <w:p w14:paraId="395886C6" w14:textId="77777777" w:rsidR="004135C9" w:rsidRPr="0027215C" w:rsidRDefault="004135C9" w:rsidP="00961BAD">
            <w:pPr>
              <w:rPr>
                <w:rFonts w:ascii="Avenir Book" w:hAnsi="Avenir Book"/>
              </w:rPr>
            </w:pPr>
            <w:r w:rsidRPr="0027215C">
              <w:rPr>
                <w:lang w:val="en-US"/>
              </w:rPr>
              <w:t>2016-17</w:t>
            </w:r>
          </w:p>
        </w:tc>
        <w:tc>
          <w:tcPr>
            <w:tcW w:w="4704" w:type="dxa"/>
          </w:tcPr>
          <w:p w14:paraId="1437229D" w14:textId="4A550AB5" w:rsidR="004135C9" w:rsidRPr="0027215C" w:rsidRDefault="00EB3090" w:rsidP="00961BAD">
            <w:pPr>
              <w:rPr>
                <w:lang w:val="en-US"/>
              </w:rPr>
            </w:pPr>
            <w:r>
              <w:rPr>
                <w:lang w:val="en-US"/>
              </w:rPr>
              <w:t>166</w:t>
            </w:r>
          </w:p>
        </w:tc>
      </w:tr>
      <w:tr w:rsidR="004135C9" w:rsidRPr="0027215C" w14:paraId="3C792E08" w14:textId="77777777" w:rsidTr="00961BAD">
        <w:tc>
          <w:tcPr>
            <w:tcW w:w="5026" w:type="dxa"/>
          </w:tcPr>
          <w:p w14:paraId="4A62EA96" w14:textId="77777777" w:rsidR="004135C9" w:rsidRPr="0027215C" w:rsidRDefault="004135C9" w:rsidP="00961BAD">
            <w:pPr>
              <w:rPr>
                <w:rFonts w:ascii="Avenir Book" w:hAnsi="Avenir Book"/>
              </w:rPr>
            </w:pPr>
            <w:r w:rsidRPr="0027215C">
              <w:rPr>
                <w:lang w:val="en-US"/>
              </w:rPr>
              <w:t>2017-18</w:t>
            </w:r>
          </w:p>
        </w:tc>
        <w:tc>
          <w:tcPr>
            <w:tcW w:w="4704" w:type="dxa"/>
          </w:tcPr>
          <w:p w14:paraId="4FCE6803" w14:textId="1C86DEE2" w:rsidR="004135C9" w:rsidRPr="0027215C" w:rsidRDefault="00EB3090" w:rsidP="00961BAD">
            <w:pPr>
              <w:rPr>
                <w:lang w:val="en-US"/>
              </w:rPr>
            </w:pPr>
            <w:r>
              <w:rPr>
                <w:lang w:val="en-US"/>
              </w:rPr>
              <w:t>172</w:t>
            </w:r>
          </w:p>
        </w:tc>
      </w:tr>
      <w:tr w:rsidR="004135C9" w:rsidRPr="0027215C" w14:paraId="55EB882D" w14:textId="77777777" w:rsidTr="00961BAD">
        <w:tc>
          <w:tcPr>
            <w:tcW w:w="5026" w:type="dxa"/>
          </w:tcPr>
          <w:p w14:paraId="0FE7B4D0" w14:textId="77777777" w:rsidR="004135C9" w:rsidRPr="0027215C" w:rsidRDefault="004135C9" w:rsidP="00961BAD">
            <w:pPr>
              <w:rPr>
                <w:rFonts w:ascii="Avenir Book" w:hAnsi="Avenir Book"/>
              </w:rPr>
            </w:pPr>
            <w:r w:rsidRPr="0027215C">
              <w:rPr>
                <w:lang w:val="en-US"/>
              </w:rPr>
              <w:t>2018-19</w:t>
            </w:r>
          </w:p>
        </w:tc>
        <w:tc>
          <w:tcPr>
            <w:tcW w:w="4704" w:type="dxa"/>
          </w:tcPr>
          <w:p w14:paraId="4710431D" w14:textId="40B43D66" w:rsidR="004135C9" w:rsidRPr="0027215C" w:rsidRDefault="00EB3090" w:rsidP="00961BAD">
            <w:pPr>
              <w:rPr>
                <w:lang w:val="en-US"/>
              </w:rPr>
            </w:pPr>
            <w:r>
              <w:rPr>
                <w:lang w:val="en-US"/>
              </w:rPr>
              <w:t>174</w:t>
            </w:r>
          </w:p>
        </w:tc>
      </w:tr>
      <w:tr w:rsidR="004135C9" w:rsidRPr="0027215C" w14:paraId="0C74E73C" w14:textId="77777777" w:rsidTr="00961BAD">
        <w:tc>
          <w:tcPr>
            <w:tcW w:w="5026" w:type="dxa"/>
          </w:tcPr>
          <w:p w14:paraId="47D3FB9E" w14:textId="77777777" w:rsidR="004135C9" w:rsidRPr="0027215C" w:rsidRDefault="004135C9" w:rsidP="00961BAD">
            <w:pPr>
              <w:rPr>
                <w:rFonts w:ascii="Avenir Book" w:hAnsi="Avenir Book"/>
              </w:rPr>
            </w:pPr>
            <w:r w:rsidRPr="0027215C">
              <w:rPr>
                <w:lang w:val="en-US"/>
              </w:rPr>
              <w:t>2019-20</w:t>
            </w:r>
          </w:p>
        </w:tc>
        <w:tc>
          <w:tcPr>
            <w:tcW w:w="4704" w:type="dxa"/>
          </w:tcPr>
          <w:p w14:paraId="2A68AB00" w14:textId="5A97F1D4" w:rsidR="004135C9" w:rsidRPr="0027215C" w:rsidRDefault="00EB3090" w:rsidP="00961BAD">
            <w:pPr>
              <w:rPr>
                <w:lang w:val="en-US"/>
              </w:rPr>
            </w:pPr>
            <w:r>
              <w:rPr>
                <w:lang w:val="en-US"/>
              </w:rPr>
              <w:t>196</w:t>
            </w:r>
          </w:p>
        </w:tc>
      </w:tr>
    </w:tbl>
    <w:p w14:paraId="423D9ADF" w14:textId="7C5F3A54" w:rsidR="00531754" w:rsidRPr="00531754" w:rsidRDefault="00531754" w:rsidP="00D60BC6">
      <w:r w:rsidRPr="00531754">
        <w:t>Note: Increased welfare expenditures coincide with significant economic events in 2008 and 2019/2020, increases in welfare expenditure have been broadly consistent between 2001 and 2020. Source: AIHW (2022)</w:t>
      </w:r>
    </w:p>
    <w:p w14:paraId="506B42B0" w14:textId="77777777" w:rsidR="00531754" w:rsidRPr="00D60BC6" w:rsidRDefault="00531754" w:rsidP="00D60BC6">
      <w:pPr>
        <w:rPr>
          <w:b/>
          <w:bCs/>
        </w:rPr>
      </w:pPr>
      <w:r w:rsidRPr="00D60BC6">
        <w:rPr>
          <w:b/>
          <w:bCs/>
        </w:rPr>
        <w:t>Figure 6</w:t>
      </w:r>
    </w:p>
    <w:p w14:paraId="21E71DE6" w14:textId="30BEF403" w:rsidR="00531754" w:rsidRPr="00210B29" w:rsidRDefault="00531754" w:rsidP="00210B29">
      <w:pPr>
        <w:rPr>
          <w:b/>
          <w:bCs/>
        </w:rPr>
      </w:pPr>
      <w:r w:rsidRPr="00D60BC6">
        <w:rPr>
          <w:b/>
          <w:bCs/>
        </w:rPr>
        <w:t>Total Expenditure on Welfare in Australia, by spend focus group, 2001 to 2020</w:t>
      </w:r>
    </w:p>
    <w:tbl>
      <w:tblPr>
        <w:tblStyle w:val="TableGrid"/>
        <w:tblW w:w="0" w:type="auto"/>
        <w:tblLook w:val="04A0" w:firstRow="1" w:lastRow="0" w:firstColumn="1" w:lastColumn="0" w:noHBand="0" w:noVBand="1"/>
        <w:tblCaption w:val="Total Expenditure on Welfare in Australia, by spend focus group, 2001 to 2020"/>
      </w:tblPr>
      <w:tblGrid>
        <w:gridCol w:w="1116"/>
        <w:gridCol w:w="783"/>
        <w:gridCol w:w="784"/>
        <w:gridCol w:w="783"/>
        <w:gridCol w:w="783"/>
        <w:gridCol w:w="783"/>
        <w:gridCol w:w="783"/>
        <w:gridCol w:w="783"/>
        <w:gridCol w:w="783"/>
        <w:gridCol w:w="783"/>
        <w:gridCol w:w="783"/>
        <w:gridCol w:w="783"/>
      </w:tblGrid>
      <w:tr w:rsidR="00D04978" w:rsidRPr="001C0653" w14:paraId="76DAEDAE" w14:textId="77777777" w:rsidTr="001129C8">
        <w:tc>
          <w:tcPr>
            <w:tcW w:w="810" w:type="dxa"/>
          </w:tcPr>
          <w:p w14:paraId="1E40079B" w14:textId="1B0AA4D9" w:rsidR="001129C8" w:rsidRPr="00210B29" w:rsidRDefault="001C0653" w:rsidP="001C0653">
            <w:pPr>
              <w:rPr>
                <w:b/>
                <w:bCs/>
                <w:sz w:val="16"/>
                <w:szCs w:val="16"/>
              </w:rPr>
            </w:pPr>
            <w:r w:rsidRPr="00210B29">
              <w:rPr>
                <w:b/>
                <w:bCs/>
                <w:sz w:val="16"/>
                <w:szCs w:val="16"/>
              </w:rPr>
              <w:t>Focus group</w:t>
            </w:r>
          </w:p>
        </w:tc>
        <w:tc>
          <w:tcPr>
            <w:tcW w:w="810" w:type="dxa"/>
          </w:tcPr>
          <w:p w14:paraId="19707963" w14:textId="4422754F" w:rsidR="001129C8" w:rsidRPr="00210B29" w:rsidRDefault="001C0653" w:rsidP="001C0653">
            <w:pPr>
              <w:rPr>
                <w:b/>
                <w:bCs/>
                <w:sz w:val="16"/>
                <w:szCs w:val="16"/>
              </w:rPr>
            </w:pPr>
            <w:r w:rsidRPr="00210B29">
              <w:rPr>
                <w:b/>
                <w:bCs/>
                <w:sz w:val="16"/>
                <w:szCs w:val="16"/>
              </w:rPr>
              <w:t>2009-10</w:t>
            </w:r>
          </w:p>
        </w:tc>
        <w:tc>
          <w:tcPr>
            <w:tcW w:w="811" w:type="dxa"/>
          </w:tcPr>
          <w:p w14:paraId="0AED87A9" w14:textId="10852C55" w:rsidR="001129C8" w:rsidRPr="00210B29" w:rsidRDefault="001C0653" w:rsidP="001C0653">
            <w:pPr>
              <w:rPr>
                <w:b/>
                <w:bCs/>
                <w:sz w:val="16"/>
                <w:szCs w:val="16"/>
              </w:rPr>
            </w:pPr>
            <w:r w:rsidRPr="00210B29">
              <w:rPr>
                <w:b/>
                <w:bCs/>
                <w:sz w:val="16"/>
                <w:szCs w:val="16"/>
              </w:rPr>
              <w:t>2010-11</w:t>
            </w:r>
          </w:p>
        </w:tc>
        <w:tc>
          <w:tcPr>
            <w:tcW w:w="811" w:type="dxa"/>
          </w:tcPr>
          <w:p w14:paraId="557A16D1" w14:textId="3B325B20" w:rsidR="001129C8" w:rsidRPr="00210B29" w:rsidRDefault="001C0653" w:rsidP="001C0653">
            <w:pPr>
              <w:rPr>
                <w:b/>
                <w:bCs/>
                <w:sz w:val="16"/>
                <w:szCs w:val="16"/>
              </w:rPr>
            </w:pPr>
            <w:r w:rsidRPr="00210B29">
              <w:rPr>
                <w:b/>
                <w:bCs/>
                <w:sz w:val="16"/>
                <w:szCs w:val="16"/>
              </w:rPr>
              <w:t>2011-12</w:t>
            </w:r>
          </w:p>
        </w:tc>
        <w:tc>
          <w:tcPr>
            <w:tcW w:w="811" w:type="dxa"/>
          </w:tcPr>
          <w:p w14:paraId="47CA2126" w14:textId="6B21674F" w:rsidR="001129C8" w:rsidRPr="00210B29" w:rsidRDefault="001C0653" w:rsidP="001C0653">
            <w:pPr>
              <w:rPr>
                <w:b/>
                <w:bCs/>
                <w:sz w:val="16"/>
                <w:szCs w:val="16"/>
              </w:rPr>
            </w:pPr>
            <w:r w:rsidRPr="00210B29">
              <w:rPr>
                <w:b/>
                <w:bCs/>
                <w:sz w:val="16"/>
                <w:szCs w:val="16"/>
              </w:rPr>
              <w:t>2012-13</w:t>
            </w:r>
          </w:p>
        </w:tc>
        <w:tc>
          <w:tcPr>
            <w:tcW w:w="811" w:type="dxa"/>
          </w:tcPr>
          <w:p w14:paraId="306684C0" w14:textId="367BBC3D" w:rsidR="001129C8" w:rsidRPr="00210B29" w:rsidRDefault="001C0653" w:rsidP="001C0653">
            <w:pPr>
              <w:rPr>
                <w:b/>
                <w:bCs/>
                <w:sz w:val="16"/>
                <w:szCs w:val="16"/>
              </w:rPr>
            </w:pPr>
            <w:r w:rsidRPr="00210B29">
              <w:rPr>
                <w:b/>
                <w:bCs/>
                <w:sz w:val="16"/>
                <w:szCs w:val="16"/>
              </w:rPr>
              <w:t>2013-14</w:t>
            </w:r>
          </w:p>
        </w:tc>
        <w:tc>
          <w:tcPr>
            <w:tcW w:w="811" w:type="dxa"/>
          </w:tcPr>
          <w:p w14:paraId="67FF7A56" w14:textId="49A9CF8F" w:rsidR="001129C8" w:rsidRPr="00210B29" w:rsidRDefault="001C0653" w:rsidP="001C0653">
            <w:pPr>
              <w:rPr>
                <w:b/>
                <w:bCs/>
                <w:sz w:val="16"/>
                <w:szCs w:val="16"/>
              </w:rPr>
            </w:pPr>
            <w:r w:rsidRPr="00210B29">
              <w:rPr>
                <w:b/>
                <w:bCs/>
                <w:sz w:val="16"/>
                <w:szCs w:val="16"/>
              </w:rPr>
              <w:t>2014-15</w:t>
            </w:r>
          </w:p>
        </w:tc>
        <w:tc>
          <w:tcPr>
            <w:tcW w:w="811" w:type="dxa"/>
          </w:tcPr>
          <w:p w14:paraId="4F05251C" w14:textId="76DCBAF7" w:rsidR="001129C8" w:rsidRPr="00210B29" w:rsidRDefault="001C0653" w:rsidP="001C0653">
            <w:pPr>
              <w:rPr>
                <w:b/>
                <w:bCs/>
                <w:sz w:val="16"/>
                <w:szCs w:val="16"/>
              </w:rPr>
            </w:pPr>
            <w:r w:rsidRPr="00210B29">
              <w:rPr>
                <w:b/>
                <w:bCs/>
                <w:sz w:val="16"/>
                <w:szCs w:val="16"/>
              </w:rPr>
              <w:t>2015-16</w:t>
            </w:r>
          </w:p>
        </w:tc>
        <w:tc>
          <w:tcPr>
            <w:tcW w:w="811" w:type="dxa"/>
          </w:tcPr>
          <w:p w14:paraId="136D8448" w14:textId="1E3CF3E3" w:rsidR="001129C8" w:rsidRPr="00210B29" w:rsidRDefault="001C0653" w:rsidP="001C0653">
            <w:pPr>
              <w:rPr>
                <w:b/>
                <w:bCs/>
                <w:sz w:val="16"/>
                <w:szCs w:val="16"/>
              </w:rPr>
            </w:pPr>
            <w:r w:rsidRPr="00210B29">
              <w:rPr>
                <w:b/>
                <w:bCs/>
                <w:sz w:val="16"/>
                <w:szCs w:val="16"/>
              </w:rPr>
              <w:t>2016-17</w:t>
            </w:r>
          </w:p>
        </w:tc>
        <w:tc>
          <w:tcPr>
            <w:tcW w:w="811" w:type="dxa"/>
          </w:tcPr>
          <w:p w14:paraId="6B788137" w14:textId="10B64B5C" w:rsidR="001129C8" w:rsidRPr="00210B29" w:rsidRDefault="001C0653" w:rsidP="001C0653">
            <w:pPr>
              <w:rPr>
                <w:b/>
                <w:bCs/>
                <w:sz w:val="16"/>
                <w:szCs w:val="16"/>
              </w:rPr>
            </w:pPr>
            <w:r w:rsidRPr="00210B29">
              <w:rPr>
                <w:b/>
                <w:bCs/>
                <w:sz w:val="16"/>
                <w:szCs w:val="16"/>
              </w:rPr>
              <w:t>2017-18</w:t>
            </w:r>
          </w:p>
        </w:tc>
        <w:tc>
          <w:tcPr>
            <w:tcW w:w="811" w:type="dxa"/>
          </w:tcPr>
          <w:p w14:paraId="09020AA1" w14:textId="36284117" w:rsidR="001129C8" w:rsidRPr="00210B29" w:rsidRDefault="001C0653" w:rsidP="001C0653">
            <w:pPr>
              <w:rPr>
                <w:b/>
                <w:bCs/>
                <w:sz w:val="16"/>
                <w:szCs w:val="16"/>
              </w:rPr>
            </w:pPr>
            <w:r w:rsidRPr="00210B29">
              <w:rPr>
                <w:b/>
                <w:bCs/>
                <w:sz w:val="16"/>
                <w:szCs w:val="16"/>
              </w:rPr>
              <w:t>2018-19</w:t>
            </w:r>
          </w:p>
        </w:tc>
        <w:tc>
          <w:tcPr>
            <w:tcW w:w="811" w:type="dxa"/>
          </w:tcPr>
          <w:p w14:paraId="2E5E687A" w14:textId="2AAF6914" w:rsidR="001129C8" w:rsidRPr="00210B29" w:rsidRDefault="001C0653" w:rsidP="001C0653">
            <w:pPr>
              <w:rPr>
                <w:b/>
                <w:bCs/>
                <w:sz w:val="16"/>
                <w:szCs w:val="16"/>
              </w:rPr>
            </w:pPr>
            <w:r w:rsidRPr="00210B29">
              <w:rPr>
                <w:b/>
                <w:bCs/>
                <w:sz w:val="16"/>
                <w:szCs w:val="16"/>
              </w:rPr>
              <w:t>2019-20</w:t>
            </w:r>
          </w:p>
        </w:tc>
      </w:tr>
      <w:tr w:rsidR="00D04978" w:rsidRPr="001C0653" w14:paraId="304D1015" w14:textId="77777777" w:rsidTr="001129C8">
        <w:tc>
          <w:tcPr>
            <w:tcW w:w="810" w:type="dxa"/>
          </w:tcPr>
          <w:p w14:paraId="47DD127D" w14:textId="148F8CA4" w:rsidR="001129C8" w:rsidRPr="001C0653" w:rsidRDefault="001C0653" w:rsidP="001C0653">
            <w:pPr>
              <w:rPr>
                <w:sz w:val="16"/>
                <w:szCs w:val="16"/>
              </w:rPr>
            </w:pPr>
            <w:r>
              <w:rPr>
                <w:sz w:val="16"/>
                <w:szCs w:val="16"/>
              </w:rPr>
              <w:t>Families and Children</w:t>
            </w:r>
          </w:p>
        </w:tc>
        <w:tc>
          <w:tcPr>
            <w:tcW w:w="810" w:type="dxa"/>
          </w:tcPr>
          <w:p w14:paraId="071B1D01" w14:textId="5794A92B" w:rsidR="001129C8" w:rsidRPr="001C0653" w:rsidRDefault="00292783" w:rsidP="001C0653">
            <w:pPr>
              <w:rPr>
                <w:sz w:val="16"/>
                <w:szCs w:val="16"/>
              </w:rPr>
            </w:pPr>
            <w:r>
              <w:rPr>
                <w:sz w:val="16"/>
                <w:szCs w:val="16"/>
              </w:rPr>
              <w:t>39.40</w:t>
            </w:r>
          </w:p>
        </w:tc>
        <w:tc>
          <w:tcPr>
            <w:tcW w:w="811" w:type="dxa"/>
          </w:tcPr>
          <w:p w14:paraId="36346FCD" w14:textId="0D49D624" w:rsidR="001129C8" w:rsidRPr="001C0653" w:rsidRDefault="00292783" w:rsidP="001C0653">
            <w:pPr>
              <w:rPr>
                <w:sz w:val="16"/>
                <w:szCs w:val="16"/>
              </w:rPr>
            </w:pPr>
            <w:r>
              <w:rPr>
                <w:sz w:val="16"/>
                <w:szCs w:val="16"/>
              </w:rPr>
              <w:t>39.70</w:t>
            </w:r>
          </w:p>
        </w:tc>
        <w:tc>
          <w:tcPr>
            <w:tcW w:w="811" w:type="dxa"/>
          </w:tcPr>
          <w:p w14:paraId="14B1ED68" w14:textId="20ADC740" w:rsidR="001129C8" w:rsidRPr="001C0653" w:rsidRDefault="00292783" w:rsidP="001C0653">
            <w:pPr>
              <w:rPr>
                <w:sz w:val="16"/>
                <w:szCs w:val="16"/>
              </w:rPr>
            </w:pPr>
            <w:r>
              <w:rPr>
                <w:sz w:val="16"/>
                <w:szCs w:val="16"/>
              </w:rPr>
              <w:t>40.00</w:t>
            </w:r>
          </w:p>
        </w:tc>
        <w:tc>
          <w:tcPr>
            <w:tcW w:w="811" w:type="dxa"/>
          </w:tcPr>
          <w:p w14:paraId="08ED71C5" w14:textId="0E0245E0" w:rsidR="001129C8" w:rsidRPr="001C0653" w:rsidRDefault="00292783" w:rsidP="001C0653">
            <w:pPr>
              <w:rPr>
                <w:sz w:val="16"/>
                <w:szCs w:val="16"/>
              </w:rPr>
            </w:pPr>
            <w:r>
              <w:rPr>
                <w:sz w:val="16"/>
                <w:szCs w:val="16"/>
              </w:rPr>
              <w:t>39.80</w:t>
            </w:r>
          </w:p>
        </w:tc>
        <w:tc>
          <w:tcPr>
            <w:tcW w:w="811" w:type="dxa"/>
          </w:tcPr>
          <w:p w14:paraId="183254E1" w14:textId="6DBD8182" w:rsidR="001129C8" w:rsidRPr="001C0653" w:rsidRDefault="00563871" w:rsidP="001C0653">
            <w:pPr>
              <w:rPr>
                <w:sz w:val="16"/>
                <w:szCs w:val="16"/>
              </w:rPr>
            </w:pPr>
            <w:r>
              <w:rPr>
                <w:sz w:val="16"/>
                <w:szCs w:val="16"/>
              </w:rPr>
              <w:t>39.60</w:t>
            </w:r>
          </w:p>
        </w:tc>
        <w:tc>
          <w:tcPr>
            <w:tcW w:w="811" w:type="dxa"/>
          </w:tcPr>
          <w:p w14:paraId="5DEF0C0F" w14:textId="4D0774E5" w:rsidR="001129C8" w:rsidRPr="001C0653" w:rsidRDefault="00563871" w:rsidP="001C0653">
            <w:pPr>
              <w:rPr>
                <w:sz w:val="16"/>
                <w:szCs w:val="16"/>
              </w:rPr>
            </w:pPr>
            <w:r>
              <w:rPr>
                <w:sz w:val="16"/>
                <w:szCs w:val="16"/>
              </w:rPr>
              <w:t>40.90</w:t>
            </w:r>
          </w:p>
        </w:tc>
        <w:tc>
          <w:tcPr>
            <w:tcW w:w="811" w:type="dxa"/>
          </w:tcPr>
          <w:p w14:paraId="36AE90DD" w14:textId="117923F6" w:rsidR="001129C8" w:rsidRPr="001C0653" w:rsidRDefault="00563871" w:rsidP="001C0653">
            <w:pPr>
              <w:rPr>
                <w:sz w:val="16"/>
                <w:szCs w:val="16"/>
              </w:rPr>
            </w:pPr>
            <w:r>
              <w:rPr>
                <w:sz w:val="16"/>
                <w:szCs w:val="16"/>
              </w:rPr>
              <w:t>41.00</w:t>
            </w:r>
          </w:p>
        </w:tc>
        <w:tc>
          <w:tcPr>
            <w:tcW w:w="811" w:type="dxa"/>
          </w:tcPr>
          <w:p w14:paraId="61F839F6" w14:textId="1DE3447C" w:rsidR="001129C8" w:rsidRPr="001C0653" w:rsidRDefault="00563871" w:rsidP="001C0653">
            <w:pPr>
              <w:rPr>
                <w:sz w:val="16"/>
                <w:szCs w:val="16"/>
              </w:rPr>
            </w:pPr>
            <w:r>
              <w:rPr>
                <w:sz w:val="16"/>
                <w:szCs w:val="16"/>
              </w:rPr>
              <w:t>37.30</w:t>
            </w:r>
          </w:p>
        </w:tc>
        <w:tc>
          <w:tcPr>
            <w:tcW w:w="811" w:type="dxa"/>
          </w:tcPr>
          <w:p w14:paraId="0AD47DBE" w14:textId="4EAEC8C9" w:rsidR="001129C8" w:rsidRPr="001C0653" w:rsidRDefault="00563871" w:rsidP="001C0653">
            <w:pPr>
              <w:rPr>
                <w:sz w:val="16"/>
                <w:szCs w:val="16"/>
              </w:rPr>
            </w:pPr>
            <w:r>
              <w:rPr>
                <w:sz w:val="16"/>
                <w:szCs w:val="16"/>
              </w:rPr>
              <w:t>37.00</w:t>
            </w:r>
          </w:p>
        </w:tc>
        <w:tc>
          <w:tcPr>
            <w:tcW w:w="811" w:type="dxa"/>
          </w:tcPr>
          <w:p w14:paraId="14E8A0AB" w14:textId="0CA28312" w:rsidR="001129C8" w:rsidRPr="001C0653" w:rsidRDefault="000D05B6" w:rsidP="001C0653">
            <w:pPr>
              <w:rPr>
                <w:sz w:val="16"/>
                <w:szCs w:val="16"/>
              </w:rPr>
            </w:pPr>
            <w:r>
              <w:rPr>
                <w:sz w:val="16"/>
                <w:szCs w:val="16"/>
              </w:rPr>
              <w:t>35.90</w:t>
            </w:r>
          </w:p>
        </w:tc>
        <w:tc>
          <w:tcPr>
            <w:tcW w:w="811" w:type="dxa"/>
          </w:tcPr>
          <w:p w14:paraId="3B686DE7" w14:textId="352EA7C5" w:rsidR="001129C8" w:rsidRPr="001C0653" w:rsidRDefault="000D05B6" w:rsidP="001C0653">
            <w:pPr>
              <w:rPr>
                <w:sz w:val="16"/>
                <w:szCs w:val="16"/>
              </w:rPr>
            </w:pPr>
            <w:r>
              <w:rPr>
                <w:sz w:val="16"/>
                <w:szCs w:val="16"/>
              </w:rPr>
              <w:t>38.10</w:t>
            </w:r>
          </w:p>
        </w:tc>
      </w:tr>
      <w:tr w:rsidR="00D04978" w:rsidRPr="001C0653" w14:paraId="63123B5D" w14:textId="77777777" w:rsidTr="001129C8">
        <w:tc>
          <w:tcPr>
            <w:tcW w:w="810" w:type="dxa"/>
          </w:tcPr>
          <w:p w14:paraId="176ED551" w14:textId="03CB1A90" w:rsidR="001129C8" w:rsidRPr="001C0653" w:rsidRDefault="001C0653" w:rsidP="001C0653">
            <w:pPr>
              <w:rPr>
                <w:sz w:val="16"/>
                <w:szCs w:val="16"/>
              </w:rPr>
            </w:pPr>
            <w:r>
              <w:rPr>
                <w:sz w:val="16"/>
                <w:szCs w:val="16"/>
              </w:rPr>
              <w:t>Older people</w:t>
            </w:r>
          </w:p>
        </w:tc>
        <w:tc>
          <w:tcPr>
            <w:tcW w:w="810" w:type="dxa"/>
          </w:tcPr>
          <w:p w14:paraId="11FA362E" w14:textId="746310DC" w:rsidR="001129C8" w:rsidRPr="001C0653" w:rsidRDefault="00D76631" w:rsidP="001C0653">
            <w:pPr>
              <w:rPr>
                <w:sz w:val="16"/>
                <w:szCs w:val="16"/>
              </w:rPr>
            </w:pPr>
            <w:r>
              <w:rPr>
                <w:sz w:val="16"/>
                <w:szCs w:val="16"/>
              </w:rPr>
              <w:t>52.30</w:t>
            </w:r>
          </w:p>
        </w:tc>
        <w:tc>
          <w:tcPr>
            <w:tcW w:w="811" w:type="dxa"/>
          </w:tcPr>
          <w:p w14:paraId="46FD4D90" w14:textId="7E406777" w:rsidR="001129C8" w:rsidRPr="001C0653" w:rsidRDefault="00D76631" w:rsidP="001C0653">
            <w:pPr>
              <w:rPr>
                <w:sz w:val="16"/>
                <w:szCs w:val="16"/>
              </w:rPr>
            </w:pPr>
            <w:r>
              <w:rPr>
                <w:sz w:val="16"/>
                <w:szCs w:val="16"/>
              </w:rPr>
              <w:t>55</w:t>
            </w:r>
            <w:r w:rsidR="000A2E8F">
              <w:rPr>
                <w:sz w:val="16"/>
                <w:szCs w:val="16"/>
              </w:rPr>
              <w:t>.30</w:t>
            </w:r>
          </w:p>
        </w:tc>
        <w:tc>
          <w:tcPr>
            <w:tcW w:w="811" w:type="dxa"/>
          </w:tcPr>
          <w:p w14:paraId="7E9578C2" w14:textId="3D2AB7D8" w:rsidR="001129C8" w:rsidRPr="001C0653" w:rsidRDefault="000A2E8F" w:rsidP="001C0653">
            <w:pPr>
              <w:rPr>
                <w:sz w:val="16"/>
                <w:szCs w:val="16"/>
              </w:rPr>
            </w:pPr>
            <w:r>
              <w:rPr>
                <w:sz w:val="16"/>
                <w:szCs w:val="16"/>
              </w:rPr>
              <w:t>59.00</w:t>
            </w:r>
          </w:p>
        </w:tc>
        <w:tc>
          <w:tcPr>
            <w:tcW w:w="811" w:type="dxa"/>
          </w:tcPr>
          <w:p w14:paraId="47469673" w14:textId="130A9C19" w:rsidR="001129C8" w:rsidRPr="001C0653" w:rsidRDefault="000A2E8F" w:rsidP="001C0653">
            <w:pPr>
              <w:rPr>
                <w:sz w:val="16"/>
                <w:szCs w:val="16"/>
              </w:rPr>
            </w:pPr>
            <w:r>
              <w:rPr>
                <w:sz w:val="16"/>
                <w:szCs w:val="16"/>
              </w:rPr>
              <w:t>61.60</w:t>
            </w:r>
          </w:p>
        </w:tc>
        <w:tc>
          <w:tcPr>
            <w:tcW w:w="811" w:type="dxa"/>
          </w:tcPr>
          <w:p w14:paraId="7A0689DF" w14:textId="565CA9CA" w:rsidR="001129C8" w:rsidRPr="001C0653" w:rsidRDefault="000A2E8F" w:rsidP="001C0653">
            <w:pPr>
              <w:rPr>
                <w:sz w:val="16"/>
                <w:szCs w:val="16"/>
              </w:rPr>
            </w:pPr>
            <w:r>
              <w:rPr>
                <w:sz w:val="16"/>
                <w:szCs w:val="16"/>
              </w:rPr>
              <w:t>60.90</w:t>
            </w:r>
          </w:p>
        </w:tc>
        <w:tc>
          <w:tcPr>
            <w:tcW w:w="811" w:type="dxa"/>
          </w:tcPr>
          <w:p w14:paraId="67E436E1" w14:textId="2A399AE9" w:rsidR="001129C8" w:rsidRPr="001C0653" w:rsidRDefault="000A2E8F" w:rsidP="001C0653">
            <w:pPr>
              <w:rPr>
                <w:sz w:val="16"/>
                <w:szCs w:val="16"/>
              </w:rPr>
            </w:pPr>
            <w:r>
              <w:rPr>
                <w:sz w:val="16"/>
                <w:szCs w:val="16"/>
              </w:rPr>
              <w:t>66.90</w:t>
            </w:r>
          </w:p>
        </w:tc>
        <w:tc>
          <w:tcPr>
            <w:tcW w:w="811" w:type="dxa"/>
          </w:tcPr>
          <w:p w14:paraId="391A5425" w14:textId="598F6AF4" w:rsidR="001129C8" w:rsidRPr="001C0653" w:rsidRDefault="000A2E8F" w:rsidP="001C0653">
            <w:pPr>
              <w:rPr>
                <w:sz w:val="16"/>
                <w:szCs w:val="16"/>
              </w:rPr>
            </w:pPr>
            <w:r>
              <w:rPr>
                <w:sz w:val="16"/>
                <w:szCs w:val="16"/>
              </w:rPr>
              <w:t>68.40</w:t>
            </w:r>
          </w:p>
        </w:tc>
        <w:tc>
          <w:tcPr>
            <w:tcW w:w="811" w:type="dxa"/>
          </w:tcPr>
          <w:p w14:paraId="421AD354" w14:textId="5DA7CD98" w:rsidR="001129C8" w:rsidRPr="001C0653" w:rsidRDefault="000A2E8F" w:rsidP="001C0653">
            <w:pPr>
              <w:rPr>
                <w:sz w:val="16"/>
                <w:szCs w:val="16"/>
              </w:rPr>
            </w:pPr>
            <w:r>
              <w:rPr>
                <w:sz w:val="16"/>
                <w:szCs w:val="16"/>
              </w:rPr>
              <w:t>68.90</w:t>
            </w:r>
          </w:p>
        </w:tc>
        <w:tc>
          <w:tcPr>
            <w:tcW w:w="811" w:type="dxa"/>
          </w:tcPr>
          <w:p w14:paraId="1A2A06B9" w14:textId="1C41AA29" w:rsidR="001129C8" w:rsidRPr="001C0653" w:rsidRDefault="000A2E8F" w:rsidP="001C0653">
            <w:pPr>
              <w:rPr>
                <w:sz w:val="16"/>
                <w:szCs w:val="16"/>
              </w:rPr>
            </w:pPr>
            <w:r>
              <w:rPr>
                <w:sz w:val="16"/>
                <w:szCs w:val="16"/>
              </w:rPr>
              <w:t>70.00</w:t>
            </w:r>
          </w:p>
        </w:tc>
        <w:tc>
          <w:tcPr>
            <w:tcW w:w="811" w:type="dxa"/>
          </w:tcPr>
          <w:p w14:paraId="5950AC71" w14:textId="649AC0DA" w:rsidR="001129C8" w:rsidRPr="001C0653" w:rsidRDefault="000A2E8F" w:rsidP="001C0653">
            <w:pPr>
              <w:rPr>
                <w:sz w:val="16"/>
                <w:szCs w:val="16"/>
              </w:rPr>
            </w:pPr>
            <w:r>
              <w:rPr>
                <w:sz w:val="16"/>
                <w:szCs w:val="16"/>
              </w:rPr>
              <w:t>71.90</w:t>
            </w:r>
          </w:p>
        </w:tc>
        <w:tc>
          <w:tcPr>
            <w:tcW w:w="811" w:type="dxa"/>
          </w:tcPr>
          <w:p w14:paraId="06F43E9A" w14:textId="024D3E54" w:rsidR="001129C8" w:rsidRPr="001C0653" w:rsidRDefault="000A2E8F" w:rsidP="001C0653">
            <w:pPr>
              <w:rPr>
                <w:sz w:val="16"/>
                <w:szCs w:val="16"/>
              </w:rPr>
            </w:pPr>
            <w:r>
              <w:rPr>
                <w:sz w:val="16"/>
                <w:szCs w:val="16"/>
              </w:rPr>
              <w:t>76.40</w:t>
            </w:r>
          </w:p>
        </w:tc>
      </w:tr>
      <w:tr w:rsidR="00D04978" w:rsidRPr="001C0653" w14:paraId="2895F790" w14:textId="77777777" w:rsidTr="001129C8">
        <w:tc>
          <w:tcPr>
            <w:tcW w:w="810" w:type="dxa"/>
          </w:tcPr>
          <w:p w14:paraId="4D7C3913" w14:textId="0497D1DF" w:rsidR="001129C8" w:rsidRPr="001C0653" w:rsidRDefault="001C0653" w:rsidP="001C0653">
            <w:pPr>
              <w:rPr>
                <w:sz w:val="16"/>
                <w:szCs w:val="16"/>
              </w:rPr>
            </w:pPr>
            <w:r>
              <w:rPr>
                <w:sz w:val="16"/>
                <w:szCs w:val="16"/>
              </w:rPr>
              <w:t>Other groups</w:t>
            </w:r>
          </w:p>
        </w:tc>
        <w:tc>
          <w:tcPr>
            <w:tcW w:w="810" w:type="dxa"/>
          </w:tcPr>
          <w:p w14:paraId="31A66306" w14:textId="3789F950" w:rsidR="001129C8" w:rsidRPr="001C0653" w:rsidRDefault="005C0121" w:rsidP="001C0653">
            <w:pPr>
              <w:rPr>
                <w:sz w:val="16"/>
                <w:szCs w:val="16"/>
              </w:rPr>
            </w:pPr>
            <w:r>
              <w:rPr>
                <w:sz w:val="16"/>
                <w:szCs w:val="16"/>
              </w:rPr>
              <w:t>6.20</w:t>
            </w:r>
          </w:p>
        </w:tc>
        <w:tc>
          <w:tcPr>
            <w:tcW w:w="811" w:type="dxa"/>
          </w:tcPr>
          <w:p w14:paraId="57319DD7" w14:textId="7823F959" w:rsidR="001129C8" w:rsidRPr="001C0653" w:rsidRDefault="00CA686C" w:rsidP="001C0653">
            <w:pPr>
              <w:rPr>
                <w:sz w:val="16"/>
                <w:szCs w:val="16"/>
              </w:rPr>
            </w:pPr>
            <w:r>
              <w:rPr>
                <w:sz w:val="16"/>
                <w:szCs w:val="16"/>
              </w:rPr>
              <w:t>5.70</w:t>
            </w:r>
          </w:p>
        </w:tc>
        <w:tc>
          <w:tcPr>
            <w:tcW w:w="811" w:type="dxa"/>
          </w:tcPr>
          <w:p w14:paraId="258137F2" w14:textId="662CB8F9" w:rsidR="001129C8" w:rsidRPr="001C0653" w:rsidRDefault="00CA686C" w:rsidP="001C0653">
            <w:pPr>
              <w:rPr>
                <w:sz w:val="16"/>
                <w:szCs w:val="16"/>
              </w:rPr>
            </w:pPr>
            <w:r>
              <w:rPr>
                <w:sz w:val="16"/>
                <w:szCs w:val="16"/>
              </w:rPr>
              <w:t>9.00</w:t>
            </w:r>
          </w:p>
        </w:tc>
        <w:tc>
          <w:tcPr>
            <w:tcW w:w="811" w:type="dxa"/>
          </w:tcPr>
          <w:p w14:paraId="694BF589" w14:textId="57D09E2E" w:rsidR="001129C8" w:rsidRPr="001C0653" w:rsidRDefault="00CA686C" w:rsidP="001C0653">
            <w:pPr>
              <w:rPr>
                <w:sz w:val="16"/>
                <w:szCs w:val="16"/>
              </w:rPr>
            </w:pPr>
            <w:r>
              <w:rPr>
                <w:sz w:val="16"/>
                <w:szCs w:val="16"/>
              </w:rPr>
              <w:t>8.50</w:t>
            </w:r>
          </w:p>
        </w:tc>
        <w:tc>
          <w:tcPr>
            <w:tcW w:w="811" w:type="dxa"/>
          </w:tcPr>
          <w:p w14:paraId="22177292" w14:textId="1DF185E5" w:rsidR="001129C8" w:rsidRPr="001C0653" w:rsidRDefault="00CA686C" w:rsidP="001C0653">
            <w:pPr>
              <w:rPr>
                <w:sz w:val="16"/>
                <w:szCs w:val="16"/>
              </w:rPr>
            </w:pPr>
            <w:r>
              <w:rPr>
                <w:sz w:val="16"/>
                <w:szCs w:val="16"/>
              </w:rPr>
              <w:t>9.70</w:t>
            </w:r>
          </w:p>
        </w:tc>
        <w:tc>
          <w:tcPr>
            <w:tcW w:w="811" w:type="dxa"/>
          </w:tcPr>
          <w:p w14:paraId="789310CB" w14:textId="6DB1A1A6" w:rsidR="001129C8" w:rsidRPr="001C0653" w:rsidRDefault="00CA686C" w:rsidP="001C0653">
            <w:pPr>
              <w:rPr>
                <w:sz w:val="16"/>
                <w:szCs w:val="16"/>
              </w:rPr>
            </w:pPr>
            <w:r>
              <w:rPr>
                <w:sz w:val="16"/>
                <w:szCs w:val="16"/>
              </w:rPr>
              <w:t>10.3</w:t>
            </w:r>
            <w:r w:rsidR="00D04978">
              <w:rPr>
                <w:sz w:val="16"/>
                <w:szCs w:val="16"/>
              </w:rPr>
              <w:t>0</w:t>
            </w:r>
          </w:p>
        </w:tc>
        <w:tc>
          <w:tcPr>
            <w:tcW w:w="811" w:type="dxa"/>
          </w:tcPr>
          <w:p w14:paraId="3CF84012" w14:textId="6AE83673" w:rsidR="001129C8" w:rsidRPr="001C0653" w:rsidRDefault="00D04978" w:rsidP="001C0653">
            <w:pPr>
              <w:rPr>
                <w:sz w:val="16"/>
                <w:szCs w:val="16"/>
              </w:rPr>
            </w:pPr>
            <w:r>
              <w:rPr>
                <w:sz w:val="16"/>
                <w:szCs w:val="16"/>
              </w:rPr>
              <w:t>10.60</w:t>
            </w:r>
          </w:p>
        </w:tc>
        <w:tc>
          <w:tcPr>
            <w:tcW w:w="811" w:type="dxa"/>
          </w:tcPr>
          <w:p w14:paraId="1ABEC3FD" w14:textId="0D968541" w:rsidR="001129C8" w:rsidRPr="001C0653" w:rsidRDefault="00D04978" w:rsidP="001C0653">
            <w:pPr>
              <w:rPr>
                <w:sz w:val="16"/>
                <w:szCs w:val="16"/>
              </w:rPr>
            </w:pPr>
            <w:r>
              <w:rPr>
                <w:sz w:val="16"/>
                <w:szCs w:val="16"/>
              </w:rPr>
              <w:t>11.60</w:t>
            </w:r>
          </w:p>
        </w:tc>
        <w:tc>
          <w:tcPr>
            <w:tcW w:w="811" w:type="dxa"/>
          </w:tcPr>
          <w:p w14:paraId="23718566" w14:textId="39040E6E" w:rsidR="001129C8" w:rsidRPr="00D04978" w:rsidRDefault="00D04978" w:rsidP="001C0653">
            <w:pPr>
              <w:rPr>
                <w:sz w:val="16"/>
                <w:szCs w:val="16"/>
              </w:rPr>
            </w:pPr>
            <w:r w:rsidRPr="00D04978">
              <w:rPr>
                <w:sz w:val="16"/>
                <w:szCs w:val="16"/>
              </w:rPr>
              <w:t>12.50</w:t>
            </w:r>
          </w:p>
        </w:tc>
        <w:tc>
          <w:tcPr>
            <w:tcW w:w="811" w:type="dxa"/>
          </w:tcPr>
          <w:p w14:paraId="55174E47" w14:textId="7E5E5D04" w:rsidR="001129C8" w:rsidRPr="00D04978" w:rsidRDefault="00D04978" w:rsidP="001C0653">
            <w:pPr>
              <w:rPr>
                <w:sz w:val="16"/>
                <w:szCs w:val="16"/>
              </w:rPr>
            </w:pPr>
            <w:r w:rsidRPr="00D04978">
              <w:rPr>
                <w:sz w:val="16"/>
                <w:szCs w:val="16"/>
              </w:rPr>
              <w:t>12.60</w:t>
            </w:r>
          </w:p>
        </w:tc>
        <w:tc>
          <w:tcPr>
            <w:tcW w:w="811" w:type="dxa"/>
          </w:tcPr>
          <w:p w14:paraId="7A22EAC8" w14:textId="77038DAB" w:rsidR="001129C8" w:rsidRPr="00D04978" w:rsidRDefault="00D04978" w:rsidP="001C0653">
            <w:pPr>
              <w:rPr>
                <w:sz w:val="16"/>
                <w:szCs w:val="16"/>
              </w:rPr>
            </w:pPr>
            <w:r w:rsidRPr="00D04978">
              <w:rPr>
                <w:sz w:val="16"/>
                <w:szCs w:val="16"/>
              </w:rPr>
              <w:t>12.40</w:t>
            </w:r>
          </w:p>
        </w:tc>
      </w:tr>
      <w:tr w:rsidR="00D04978" w:rsidRPr="001C0653" w14:paraId="3B1E3C70" w14:textId="77777777" w:rsidTr="001129C8">
        <w:tc>
          <w:tcPr>
            <w:tcW w:w="810" w:type="dxa"/>
          </w:tcPr>
          <w:p w14:paraId="1C47215D" w14:textId="13212B79" w:rsidR="001129C8" w:rsidRPr="001C0653" w:rsidRDefault="001C0653" w:rsidP="001C0653">
            <w:pPr>
              <w:rPr>
                <w:sz w:val="16"/>
                <w:szCs w:val="16"/>
              </w:rPr>
            </w:pPr>
            <w:r>
              <w:rPr>
                <w:sz w:val="16"/>
                <w:szCs w:val="16"/>
              </w:rPr>
              <w:lastRenderedPageBreak/>
              <w:t>People with a disability</w:t>
            </w:r>
          </w:p>
        </w:tc>
        <w:tc>
          <w:tcPr>
            <w:tcW w:w="810" w:type="dxa"/>
          </w:tcPr>
          <w:p w14:paraId="6FD79C49" w14:textId="007E916C" w:rsidR="001129C8" w:rsidRPr="001C0653" w:rsidRDefault="00663229" w:rsidP="001C0653">
            <w:pPr>
              <w:rPr>
                <w:sz w:val="16"/>
                <w:szCs w:val="16"/>
              </w:rPr>
            </w:pPr>
            <w:r>
              <w:rPr>
                <w:sz w:val="16"/>
                <w:szCs w:val="16"/>
              </w:rPr>
              <w:t>29.30</w:t>
            </w:r>
          </w:p>
        </w:tc>
        <w:tc>
          <w:tcPr>
            <w:tcW w:w="811" w:type="dxa"/>
          </w:tcPr>
          <w:p w14:paraId="3D93A2DE" w14:textId="7D841AF5" w:rsidR="001129C8" w:rsidRPr="001C0653" w:rsidRDefault="004B1CB4" w:rsidP="001C0653">
            <w:pPr>
              <w:rPr>
                <w:sz w:val="16"/>
                <w:szCs w:val="16"/>
              </w:rPr>
            </w:pPr>
            <w:r>
              <w:rPr>
                <w:sz w:val="16"/>
                <w:szCs w:val="16"/>
              </w:rPr>
              <w:t>32.20</w:t>
            </w:r>
          </w:p>
        </w:tc>
        <w:tc>
          <w:tcPr>
            <w:tcW w:w="811" w:type="dxa"/>
          </w:tcPr>
          <w:p w14:paraId="63DBEC59" w14:textId="3720D2BF" w:rsidR="001129C8" w:rsidRPr="001C0653" w:rsidRDefault="004B1CB4" w:rsidP="001C0653">
            <w:pPr>
              <w:rPr>
                <w:sz w:val="16"/>
                <w:szCs w:val="16"/>
              </w:rPr>
            </w:pPr>
            <w:r>
              <w:rPr>
                <w:sz w:val="16"/>
                <w:szCs w:val="16"/>
              </w:rPr>
              <w:t>34.00</w:t>
            </w:r>
          </w:p>
        </w:tc>
        <w:tc>
          <w:tcPr>
            <w:tcW w:w="811" w:type="dxa"/>
          </w:tcPr>
          <w:p w14:paraId="0706FA09" w14:textId="05B7EFEE" w:rsidR="001129C8" w:rsidRPr="001C0653" w:rsidRDefault="004B1CB4" w:rsidP="001C0653">
            <w:pPr>
              <w:rPr>
                <w:sz w:val="16"/>
                <w:szCs w:val="16"/>
              </w:rPr>
            </w:pPr>
            <w:r>
              <w:rPr>
                <w:sz w:val="16"/>
                <w:szCs w:val="16"/>
              </w:rPr>
              <w:t>34.50</w:t>
            </w:r>
          </w:p>
        </w:tc>
        <w:tc>
          <w:tcPr>
            <w:tcW w:w="811" w:type="dxa"/>
          </w:tcPr>
          <w:p w14:paraId="31B2EDBB" w14:textId="542B7E08" w:rsidR="001129C8" w:rsidRPr="001C0653" w:rsidRDefault="004B1CB4" w:rsidP="001C0653">
            <w:pPr>
              <w:rPr>
                <w:sz w:val="16"/>
                <w:szCs w:val="16"/>
              </w:rPr>
            </w:pPr>
            <w:r>
              <w:rPr>
                <w:sz w:val="16"/>
                <w:szCs w:val="16"/>
              </w:rPr>
              <w:t>35.50</w:t>
            </w:r>
          </w:p>
        </w:tc>
        <w:tc>
          <w:tcPr>
            <w:tcW w:w="811" w:type="dxa"/>
          </w:tcPr>
          <w:p w14:paraId="3856FD32" w14:textId="7F333222" w:rsidR="001129C8" w:rsidRPr="001C0653" w:rsidRDefault="004B1CB4" w:rsidP="001C0653">
            <w:pPr>
              <w:rPr>
                <w:sz w:val="16"/>
                <w:szCs w:val="16"/>
              </w:rPr>
            </w:pPr>
            <w:r>
              <w:rPr>
                <w:sz w:val="16"/>
                <w:szCs w:val="16"/>
              </w:rPr>
              <w:t>36.70</w:t>
            </w:r>
          </w:p>
        </w:tc>
        <w:tc>
          <w:tcPr>
            <w:tcW w:w="811" w:type="dxa"/>
          </w:tcPr>
          <w:p w14:paraId="7C3C2DF8" w14:textId="4F3CC513" w:rsidR="001129C8" w:rsidRPr="001C0653" w:rsidRDefault="004B1CB4" w:rsidP="001C0653">
            <w:pPr>
              <w:rPr>
                <w:sz w:val="16"/>
                <w:szCs w:val="16"/>
              </w:rPr>
            </w:pPr>
            <w:r>
              <w:rPr>
                <w:sz w:val="16"/>
                <w:szCs w:val="16"/>
              </w:rPr>
              <w:t>36.80</w:t>
            </w:r>
          </w:p>
        </w:tc>
        <w:tc>
          <w:tcPr>
            <w:tcW w:w="811" w:type="dxa"/>
          </w:tcPr>
          <w:p w14:paraId="2BBC75E3" w14:textId="1E95D24F" w:rsidR="001129C8" w:rsidRPr="001C0653" w:rsidRDefault="006C749C" w:rsidP="001C0653">
            <w:pPr>
              <w:rPr>
                <w:sz w:val="16"/>
                <w:szCs w:val="16"/>
              </w:rPr>
            </w:pPr>
            <w:r>
              <w:rPr>
                <w:sz w:val="16"/>
                <w:szCs w:val="16"/>
              </w:rPr>
              <w:t>37.30</w:t>
            </w:r>
          </w:p>
        </w:tc>
        <w:tc>
          <w:tcPr>
            <w:tcW w:w="811" w:type="dxa"/>
          </w:tcPr>
          <w:p w14:paraId="7803436D" w14:textId="15C79BE5" w:rsidR="001129C8" w:rsidRPr="001C0653" w:rsidRDefault="006C749C" w:rsidP="001C0653">
            <w:pPr>
              <w:rPr>
                <w:sz w:val="16"/>
                <w:szCs w:val="16"/>
              </w:rPr>
            </w:pPr>
            <w:r>
              <w:rPr>
                <w:sz w:val="16"/>
                <w:szCs w:val="16"/>
              </w:rPr>
              <w:t>41.60</w:t>
            </w:r>
          </w:p>
        </w:tc>
        <w:tc>
          <w:tcPr>
            <w:tcW w:w="811" w:type="dxa"/>
          </w:tcPr>
          <w:p w14:paraId="303EB51E" w14:textId="60CC2201" w:rsidR="001129C8" w:rsidRPr="001C0653" w:rsidRDefault="006C749C" w:rsidP="001C0653">
            <w:pPr>
              <w:rPr>
                <w:sz w:val="16"/>
                <w:szCs w:val="16"/>
              </w:rPr>
            </w:pPr>
            <w:r>
              <w:rPr>
                <w:sz w:val="16"/>
                <w:szCs w:val="16"/>
              </w:rPr>
              <w:t>44.00</w:t>
            </w:r>
          </w:p>
        </w:tc>
        <w:tc>
          <w:tcPr>
            <w:tcW w:w="811" w:type="dxa"/>
          </w:tcPr>
          <w:p w14:paraId="70B717F0" w14:textId="55E63DDC" w:rsidR="001129C8" w:rsidRPr="001C0653" w:rsidRDefault="006C749C" w:rsidP="001C0653">
            <w:pPr>
              <w:rPr>
                <w:sz w:val="16"/>
                <w:szCs w:val="16"/>
              </w:rPr>
            </w:pPr>
            <w:r>
              <w:rPr>
                <w:sz w:val="16"/>
                <w:szCs w:val="16"/>
              </w:rPr>
              <w:t>50.30</w:t>
            </w:r>
          </w:p>
        </w:tc>
      </w:tr>
      <w:tr w:rsidR="00D04978" w:rsidRPr="001C0653" w14:paraId="3417485A" w14:textId="77777777" w:rsidTr="001129C8">
        <w:tc>
          <w:tcPr>
            <w:tcW w:w="810" w:type="dxa"/>
          </w:tcPr>
          <w:p w14:paraId="12015E0C" w14:textId="38D53414" w:rsidR="001129C8" w:rsidRPr="001C0653" w:rsidRDefault="00676565" w:rsidP="001C0653">
            <w:pPr>
              <w:rPr>
                <w:sz w:val="16"/>
                <w:szCs w:val="16"/>
              </w:rPr>
            </w:pPr>
            <w:r>
              <w:rPr>
                <w:sz w:val="16"/>
                <w:szCs w:val="16"/>
              </w:rPr>
              <w:t>Unemployed</w:t>
            </w:r>
          </w:p>
        </w:tc>
        <w:tc>
          <w:tcPr>
            <w:tcW w:w="810" w:type="dxa"/>
          </w:tcPr>
          <w:p w14:paraId="59819F2A" w14:textId="796F5400" w:rsidR="001129C8" w:rsidRPr="001C0653" w:rsidRDefault="00132BAE" w:rsidP="001C0653">
            <w:pPr>
              <w:rPr>
                <w:sz w:val="16"/>
                <w:szCs w:val="16"/>
              </w:rPr>
            </w:pPr>
            <w:r>
              <w:rPr>
                <w:sz w:val="16"/>
                <w:szCs w:val="16"/>
              </w:rPr>
              <w:t>7.50</w:t>
            </w:r>
          </w:p>
        </w:tc>
        <w:tc>
          <w:tcPr>
            <w:tcW w:w="811" w:type="dxa"/>
          </w:tcPr>
          <w:p w14:paraId="5CC3FFEC" w14:textId="22775297" w:rsidR="001129C8" w:rsidRPr="001C0653" w:rsidRDefault="00132BAE" w:rsidP="001C0653">
            <w:pPr>
              <w:rPr>
                <w:sz w:val="16"/>
                <w:szCs w:val="16"/>
              </w:rPr>
            </w:pPr>
            <w:r>
              <w:rPr>
                <w:sz w:val="16"/>
                <w:szCs w:val="16"/>
              </w:rPr>
              <w:t>7.30</w:t>
            </w:r>
          </w:p>
        </w:tc>
        <w:tc>
          <w:tcPr>
            <w:tcW w:w="811" w:type="dxa"/>
          </w:tcPr>
          <w:p w14:paraId="663DEFA0" w14:textId="555D92EB" w:rsidR="001129C8" w:rsidRPr="001C0653" w:rsidRDefault="00D229AC" w:rsidP="001C0653">
            <w:pPr>
              <w:rPr>
                <w:sz w:val="16"/>
                <w:szCs w:val="16"/>
              </w:rPr>
            </w:pPr>
            <w:r>
              <w:rPr>
                <w:sz w:val="16"/>
                <w:szCs w:val="16"/>
              </w:rPr>
              <w:t>7.30</w:t>
            </w:r>
          </w:p>
        </w:tc>
        <w:tc>
          <w:tcPr>
            <w:tcW w:w="811" w:type="dxa"/>
          </w:tcPr>
          <w:p w14:paraId="711EC6BB" w14:textId="259EB8DF" w:rsidR="001129C8" w:rsidRPr="001C0653" w:rsidRDefault="00D229AC" w:rsidP="001C0653">
            <w:pPr>
              <w:rPr>
                <w:sz w:val="16"/>
                <w:szCs w:val="16"/>
              </w:rPr>
            </w:pPr>
            <w:r>
              <w:rPr>
                <w:sz w:val="16"/>
                <w:szCs w:val="16"/>
              </w:rPr>
              <w:t>8.50</w:t>
            </w:r>
          </w:p>
        </w:tc>
        <w:tc>
          <w:tcPr>
            <w:tcW w:w="811" w:type="dxa"/>
          </w:tcPr>
          <w:p w14:paraId="44BAEC91" w14:textId="333BFEA9" w:rsidR="001129C8" w:rsidRPr="001C0653" w:rsidRDefault="00D229AC" w:rsidP="001C0653">
            <w:pPr>
              <w:rPr>
                <w:sz w:val="16"/>
                <w:szCs w:val="16"/>
              </w:rPr>
            </w:pPr>
            <w:r>
              <w:rPr>
                <w:sz w:val="16"/>
                <w:szCs w:val="16"/>
              </w:rPr>
              <w:t>9.70</w:t>
            </w:r>
          </w:p>
        </w:tc>
        <w:tc>
          <w:tcPr>
            <w:tcW w:w="811" w:type="dxa"/>
          </w:tcPr>
          <w:p w14:paraId="52126199" w14:textId="358496A4" w:rsidR="001129C8" w:rsidRPr="001C0653" w:rsidRDefault="00D229AC" w:rsidP="001C0653">
            <w:pPr>
              <w:rPr>
                <w:sz w:val="16"/>
                <w:szCs w:val="16"/>
              </w:rPr>
            </w:pPr>
            <w:r>
              <w:rPr>
                <w:sz w:val="16"/>
                <w:szCs w:val="16"/>
              </w:rPr>
              <w:t>10.30</w:t>
            </w:r>
          </w:p>
        </w:tc>
        <w:tc>
          <w:tcPr>
            <w:tcW w:w="811" w:type="dxa"/>
          </w:tcPr>
          <w:p w14:paraId="26370C24" w14:textId="75A684EA" w:rsidR="001129C8" w:rsidRPr="001C0653" w:rsidRDefault="00D229AC" w:rsidP="001C0653">
            <w:pPr>
              <w:rPr>
                <w:sz w:val="16"/>
                <w:szCs w:val="16"/>
              </w:rPr>
            </w:pPr>
            <w:r>
              <w:rPr>
                <w:sz w:val="16"/>
                <w:szCs w:val="16"/>
              </w:rPr>
              <w:t>10.60</w:t>
            </w:r>
          </w:p>
        </w:tc>
        <w:tc>
          <w:tcPr>
            <w:tcW w:w="811" w:type="dxa"/>
          </w:tcPr>
          <w:p w14:paraId="28D98796" w14:textId="1F23739F" w:rsidR="001129C8" w:rsidRPr="001C0653" w:rsidRDefault="00D229AC" w:rsidP="001C0653">
            <w:pPr>
              <w:rPr>
                <w:sz w:val="16"/>
                <w:szCs w:val="16"/>
              </w:rPr>
            </w:pPr>
            <w:r>
              <w:rPr>
                <w:sz w:val="16"/>
                <w:szCs w:val="16"/>
              </w:rPr>
              <w:t>10.50</w:t>
            </w:r>
          </w:p>
        </w:tc>
        <w:tc>
          <w:tcPr>
            <w:tcW w:w="811" w:type="dxa"/>
          </w:tcPr>
          <w:p w14:paraId="3C335C69" w14:textId="1D564117" w:rsidR="001129C8" w:rsidRPr="001C0653" w:rsidRDefault="00D229AC" w:rsidP="001C0653">
            <w:pPr>
              <w:rPr>
                <w:sz w:val="16"/>
                <w:szCs w:val="16"/>
              </w:rPr>
            </w:pPr>
            <w:r>
              <w:rPr>
                <w:sz w:val="16"/>
                <w:szCs w:val="16"/>
              </w:rPr>
              <w:t>10.60</w:t>
            </w:r>
          </w:p>
        </w:tc>
        <w:tc>
          <w:tcPr>
            <w:tcW w:w="811" w:type="dxa"/>
          </w:tcPr>
          <w:p w14:paraId="196CF699" w14:textId="6D2D71C2" w:rsidR="001129C8" w:rsidRPr="001C0653" w:rsidRDefault="00D229AC" w:rsidP="001C0653">
            <w:pPr>
              <w:rPr>
                <w:sz w:val="16"/>
                <w:szCs w:val="16"/>
              </w:rPr>
            </w:pPr>
            <w:r>
              <w:rPr>
                <w:sz w:val="16"/>
                <w:szCs w:val="16"/>
              </w:rPr>
              <w:t>9.80</w:t>
            </w:r>
          </w:p>
        </w:tc>
        <w:tc>
          <w:tcPr>
            <w:tcW w:w="811" w:type="dxa"/>
          </w:tcPr>
          <w:p w14:paraId="043D05E1" w14:textId="7F2E97B5" w:rsidR="001129C8" w:rsidRPr="001C0653" w:rsidRDefault="00210B29" w:rsidP="001C0653">
            <w:pPr>
              <w:rPr>
                <w:sz w:val="16"/>
                <w:szCs w:val="16"/>
              </w:rPr>
            </w:pPr>
            <w:r>
              <w:rPr>
                <w:sz w:val="16"/>
                <w:szCs w:val="16"/>
              </w:rPr>
              <w:t>18.50</w:t>
            </w:r>
          </w:p>
        </w:tc>
      </w:tr>
    </w:tbl>
    <w:p w14:paraId="3A72B8FA" w14:textId="7EC782D8" w:rsidR="00531754" w:rsidRPr="00531754" w:rsidRDefault="00531754" w:rsidP="00D60BC6">
      <w:r w:rsidRPr="00531754">
        <w:t>Note: some of the increase in welfare expenditure in the 2019 and 2020 interval is attributable</w:t>
      </w:r>
      <w:r w:rsidR="00D04978">
        <w:t xml:space="preserve"> </w:t>
      </w:r>
      <w:r w:rsidRPr="00531754">
        <w:t>to the pandemic. Constant value estimates are in 2019-2020 dollars. Source: AIHW (2022)</w:t>
      </w:r>
    </w:p>
    <w:p w14:paraId="50ED1BF0" w14:textId="779F6B6C" w:rsidR="00531754" w:rsidRPr="00531754" w:rsidRDefault="00531754" w:rsidP="00917ED0">
      <w:pPr>
        <w:pStyle w:val="Heading1"/>
      </w:pPr>
      <w:bookmarkStart w:id="70" w:name="_Toc119966540"/>
      <w:bookmarkStart w:id="71" w:name="_Toc120266194"/>
      <w:bookmarkStart w:id="72" w:name="_Toc120266229"/>
      <w:bookmarkStart w:id="73" w:name="_Toc120266349"/>
      <w:bookmarkStart w:id="74" w:name="_Toc120268916"/>
      <w:bookmarkStart w:id="75" w:name="_Toc130942931"/>
      <w:r w:rsidRPr="00531754">
        <w:t>Trends in disability services specific expenditure (2017 to 2022</w:t>
      </w:r>
      <w:bookmarkEnd w:id="70"/>
      <w:bookmarkEnd w:id="71"/>
      <w:bookmarkEnd w:id="72"/>
      <w:bookmarkEnd w:id="73"/>
      <w:bookmarkEnd w:id="74"/>
      <w:r w:rsidRPr="00531754">
        <w:t>)</w:t>
      </w:r>
      <w:bookmarkEnd w:id="75"/>
      <w:r w:rsidRPr="00531754">
        <w:t> </w:t>
      </w:r>
    </w:p>
    <w:p w14:paraId="78E00794" w14:textId="61E98AE6" w:rsidR="00531754" w:rsidRPr="00531754" w:rsidRDefault="00531754" w:rsidP="00D60BC6">
      <w:r w:rsidRPr="00531754">
        <w:t>While overall expenditure increased markedly in response to the COVID pandemic, a significant portion of the increase is ascribable to the family specific supports and unemployment benefits. Increases in disability specific expenditures were largely attributable to pre-existing Tier 3 support provision trends. While Tier 2 and Tier 3 expenditures are included within the total expenditure base, the granular expenditure components are not provided in disaggregated form. We estimate the disaggregated expenditures levels based on our analysis of ILC, ICB and ECB grant provisions between 2017 and 2022. </w:t>
      </w:r>
    </w:p>
    <w:p w14:paraId="36CEA739" w14:textId="51289292" w:rsidR="00531754" w:rsidRPr="00531754" w:rsidRDefault="00531754" w:rsidP="00D60BC6">
      <w:r w:rsidRPr="00531754">
        <w:t>The non-individualised block grant funding (Tier 2) provided through the NDIS represents a nominal proportion of funding provided as part of the overall welfare portfolio, and the disability services portfolio, equating to less than 1</w:t>
      </w:r>
      <w:r w:rsidR="00670A45">
        <w:t xml:space="preserve"> per cent</w:t>
      </w:r>
      <w:r w:rsidRPr="00531754">
        <w:t>. Moreover, analysis suggests that the emphasis on the funding of co-ordination at the expense of information and referral services may be undermining the capacity of the sector, and an important foundation of the NDIS.  </w:t>
      </w:r>
    </w:p>
    <w:p w14:paraId="4ECFFC1D" w14:textId="69971D58" w:rsidR="00531754" w:rsidRPr="00531754" w:rsidRDefault="00531754" w:rsidP="00D60BC6">
      <w:r w:rsidRPr="00531754">
        <w:t>Tier 2 supports are now made largely through the ILC grants program. Supports provided through the ECB and ICB may also be considered as broadly aligned to and supportive of Tier 2 service provisions. Appendix 1 includes a summary of the significant block funding provided through the ILC, ECB and ICB rounds between 2017 and 2022, year to date. From mid-2020, the ILC Program transitioned from the NDIA to the Department of Social Services (DSS). The analysis summarises both initial NDIA administered and subsequently DSS administered block funding.  </w:t>
      </w:r>
    </w:p>
    <w:p w14:paraId="1C07B3F6" w14:textId="77777777" w:rsidR="00531754" w:rsidRPr="00531754" w:rsidRDefault="00531754" w:rsidP="00DE3A9B">
      <w:pPr>
        <w:pStyle w:val="Heading2"/>
      </w:pPr>
      <w:bookmarkStart w:id="76" w:name="_Toc120268918"/>
      <w:bookmarkStart w:id="77" w:name="_Toc130942932"/>
      <w:r w:rsidRPr="00531754">
        <w:lastRenderedPageBreak/>
        <w:t>Analysis of Tier 2 aligned expenditures</w:t>
      </w:r>
      <w:bookmarkEnd w:id="76"/>
      <w:r w:rsidRPr="00531754">
        <w:t>: low rates and inconsistency</w:t>
      </w:r>
      <w:bookmarkEnd w:id="77"/>
      <w:r w:rsidRPr="00531754">
        <w:t xml:space="preserve"> </w:t>
      </w:r>
    </w:p>
    <w:p w14:paraId="6E8FAC85" w14:textId="07C4AF18" w:rsidR="00531754" w:rsidRPr="00531754" w:rsidRDefault="00531754" w:rsidP="00D60BC6">
      <w:r w:rsidRPr="00531754">
        <w:t>Average annual expenditure for Tier 2 aligned activities and PITC grants expenditure equated to approximately $177 million</w:t>
      </w:r>
      <w:r w:rsidR="00561530">
        <w:rPr>
          <w:rFonts w:ascii="Avenir Book" w:hAnsi="Avenir Book"/>
        </w:rPr>
        <w:t xml:space="preserve"> (</w:t>
      </w:r>
      <w:r w:rsidR="00561530">
        <w:t>We acknowledge that further funding for some ‘Tier 2 type’ activities may be in place through pre-existing federal arrangements, and state level funding agreements. These activities may predate the NDIS. Newly funded Tier two focused activities through targeted ILC grants and associated grants are however modest.)</w:t>
      </w:r>
      <w:r w:rsidRPr="00531754">
        <w:t xml:space="preserve">. This is a nominal sum given the importance of Tier 2 activities, and their role as a ‘whole of community’ protection. </w:t>
      </w:r>
    </w:p>
    <w:p w14:paraId="18DA6773" w14:textId="77777777" w:rsidR="00531754" w:rsidRPr="00531754" w:rsidRDefault="00531754" w:rsidP="00D60BC6">
      <w:r w:rsidRPr="00531754">
        <w:t>When applying more stringent criteria for the inclusion of funds into the Tier 2 category, excluding the PITC program funding, average annual expenditures through the NDIA and DSS administered programs equate to $104.95 million. It is difficult to reconcile this level of investment with the intended goals of the scheme. </w:t>
      </w:r>
    </w:p>
    <w:p w14:paraId="2DB089A5" w14:textId="31351ADB" w:rsidR="00577A43" w:rsidRPr="006B7C94" w:rsidRDefault="00531754" w:rsidP="006B7C94">
      <w:r w:rsidRPr="00531754">
        <w:t xml:space="preserve">Investing in Tier 2 creates social capital and protective overlays that may prevent individuals from progressing towards requiring greater Tier 3 supports. While the investment in Tier 2 will never be commensurate with Tier 3 (nor should it be, given the obvious economies of scale/scope in ILC activities) investing the equivalent of less than one tenth of one percent of the total investment in disability services in Tier 2 is inadequate; and this inadequate investment may necessitate greater investment in Tier 3 in the future, if critical social capital is eroded and individuals are not able to access many important social and community participation benefits through </w:t>
      </w:r>
      <w:r w:rsidR="00B679FA">
        <w:t>free, community-based programs and mainstream services.</w:t>
      </w:r>
      <w:r w:rsidRPr="00531754">
        <w:t>.  </w:t>
      </w:r>
    </w:p>
    <w:p w14:paraId="02F02A87" w14:textId="4D5414D8" w:rsidR="00531754" w:rsidRPr="00D60BC6" w:rsidRDefault="00531754" w:rsidP="00D60BC6">
      <w:pPr>
        <w:rPr>
          <w:b/>
          <w:bCs/>
        </w:rPr>
      </w:pPr>
      <w:r w:rsidRPr="00D60BC6">
        <w:rPr>
          <w:b/>
          <w:bCs/>
        </w:rPr>
        <w:t>Figure 7</w:t>
      </w:r>
    </w:p>
    <w:p w14:paraId="4D76EA8F" w14:textId="70B2BE03" w:rsidR="00531754" w:rsidRPr="00AE57F6" w:rsidRDefault="00531754" w:rsidP="00AE57F6">
      <w:pPr>
        <w:rPr>
          <w:b/>
          <w:bCs/>
        </w:rPr>
      </w:pPr>
      <w:r w:rsidRPr="00D60BC6">
        <w:rPr>
          <w:b/>
          <w:bCs/>
        </w:rPr>
        <w:t>Annual ILC and associated grant expenditure</w:t>
      </w:r>
    </w:p>
    <w:tbl>
      <w:tblPr>
        <w:tblStyle w:val="TableGrid"/>
        <w:tblW w:w="0" w:type="auto"/>
        <w:tblLook w:val="04A0" w:firstRow="1" w:lastRow="0" w:firstColumn="1" w:lastColumn="0" w:noHBand="0" w:noVBand="1"/>
      </w:tblPr>
      <w:tblGrid>
        <w:gridCol w:w="4865"/>
        <w:gridCol w:w="4865"/>
      </w:tblGrid>
      <w:tr w:rsidR="00D70321" w14:paraId="202EB588" w14:textId="77777777" w:rsidTr="00D70321">
        <w:tc>
          <w:tcPr>
            <w:tcW w:w="4865" w:type="dxa"/>
          </w:tcPr>
          <w:p w14:paraId="5119A3F8" w14:textId="29DBFE0C" w:rsidR="00D70321" w:rsidRPr="00D70321" w:rsidRDefault="00D70321" w:rsidP="00D70321">
            <w:pPr>
              <w:rPr>
                <w:b/>
                <w:bCs/>
              </w:rPr>
            </w:pPr>
            <w:r w:rsidRPr="00D70321">
              <w:rPr>
                <w:b/>
                <w:bCs/>
              </w:rPr>
              <w:t>Year</w:t>
            </w:r>
          </w:p>
        </w:tc>
        <w:tc>
          <w:tcPr>
            <w:tcW w:w="4865" w:type="dxa"/>
          </w:tcPr>
          <w:p w14:paraId="5FB43A55" w14:textId="18BBE521" w:rsidR="00D70321" w:rsidRPr="00D70321" w:rsidRDefault="00D70321" w:rsidP="00D70321">
            <w:pPr>
              <w:rPr>
                <w:b/>
                <w:bCs/>
              </w:rPr>
            </w:pPr>
            <w:r>
              <w:rPr>
                <w:b/>
                <w:bCs/>
              </w:rPr>
              <w:t>G</w:t>
            </w:r>
            <w:r w:rsidRPr="00D70321">
              <w:rPr>
                <w:b/>
                <w:bCs/>
              </w:rPr>
              <w:t>rant expenditure</w:t>
            </w:r>
          </w:p>
        </w:tc>
      </w:tr>
      <w:tr w:rsidR="00D70321" w14:paraId="4E87D9DE" w14:textId="77777777" w:rsidTr="00D70321">
        <w:tc>
          <w:tcPr>
            <w:tcW w:w="4865" w:type="dxa"/>
          </w:tcPr>
          <w:p w14:paraId="3AF6F667" w14:textId="182944A1" w:rsidR="00D70321" w:rsidRDefault="00D70321" w:rsidP="00D60BC6">
            <w:r>
              <w:t>2022</w:t>
            </w:r>
          </w:p>
        </w:tc>
        <w:tc>
          <w:tcPr>
            <w:tcW w:w="4865" w:type="dxa"/>
          </w:tcPr>
          <w:p w14:paraId="2F5798A6" w14:textId="5346324D" w:rsidR="00D70321" w:rsidRDefault="00D70321" w:rsidP="00D60BC6">
            <w:r>
              <w:t>161.9</w:t>
            </w:r>
          </w:p>
        </w:tc>
      </w:tr>
      <w:tr w:rsidR="00D70321" w14:paraId="37EB5CA1" w14:textId="77777777" w:rsidTr="00D70321">
        <w:tc>
          <w:tcPr>
            <w:tcW w:w="4865" w:type="dxa"/>
          </w:tcPr>
          <w:p w14:paraId="4CBDF104" w14:textId="21D0E8B2" w:rsidR="00D70321" w:rsidRDefault="00D70321" w:rsidP="00D60BC6">
            <w:r>
              <w:t>2021</w:t>
            </w:r>
          </w:p>
        </w:tc>
        <w:tc>
          <w:tcPr>
            <w:tcW w:w="4865" w:type="dxa"/>
          </w:tcPr>
          <w:p w14:paraId="2DD3F85A" w14:textId="36F9ED3C" w:rsidR="00D70321" w:rsidRDefault="00D70321" w:rsidP="00D60BC6">
            <w:r>
              <w:t>36.3</w:t>
            </w:r>
          </w:p>
        </w:tc>
      </w:tr>
      <w:tr w:rsidR="00D70321" w14:paraId="4ECD8BD0" w14:textId="77777777" w:rsidTr="00D70321">
        <w:tc>
          <w:tcPr>
            <w:tcW w:w="4865" w:type="dxa"/>
          </w:tcPr>
          <w:p w14:paraId="5B4D4E59" w14:textId="032467A5" w:rsidR="00D70321" w:rsidRDefault="00D70321" w:rsidP="00D60BC6">
            <w:r>
              <w:t>2020</w:t>
            </w:r>
          </w:p>
        </w:tc>
        <w:tc>
          <w:tcPr>
            <w:tcW w:w="4865" w:type="dxa"/>
          </w:tcPr>
          <w:p w14:paraId="3FC39F92" w14:textId="535F1BB4" w:rsidR="00D70321" w:rsidRDefault="00D70321" w:rsidP="00D60BC6">
            <w:r>
              <w:t>566.7</w:t>
            </w:r>
          </w:p>
        </w:tc>
      </w:tr>
      <w:tr w:rsidR="00D70321" w14:paraId="1C6DBEB6" w14:textId="77777777" w:rsidTr="00D70321">
        <w:tc>
          <w:tcPr>
            <w:tcW w:w="4865" w:type="dxa"/>
          </w:tcPr>
          <w:p w14:paraId="3E799A5B" w14:textId="46952C0D" w:rsidR="00D70321" w:rsidRDefault="00D70321" w:rsidP="00D60BC6">
            <w:r>
              <w:t>2019</w:t>
            </w:r>
          </w:p>
        </w:tc>
        <w:tc>
          <w:tcPr>
            <w:tcW w:w="4865" w:type="dxa"/>
          </w:tcPr>
          <w:p w14:paraId="5A236F32" w14:textId="7FDCF5AA" w:rsidR="00D70321" w:rsidRDefault="00D70321" w:rsidP="00D60BC6">
            <w:r>
              <w:t>200.5</w:t>
            </w:r>
          </w:p>
        </w:tc>
      </w:tr>
      <w:tr w:rsidR="00D70321" w14:paraId="7323BFF2" w14:textId="77777777" w:rsidTr="00D70321">
        <w:tc>
          <w:tcPr>
            <w:tcW w:w="4865" w:type="dxa"/>
          </w:tcPr>
          <w:p w14:paraId="393A1506" w14:textId="696F7681" w:rsidR="00D70321" w:rsidRDefault="00D70321" w:rsidP="00D60BC6">
            <w:r>
              <w:lastRenderedPageBreak/>
              <w:t>2018</w:t>
            </w:r>
          </w:p>
        </w:tc>
        <w:tc>
          <w:tcPr>
            <w:tcW w:w="4865" w:type="dxa"/>
          </w:tcPr>
          <w:p w14:paraId="044556E8" w14:textId="75863B18" w:rsidR="00D70321" w:rsidRDefault="00FD1262" w:rsidP="00D60BC6">
            <w:r>
              <w:t>24.8379759</w:t>
            </w:r>
          </w:p>
        </w:tc>
      </w:tr>
      <w:tr w:rsidR="00D70321" w14:paraId="1D066017" w14:textId="77777777" w:rsidTr="00D70321">
        <w:tc>
          <w:tcPr>
            <w:tcW w:w="4865" w:type="dxa"/>
          </w:tcPr>
          <w:p w14:paraId="23DA11DD" w14:textId="337F84EE" w:rsidR="00D70321" w:rsidRDefault="00D70321" w:rsidP="00D60BC6">
            <w:r>
              <w:t>2017</w:t>
            </w:r>
          </w:p>
        </w:tc>
        <w:tc>
          <w:tcPr>
            <w:tcW w:w="4865" w:type="dxa"/>
          </w:tcPr>
          <w:p w14:paraId="7FEC0846" w14:textId="16A2DF0C" w:rsidR="00D70321" w:rsidRDefault="00FD1262" w:rsidP="00D60BC6">
            <w:r>
              <w:t>73.5</w:t>
            </w:r>
          </w:p>
        </w:tc>
      </w:tr>
    </w:tbl>
    <w:p w14:paraId="332FFD35" w14:textId="77777777" w:rsidR="00057506" w:rsidRDefault="00057506" w:rsidP="00D60BC6"/>
    <w:p w14:paraId="40B8B703" w14:textId="4971F0CE" w:rsidR="00531754" w:rsidRPr="00531754" w:rsidRDefault="00531754" w:rsidP="00D60BC6">
      <w:r w:rsidRPr="00531754">
        <w:t>Note: This chart depicts the annual total investment on all relevant grant categories between 2017 and 2022. 2020 grant levels are higher due to the inclusion of the PITC grant round. Source: DSS (2022), NDIS (2022)</w:t>
      </w:r>
    </w:p>
    <w:p w14:paraId="0951C037" w14:textId="47CB6249" w:rsidR="00531754" w:rsidRPr="00531754" w:rsidRDefault="00531754" w:rsidP="00481376">
      <w:r w:rsidRPr="00531754">
        <w:t xml:space="preserve">Both the targeting of funding, and the issue of funding consistency, should be revisited within future funding rounds. Significant funding was directed towards local co-ordination, and while such funding is undoubtedly important, other core Tier 2 activities should not be underfunded as a </w:t>
      </w:r>
      <w:r w:rsidR="00B679FA">
        <w:t>result</w:t>
      </w:r>
      <w:r w:rsidRPr="00531754">
        <w:t>. Both information and referral services, and local co-ordination investment are critical to the success of the broader scheme. Investment in Tier 2 should not be set against Investment in Tier 3, this is a false dichotomy.   </w:t>
      </w:r>
    </w:p>
    <w:p w14:paraId="2047B475" w14:textId="77777777" w:rsidR="00531754" w:rsidRPr="00531754" w:rsidRDefault="00531754" w:rsidP="00481376">
      <w:r w:rsidRPr="00531754">
        <w:t xml:space="preserve">While some of the ILC grant program funding, and broader relevant grant program funding (ECP, SCP, PITC) was perhaps earmarked only for a term of transition (to support the transition from earlier funding arrangements to the new arrangements), a consistent program of recurrent funding provision will be necessary to ensure that critical social programs are not lost as a consequence of a decline in program activity consequential to the pandemic, and the significant reduction in employees evidenced over the initial COVID term. </w:t>
      </w:r>
    </w:p>
    <w:p w14:paraId="79E2A200" w14:textId="77777777" w:rsidR="00531754" w:rsidRPr="00531754" w:rsidRDefault="00531754" w:rsidP="00481376">
      <w:r w:rsidRPr="00531754">
        <w:t>The current piecemeal and highly varied annual funding provisions aligned to Tier 2 supports/activities are likely to bring undue volatility to the balance sheets and employment numbers of critical welfare organisations, that are not able to make long-term investments in essential Tier 2 style programs given the uncertainty of both donor flows and absent of longer term ILC funding. </w:t>
      </w:r>
    </w:p>
    <w:p w14:paraId="066DCE5E" w14:textId="1CB12705" w:rsidR="00531754" w:rsidRPr="00531754" w:rsidRDefault="00531754" w:rsidP="00481376">
      <w:r w:rsidRPr="00531754">
        <w:t xml:space="preserve">The social return on investment (SROI) of funding for longstanding </w:t>
      </w:r>
      <w:r w:rsidR="00B679FA">
        <w:t>non-government and community sector</w:t>
      </w:r>
      <w:r w:rsidRPr="00531754">
        <w:t xml:space="preserve"> organisations, </w:t>
      </w:r>
      <w:r w:rsidR="00B679FA">
        <w:t>which</w:t>
      </w:r>
      <w:r w:rsidR="00B679FA" w:rsidRPr="00531754">
        <w:t xml:space="preserve"> </w:t>
      </w:r>
      <w:r w:rsidRPr="00531754">
        <w:t>are critical ecosystem partners given their capacity to leverage social connections, volunteer cohorts, and civil institutions, is likely high and not adequately considered</w:t>
      </w:r>
      <w:r w:rsidR="00B679FA">
        <w:t xml:space="preserve"> by policy makers</w:t>
      </w:r>
      <w:r w:rsidRPr="00531754">
        <w:t xml:space="preserve">. The fiscal multiplier alone is like to exceed parity substantially (Per Capita, 2022). When accounting for the non-pecuniary benefits of such investment </w:t>
      </w:r>
      <w:r w:rsidR="003C31D1">
        <w:t xml:space="preserve">– such as the alleviation of loneliness, social connectedness and personal empowerment - </w:t>
      </w:r>
      <w:r w:rsidRPr="00531754">
        <w:t xml:space="preserve">in addition to pecuniary benefits the justification for such investment </w:t>
      </w:r>
      <w:r w:rsidRPr="00531754">
        <w:lastRenderedPageBreak/>
        <w:t>remains strong.  The continued and consistent functioning of these organisations is critical for the protective benefits of Tier 2 to be realised. </w:t>
      </w:r>
    </w:p>
    <w:p w14:paraId="3D86C8D9" w14:textId="37D4DB7B" w:rsidR="00531754" w:rsidRPr="00531754" w:rsidRDefault="00531754" w:rsidP="00481376">
      <w:r w:rsidRPr="00531754">
        <w:t>Consider the variations in funding from year to year: funding in 2018 and 2021 equated to less than 6.5</w:t>
      </w:r>
      <w:r w:rsidR="00670A45">
        <w:t xml:space="preserve"> per cent</w:t>
      </w:r>
      <w:r w:rsidRPr="00531754">
        <w:t xml:space="preserve"> of 2020 funding allocations. While some variation in investment is anticipated, the current investment model and approach </w:t>
      </w:r>
      <w:r w:rsidR="003C31D1">
        <w:t>is likely to cause significant uncertainty for service delivery organisations in the non-government and community sectors, and undermine their ability to adequately plan and develop support programs</w:t>
      </w:r>
      <w:r w:rsidRPr="00531754">
        <w:t xml:space="preserve">. The overall conservatism </w:t>
      </w:r>
      <w:r w:rsidR="003C31D1">
        <w:t>shown</w:t>
      </w:r>
      <w:r w:rsidR="003C31D1" w:rsidRPr="00531754">
        <w:t xml:space="preserve"> </w:t>
      </w:r>
      <w:r w:rsidRPr="00531754">
        <w:t xml:space="preserve">in </w:t>
      </w:r>
      <w:r w:rsidR="003C31D1">
        <w:t xml:space="preserve">recent </w:t>
      </w:r>
      <w:r w:rsidRPr="00531754">
        <w:t xml:space="preserve">investment </w:t>
      </w:r>
      <w:r w:rsidR="003C31D1">
        <w:t>decisions for</w:t>
      </w:r>
      <w:r w:rsidR="003C31D1" w:rsidRPr="00531754">
        <w:t xml:space="preserve"> </w:t>
      </w:r>
      <w:r w:rsidRPr="00531754">
        <w:t xml:space="preserve">Tier 2 </w:t>
      </w:r>
      <w:r w:rsidR="003C31D1">
        <w:t>programs</w:t>
      </w:r>
      <w:r w:rsidRPr="00531754">
        <w:t xml:space="preserve"> is inconsistent with the scheme’s original design and necessitates judicious review.   </w:t>
      </w:r>
    </w:p>
    <w:p w14:paraId="76D40877" w14:textId="77777777" w:rsidR="00531754" w:rsidRPr="00104195" w:rsidRDefault="00531754" w:rsidP="00104195">
      <w:pPr>
        <w:rPr>
          <w:b/>
          <w:bCs/>
        </w:rPr>
      </w:pPr>
      <w:r w:rsidRPr="00104195">
        <w:rPr>
          <w:b/>
          <w:bCs/>
        </w:rPr>
        <w:t>Figure 9</w:t>
      </w:r>
    </w:p>
    <w:p w14:paraId="3F55C30E" w14:textId="77777777" w:rsidR="00531754" w:rsidRDefault="00531754" w:rsidP="00104195">
      <w:pPr>
        <w:rPr>
          <w:b/>
          <w:bCs/>
        </w:rPr>
      </w:pPr>
      <w:r w:rsidRPr="00104195">
        <w:rPr>
          <w:b/>
          <w:bCs/>
        </w:rPr>
        <w:t>The loss of social capital and impact of program discontinuity</w:t>
      </w:r>
    </w:p>
    <w:p w14:paraId="15901BB7" w14:textId="5483EEF5" w:rsidR="001129C8" w:rsidRPr="00104195" w:rsidRDefault="001129C8" w:rsidP="004027CF">
      <w:r w:rsidRPr="00531754">
        <w:rPr>
          <w:rFonts w:ascii="Avenir Book" w:hAnsi="Avenir Book"/>
          <w:noProof/>
        </w:rPr>
        <w:drawing>
          <wp:inline distT="0" distB="0" distL="0" distR="0" wp14:anchorId="6472FEAD" wp14:editId="2AA10C3D">
            <wp:extent cx="4623715" cy="2389656"/>
            <wp:effectExtent l="0" t="0" r="0" b="0"/>
            <wp:docPr id="8" name="Picture 8" descr="The chart depicts the process of program funding and defunding within Tier 2 service promotion and knowledge services. The funding uncertainty and inconsistency gives rise to deleterious impacts of service promotion, continuity and goodwill.&#10;&#10;Initiative funded: A new program is promoted through ILC grants.&#10;&#10;Delivery: Employees and Clients engage with the program&#10;&#10;Social capital: Social capital and goodwill is created between parties&#10;&#10;Social Capital lost: Funding is discontinued, impacting program availability.&#10;&#10;New venture initiation: A new venture must be initiated and prom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chart depicts the process of program funding and defunding within Tier 2 service promotion and knowledge services. The funding uncertainty and inconsistency gives rise to deleterious impacts of service promotion, continuity and goodwill.&#10;&#10;Initiative funded: A new program is promoted through ILC grants.&#10;&#10;Delivery: Employees and Clients engage with the program&#10;&#10;Social capital: Social capital and goodwill is created between parties&#10;&#10;Social Capital lost: Funding is discontinued, impacting program availability.&#10;&#10;New venture initiation: A new venture must be initiated and promo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3810" cy="2400042"/>
                    </a:xfrm>
                    <a:prstGeom prst="rect">
                      <a:avLst/>
                    </a:prstGeom>
                    <a:noFill/>
                    <a:ln>
                      <a:noFill/>
                    </a:ln>
                  </pic:spPr>
                </pic:pic>
              </a:graphicData>
            </a:graphic>
          </wp:inline>
        </w:drawing>
      </w:r>
    </w:p>
    <w:p w14:paraId="19A35867" w14:textId="77777777" w:rsidR="00531754" w:rsidRPr="00531754" w:rsidRDefault="00531754" w:rsidP="00104195">
      <w:r w:rsidRPr="00531754">
        <w:t>Note: The chart depicts the process of program funding and defunding within Tier 2 service promotion and knowledge services. The funding uncertainty and inconsistency gives rise to deleterious impacts of service promotion, continuity and goodwill.</w:t>
      </w:r>
    </w:p>
    <w:p w14:paraId="03A8897D" w14:textId="77777777" w:rsidR="00531754" w:rsidRPr="00104195" w:rsidRDefault="00531754" w:rsidP="00104195">
      <w:pPr>
        <w:pStyle w:val="Heading3"/>
      </w:pPr>
      <w:bookmarkStart w:id="78" w:name="_Toc119966542"/>
      <w:bookmarkStart w:id="79" w:name="_Toc120266196"/>
      <w:bookmarkStart w:id="80" w:name="_Toc120266231"/>
      <w:bookmarkStart w:id="81" w:name="_Toc120266351"/>
      <w:bookmarkStart w:id="82" w:name="_Toc120268919"/>
      <w:bookmarkStart w:id="83" w:name="_Toc130942933"/>
      <w:r w:rsidRPr="00104195">
        <w:t>Extension funding</w:t>
      </w:r>
      <w:bookmarkEnd w:id="78"/>
      <w:bookmarkEnd w:id="79"/>
      <w:bookmarkEnd w:id="80"/>
      <w:bookmarkEnd w:id="81"/>
      <w:bookmarkEnd w:id="82"/>
      <w:bookmarkEnd w:id="83"/>
      <w:r w:rsidRPr="00104195">
        <w:t> </w:t>
      </w:r>
    </w:p>
    <w:p w14:paraId="3B72F1C8" w14:textId="77777777" w:rsidR="006B21FE" w:rsidRDefault="00531754" w:rsidP="006B21FE">
      <w:r w:rsidRPr="00531754">
        <w:t xml:space="preserve">While the provision of extension funding in 2020 and 2021 is welcomed, the scale of extension funding and each ILC aligned round remains modest at best. Current extension funding assigned through the 2020 and 2021 extension program equates to 133 million dollars. While all block funding is beneficial and likely to evidence a strong SROI, the overall scale of funding is inadequate to address the needs of the </w:t>
      </w:r>
      <w:r w:rsidR="003C31D1">
        <w:t>people with disabilities</w:t>
      </w:r>
      <w:r w:rsidRPr="00531754">
        <w:t xml:space="preserve">, while targeted funding for individuals from specific groups evidencing greater vulnerabilities by </w:t>
      </w:r>
      <w:r w:rsidRPr="00531754">
        <w:lastRenderedPageBreak/>
        <w:t>virtue of gender identity, or as members of First Peoples communities remains extremely inadequate.  </w:t>
      </w:r>
    </w:p>
    <w:p w14:paraId="23996F21" w14:textId="7810E6CB" w:rsidR="00531754" w:rsidRPr="00531754" w:rsidRDefault="00531754" w:rsidP="006B21FE">
      <w:pPr>
        <w:pStyle w:val="Heading2"/>
      </w:pPr>
      <w:bookmarkStart w:id="84" w:name="_Toc130942934"/>
      <w:r w:rsidRPr="00531754">
        <w:t>Examining State level investment in Tier 2 services (Pre and Post the NDIS rollout)</w:t>
      </w:r>
      <w:bookmarkEnd w:id="84"/>
    </w:p>
    <w:p w14:paraId="3DBBE4A7" w14:textId="1872D9B7" w:rsidR="00531754" w:rsidRDefault="00531754" w:rsidP="00104195">
      <w:r w:rsidRPr="00531754">
        <w:t xml:space="preserve">While the NDIS is a national scheme, the federal government is not the sole responsible entity: all governments share the responsibility for NDIS policy, funding and governance (NDIA, 2020, PC 2023). As part of their alignment to the National Disability Authority (NDA), state and territory governments maintain responsibility for </w:t>
      </w:r>
      <w:r w:rsidR="003C31D1" w:rsidRPr="00531754">
        <w:t>several</w:t>
      </w:r>
      <w:r w:rsidRPr="00531754">
        <w:t xml:space="preserve"> specialist disability services.  Consequently, many services that are ‘Tier 2-like’, were funded by the state and territory governments prior to the establishment of the NDIS. Indeed, specialist services remain within the scope of the states</w:t>
      </w:r>
      <w:r w:rsidR="003C31D1">
        <w:t>’</w:t>
      </w:r>
      <w:r w:rsidRPr="00531754">
        <w:t xml:space="preserve"> agreements, even with the NDIS approaching maturity. However, it appears that current NDIS funding may in fact be lower than aggregate state level expenditures on Tier 2 type activities that predate the NDIS.</w:t>
      </w:r>
    </w:p>
    <w:p w14:paraId="51350A72" w14:textId="2B9BEB92" w:rsidR="003C31D1" w:rsidRPr="00104195" w:rsidRDefault="00531754" w:rsidP="00104195">
      <w:pPr>
        <w:rPr>
          <w:b/>
          <w:bCs/>
        </w:rPr>
      </w:pPr>
      <w:r w:rsidRPr="00104195">
        <w:rPr>
          <w:b/>
          <w:bCs/>
        </w:rPr>
        <w:t>Figure 10</w:t>
      </w:r>
    </w:p>
    <w:p w14:paraId="638F4A4D" w14:textId="38FEF3BD" w:rsidR="00531754" w:rsidRPr="00BF74F5" w:rsidRDefault="00531754" w:rsidP="00BF74F5">
      <w:pPr>
        <w:rPr>
          <w:b/>
          <w:bCs/>
        </w:rPr>
      </w:pPr>
      <w:r w:rsidRPr="00104195">
        <w:rPr>
          <w:b/>
          <w:bCs/>
        </w:rPr>
        <w:t>Decline in state level investment in Disability Services Net of NDIS, (in thousands)</w:t>
      </w:r>
    </w:p>
    <w:tbl>
      <w:tblPr>
        <w:tblStyle w:val="TableGrid"/>
        <w:tblW w:w="0" w:type="auto"/>
        <w:tblLook w:val="04A0" w:firstRow="1" w:lastRow="0" w:firstColumn="1" w:lastColumn="0" w:noHBand="0" w:noVBand="1"/>
      </w:tblPr>
      <w:tblGrid>
        <w:gridCol w:w="988"/>
        <w:gridCol w:w="1151"/>
        <w:gridCol w:w="1151"/>
        <w:gridCol w:w="1151"/>
        <w:gridCol w:w="1057"/>
        <w:gridCol w:w="1058"/>
        <w:gridCol w:w="1058"/>
        <w:gridCol w:w="1058"/>
        <w:gridCol w:w="1058"/>
      </w:tblGrid>
      <w:tr w:rsidR="00B60B52" w14:paraId="1534B587" w14:textId="77777777" w:rsidTr="00FD04D9">
        <w:tc>
          <w:tcPr>
            <w:tcW w:w="1081" w:type="dxa"/>
          </w:tcPr>
          <w:p w14:paraId="0F295AD9" w14:textId="7DE18D89" w:rsidR="00FD04D9" w:rsidRPr="00E45303" w:rsidRDefault="00E45303" w:rsidP="003F1B2F">
            <w:pPr>
              <w:rPr>
                <w:b/>
                <w:bCs/>
              </w:rPr>
            </w:pPr>
            <w:r>
              <w:rPr>
                <w:b/>
                <w:bCs/>
              </w:rPr>
              <w:t>Year</w:t>
            </w:r>
          </w:p>
        </w:tc>
        <w:tc>
          <w:tcPr>
            <w:tcW w:w="1081" w:type="dxa"/>
          </w:tcPr>
          <w:p w14:paraId="408EE9DC" w14:textId="34C99F51" w:rsidR="00FD04D9" w:rsidRPr="00E45303" w:rsidRDefault="00F320EE" w:rsidP="003F1B2F">
            <w:pPr>
              <w:rPr>
                <w:b/>
                <w:bCs/>
              </w:rPr>
            </w:pPr>
            <w:r w:rsidRPr="00E45303">
              <w:rPr>
                <w:b/>
                <w:bCs/>
              </w:rPr>
              <w:t>NSW (b)</w:t>
            </w:r>
          </w:p>
        </w:tc>
        <w:tc>
          <w:tcPr>
            <w:tcW w:w="1081" w:type="dxa"/>
          </w:tcPr>
          <w:p w14:paraId="45AE6B26" w14:textId="4724DCAF" w:rsidR="00FD04D9" w:rsidRPr="00E45303" w:rsidRDefault="00F320EE" w:rsidP="003F1B2F">
            <w:pPr>
              <w:rPr>
                <w:b/>
                <w:bCs/>
              </w:rPr>
            </w:pPr>
            <w:r w:rsidRPr="00E45303">
              <w:rPr>
                <w:b/>
                <w:bCs/>
              </w:rPr>
              <w:t>Vic</w:t>
            </w:r>
          </w:p>
        </w:tc>
        <w:tc>
          <w:tcPr>
            <w:tcW w:w="1081" w:type="dxa"/>
          </w:tcPr>
          <w:p w14:paraId="4F515C8E" w14:textId="5C04D765" w:rsidR="00FD04D9" w:rsidRPr="00E45303" w:rsidRDefault="00F320EE" w:rsidP="003F1B2F">
            <w:pPr>
              <w:rPr>
                <w:b/>
                <w:bCs/>
              </w:rPr>
            </w:pPr>
            <w:r w:rsidRPr="00E45303">
              <w:rPr>
                <w:b/>
                <w:bCs/>
              </w:rPr>
              <w:t xml:space="preserve">Qld </w:t>
            </w:r>
            <w:r w:rsidR="002D4648" w:rsidRPr="00E45303">
              <w:rPr>
                <w:b/>
                <w:bCs/>
              </w:rPr>
              <w:t>(c)</w:t>
            </w:r>
          </w:p>
        </w:tc>
        <w:tc>
          <w:tcPr>
            <w:tcW w:w="1081" w:type="dxa"/>
          </w:tcPr>
          <w:p w14:paraId="7F58A5EC" w14:textId="4EEF33BD" w:rsidR="00FD04D9" w:rsidRPr="00E45303" w:rsidRDefault="002D4648" w:rsidP="003F1B2F">
            <w:pPr>
              <w:rPr>
                <w:b/>
                <w:bCs/>
              </w:rPr>
            </w:pPr>
            <w:r w:rsidRPr="00E45303">
              <w:rPr>
                <w:b/>
                <w:bCs/>
              </w:rPr>
              <w:t>WA (d)</w:t>
            </w:r>
          </w:p>
        </w:tc>
        <w:tc>
          <w:tcPr>
            <w:tcW w:w="1081" w:type="dxa"/>
          </w:tcPr>
          <w:p w14:paraId="06E255FC" w14:textId="36FBDDE6" w:rsidR="00FD04D9" w:rsidRPr="00E45303" w:rsidRDefault="002D4648" w:rsidP="003F1B2F">
            <w:pPr>
              <w:rPr>
                <w:b/>
                <w:bCs/>
              </w:rPr>
            </w:pPr>
            <w:r w:rsidRPr="00E45303">
              <w:rPr>
                <w:b/>
                <w:bCs/>
              </w:rPr>
              <w:t xml:space="preserve">SA </w:t>
            </w:r>
            <w:r w:rsidR="00BF74F5">
              <w:rPr>
                <w:b/>
                <w:bCs/>
              </w:rPr>
              <w:t>(c)</w:t>
            </w:r>
            <w:r w:rsidRPr="00E45303">
              <w:rPr>
                <w:b/>
                <w:bCs/>
              </w:rPr>
              <w:t>, (f)</w:t>
            </w:r>
          </w:p>
        </w:tc>
        <w:tc>
          <w:tcPr>
            <w:tcW w:w="1081" w:type="dxa"/>
          </w:tcPr>
          <w:p w14:paraId="340952C7" w14:textId="7F2A899D" w:rsidR="00FD04D9" w:rsidRPr="00E45303" w:rsidRDefault="002D4648" w:rsidP="003F1B2F">
            <w:pPr>
              <w:rPr>
                <w:b/>
                <w:bCs/>
              </w:rPr>
            </w:pPr>
            <w:r w:rsidRPr="00E45303">
              <w:rPr>
                <w:b/>
                <w:bCs/>
              </w:rPr>
              <w:t>Tas (c)</w:t>
            </w:r>
            <w:r w:rsidR="005549C3" w:rsidRPr="00E45303">
              <w:rPr>
                <w:b/>
                <w:bCs/>
              </w:rPr>
              <w:t>, (f)</w:t>
            </w:r>
          </w:p>
        </w:tc>
        <w:tc>
          <w:tcPr>
            <w:tcW w:w="1081" w:type="dxa"/>
          </w:tcPr>
          <w:p w14:paraId="64B978E7" w14:textId="26D401C3" w:rsidR="00FD04D9" w:rsidRPr="00E45303" w:rsidRDefault="005549C3" w:rsidP="003F1B2F">
            <w:pPr>
              <w:rPr>
                <w:b/>
                <w:bCs/>
              </w:rPr>
            </w:pPr>
            <w:r w:rsidRPr="00E45303">
              <w:rPr>
                <w:b/>
                <w:bCs/>
              </w:rPr>
              <w:t>ACT</w:t>
            </w:r>
          </w:p>
        </w:tc>
        <w:tc>
          <w:tcPr>
            <w:tcW w:w="1082" w:type="dxa"/>
          </w:tcPr>
          <w:p w14:paraId="3A60233D" w14:textId="7678ACF6" w:rsidR="00FD04D9" w:rsidRPr="00E45303" w:rsidRDefault="005549C3" w:rsidP="003F1B2F">
            <w:pPr>
              <w:rPr>
                <w:b/>
                <w:bCs/>
              </w:rPr>
            </w:pPr>
            <w:r w:rsidRPr="00E45303">
              <w:rPr>
                <w:b/>
                <w:bCs/>
              </w:rPr>
              <w:t>NT</w:t>
            </w:r>
          </w:p>
        </w:tc>
      </w:tr>
      <w:tr w:rsidR="00B60B52" w14:paraId="29D145A5" w14:textId="77777777" w:rsidTr="00FD04D9">
        <w:tc>
          <w:tcPr>
            <w:tcW w:w="1081" w:type="dxa"/>
          </w:tcPr>
          <w:p w14:paraId="2224B1C5" w14:textId="1FA8FF3D" w:rsidR="00FD04D9" w:rsidRDefault="00F320EE" w:rsidP="003F1B2F">
            <w:r>
              <w:t>2011-12</w:t>
            </w:r>
          </w:p>
        </w:tc>
        <w:tc>
          <w:tcPr>
            <w:tcW w:w="1081" w:type="dxa"/>
          </w:tcPr>
          <w:p w14:paraId="74C48F1B" w14:textId="2CB3FB96" w:rsidR="00FD04D9" w:rsidRDefault="00FB3798" w:rsidP="003F1B2F">
            <w:r>
              <w:t>2000946</w:t>
            </w:r>
          </w:p>
        </w:tc>
        <w:tc>
          <w:tcPr>
            <w:tcW w:w="1081" w:type="dxa"/>
          </w:tcPr>
          <w:p w14:paraId="33B2F605" w14:textId="5C061344" w:rsidR="00FD04D9" w:rsidRDefault="00FB3798" w:rsidP="003F1B2F">
            <w:r>
              <w:t>1570515</w:t>
            </w:r>
          </w:p>
        </w:tc>
        <w:tc>
          <w:tcPr>
            <w:tcW w:w="1081" w:type="dxa"/>
          </w:tcPr>
          <w:p w14:paraId="7394F75A" w14:textId="4E3FCBA2" w:rsidR="00FD04D9" w:rsidRDefault="00FB3798" w:rsidP="003F1B2F">
            <w:r>
              <w:t>1045528</w:t>
            </w:r>
          </w:p>
        </w:tc>
        <w:tc>
          <w:tcPr>
            <w:tcW w:w="1081" w:type="dxa"/>
          </w:tcPr>
          <w:p w14:paraId="34E23A39" w14:textId="1216D233" w:rsidR="00FD04D9" w:rsidRDefault="004454BF" w:rsidP="003F1B2F">
            <w:r>
              <w:t>716604</w:t>
            </w:r>
          </w:p>
        </w:tc>
        <w:tc>
          <w:tcPr>
            <w:tcW w:w="1081" w:type="dxa"/>
          </w:tcPr>
          <w:p w14:paraId="65E0605E" w14:textId="631EE021" w:rsidR="00FD04D9" w:rsidRDefault="004454BF" w:rsidP="003F1B2F">
            <w:r>
              <w:t>488484</w:t>
            </w:r>
          </w:p>
        </w:tc>
        <w:tc>
          <w:tcPr>
            <w:tcW w:w="1081" w:type="dxa"/>
          </w:tcPr>
          <w:p w14:paraId="6BDDD0CF" w14:textId="50DE0BB8" w:rsidR="00FD04D9" w:rsidRDefault="00166B8D" w:rsidP="003F1B2F">
            <w:r>
              <w:t>163</w:t>
            </w:r>
            <w:r w:rsidR="00E45303">
              <w:t>266</w:t>
            </w:r>
          </w:p>
        </w:tc>
        <w:tc>
          <w:tcPr>
            <w:tcW w:w="1081" w:type="dxa"/>
          </w:tcPr>
          <w:p w14:paraId="37A08D29" w14:textId="18E620CD" w:rsidR="00FD04D9" w:rsidRDefault="00B60B52" w:rsidP="003F1B2F">
            <w:r>
              <w:t>94921</w:t>
            </w:r>
          </w:p>
        </w:tc>
        <w:tc>
          <w:tcPr>
            <w:tcW w:w="1082" w:type="dxa"/>
          </w:tcPr>
          <w:p w14:paraId="25543064" w14:textId="10A1BA54" w:rsidR="00FD04D9" w:rsidRDefault="00166B8D" w:rsidP="003F1B2F">
            <w:r>
              <w:t>69643</w:t>
            </w:r>
          </w:p>
        </w:tc>
      </w:tr>
      <w:tr w:rsidR="00B60B52" w14:paraId="7D34746D" w14:textId="77777777" w:rsidTr="00FD04D9">
        <w:tc>
          <w:tcPr>
            <w:tcW w:w="1081" w:type="dxa"/>
          </w:tcPr>
          <w:p w14:paraId="5C699232" w14:textId="7138152A" w:rsidR="00FD04D9" w:rsidRDefault="00F320EE" w:rsidP="003F1B2F">
            <w:r>
              <w:t>2012-13</w:t>
            </w:r>
          </w:p>
        </w:tc>
        <w:tc>
          <w:tcPr>
            <w:tcW w:w="1081" w:type="dxa"/>
          </w:tcPr>
          <w:p w14:paraId="591A7E66" w14:textId="23219A3A" w:rsidR="00FD04D9" w:rsidRDefault="001B57FE" w:rsidP="003F1B2F">
            <w:r>
              <w:t>2</w:t>
            </w:r>
            <w:r w:rsidR="00E87A76">
              <w:t>140291</w:t>
            </w:r>
          </w:p>
        </w:tc>
        <w:tc>
          <w:tcPr>
            <w:tcW w:w="1081" w:type="dxa"/>
          </w:tcPr>
          <w:p w14:paraId="68700105" w14:textId="30FD8168" w:rsidR="00FD04D9" w:rsidRDefault="00A47C5E" w:rsidP="003F1B2F">
            <w:r>
              <w:t>15943</w:t>
            </w:r>
            <w:r w:rsidR="00554242">
              <w:t>78</w:t>
            </w:r>
          </w:p>
        </w:tc>
        <w:tc>
          <w:tcPr>
            <w:tcW w:w="1081" w:type="dxa"/>
          </w:tcPr>
          <w:p w14:paraId="2BE40139" w14:textId="65FA320E" w:rsidR="00FD04D9" w:rsidRDefault="00CF1CEE" w:rsidP="003F1B2F">
            <w:r>
              <w:t>1166205</w:t>
            </w:r>
          </w:p>
        </w:tc>
        <w:tc>
          <w:tcPr>
            <w:tcW w:w="1081" w:type="dxa"/>
          </w:tcPr>
          <w:p w14:paraId="650FAA77" w14:textId="6EDAB8F8" w:rsidR="00FD04D9" w:rsidRDefault="00803F1F" w:rsidP="003F1B2F">
            <w:r>
              <w:t>774327</w:t>
            </w:r>
          </w:p>
        </w:tc>
        <w:tc>
          <w:tcPr>
            <w:tcW w:w="1081" w:type="dxa"/>
          </w:tcPr>
          <w:p w14:paraId="250B915E" w14:textId="1A4E8ECF" w:rsidR="00FD04D9" w:rsidRDefault="00355743" w:rsidP="003F1B2F">
            <w:r>
              <w:t>529533</w:t>
            </w:r>
          </w:p>
        </w:tc>
        <w:tc>
          <w:tcPr>
            <w:tcW w:w="1081" w:type="dxa"/>
          </w:tcPr>
          <w:p w14:paraId="47D47979" w14:textId="5D6E66BA" w:rsidR="00FD04D9" w:rsidRDefault="005C0B7D" w:rsidP="003F1B2F">
            <w:r>
              <w:t>168811</w:t>
            </w:r>
          </w:p>
        </w:tc>
        <w:tc>
          <w:tcPr>
            <w:tcW w:w="1081" w:type="dxa"/>
          </w:tcPr>
          <w:p w14:paraId="3D44E4E2" w14:textId="70ABFD5D" w:rsidR="00FD04D9" w:rsidRDefault="0084124A" w:rsidP="003F1B2F">
            <w:r>
              <w:t>96966</w:t>
            </w:r>
          </w:p>
        </w:tc>
        <w:tc>
          <w:tcPr>
            <w:tcW w:w="1082" w:type="dxa"/>
          </w:tcPr>
          <w:p w14:paraId="170D8859" w14:textId="0183633E" w:rsidR="00FD04D9" w:rsidRDefault="00EC3577" w:rsidP="003F1B2F">
            <w:r>
              <w:t>78243</w:t>
            </w:r>
          </w:p>
        </w:tc>
      </w:tr>
      <w:tr w:rsidR="00B60B52" w14:paraId="7F7786C0" w14:textId="77777777" w:rsidTr="00FD04D9">
        <w:tc>
          <w:tcPr>
            <w:tcW w:w="1081" w:type="dxa"/>
          </w:tcPr>
          <w:p w14:paraId="60637F58" w14:textId="5FDF8F1D" w:rsidR="00FD04D9" w:rsidRDefault="00F320EE" w:rsidP="003F1B2F">
            <w:r>
              <w:t>2013-14</w:t>
            </w:r>
          </w:p>
        </w:tc>
        <w:tc>
          <w:tcPr>
            <w:tcW w:w="1081" w:type="dxa"/>
          </w:tcPr>
          <w:p w14:paraId="641935A6" w14:textId="7F8F4694" w:rsidR="00FD04D9" w:rsidRDefault="00E87A76" w:rsidP="003F1B2F">
            <w:r>
              <w:t>2204425</w:t>
            </w:r>
          </w:p>
        </w:tc>
        <w:tc>
          <w:tcPr>
            <w:tcW w:w="1081" w:type="dxa"/>
          </w:tcPr>
          <w:p w14:paraId="362C039D" w14:textId="589573ED" w:rsidR="00FD04D9" w:rsidRDefault="00554242" w:rsidP="003F1B2F">
            <w:r>
              <w:t>1666396</w:t>
            </w:r>
          </w:p>
        </w:tc>
        <w:tc>
          <w:tcPr>
            <w:tcW w:w="1081" w:type="dxa"/>
          </w:tcPr>
          <w:p w14:paraId="51935D80" w14:textId="52007A02" w:rsidR="00FD04D9" w:rsidRDefault="00CF1CEE" w:rsidP="003F1B2F">
            <w:r>
              <w:t>1181162</w:t>
            </w:r>
          </w:p>
        </w:tc>
        <w:tc>
          <w:tcPr>
            <w:tcW w:w="1081" w:type="dxa"/>
          </w:tcPr>
          <w:p w14:paraId="1D76CB92" w14:textId="0E9554A6" w:rsidR="00FD04D9" w:rsidRDefault="00803F1F" w:rsidP="003F1B2F">
            <w:r>
              <w:t>837440</w:t>
            </w:r>
          </w:p>
        </w:tc>
        <w:tc>
          <w:tcPr>
            <w:tcW w:w="1081" w:type="dxa"/>
          </w:tcPr>
          <w:p w14:paraId="716C723C" w14:textId="4DD0C419" w:rsidR="00FD04D9" w:rsidRDefault="00E6780A" w:rsidP="003F1B2F">
            <w:r>
              <w:t>587071</w:t>
            </w:r>
          </w:p>
        </w:tc>
        <w:tc>
          <w:tcPr>
            <w:tcW w:w="1081" w:type="dxa"/>
          </w:tcPr>
          <w:p w14:paraId="68674B99" w14:textId="1B762F5C" w:rsidR="00FD04D9" w:rsidRDefault="00E26BAA" w:rsidP="003F1B2F">
            <w:r>
              <w:t>168553</w:t>
            </w:r>
          </w:p>
        </w:tc>
        <w:tc>
          <w:tcPr>
            <w:tcW w:w="1081" w:type="dxa"/>
          </w:tcPr>
          <w:p w14:paraId="5DCC2AAF" w14:textId="21BF3514" w:rsidR="00FD04D9" w:rsidRDefault="0084124A" w:rsidP="003F1B2F">
            <w:r>
              <w:t>108117</w:t>
            </w:r>
          </w:p>
        </w:tc>
        <w:tc>
          <w:tcPr>
            <w:tcW w:w="1082" w:type="dxa"/>
          </w:tcPr>
          <w:p w14:paraId="7C8E704F" w14:textId="72DF50C9" w:rsidR="00FD04D9" w:rsidRDefault="00EC3577" w:rsidP="003F1B2F">
            <w:r>
              <w:t>87542</w:t>
            </w:r>
          </w:p>
        </w:tc>
      </w:tr>
      <w:tr w:rsidR="00B60B52" w14:paraId="44FD350C" w14:textId="77777777" w:rsidTr="00FD04D9">
        <w:tc>
          <w:tcPr>
            <w:tcW w:w="1081" w:type="dxa"/>
          </w:tcPr>
          <w:p w14:paraId="27795DED" w14:textId="54A5254F" w:rsidR="00FD04D9" w:rsidRDefault="00F320EE" w:rsidP="003F1B2F">
            <w:r>
              <w:t>2014-15</w:t>
            </w:r>
          </w:p>
        </w:tc>
        <w:tc>
          <w:tcPr>
            <w:tcW w:w="1081" w:type="dxa"/>
          </w:tcPr>
          <w:p w14:paraId="76150F68" w14:textId="7331585E" w:rsidR="00FD04D9" w:rsidRDefault="00E87A76" w:rsidP="003F1B2F">
            <w:r>
              <w:t>2383462</w:t>
            </w:r>
          </w:p>
        </w:tc>
        <w:tc>
          <w:tcPr>
            <w:tcW w:w="1081" w:type="dxa"/>
          </w:tcPr>
          <w:p w14:paraId="20FCFF78" w14:textId="1B014381" w:rsidR="00FD04D9" w:rsidRDefault="00554242" w:rsidP="003F1B2F">
            <w:r>
              <w:t>1707485</w:t>
            </w:r>
          </w:p>
        </w:tc>
        <w:tc>
          <w:tcPr>
            <w:tcW w:w="1081" w:type="dxa"/>
          </w:tcPr>
          <w:p w14:paraId="24E16DA5" w14:textId="78E70507" w:rsidR="00FD04D9" w:rsidRDefault="00CF1CEE" w:rsidP="003F1B2F">
            <w:r>
              <w:t>1254390</w:t>
            </w:r>
          </w:p>
        </w:tc>
        <w:tc>
          <w:tcPr>
            <w:tcW w:w="1081" w:type="dxa"/>
          </w:tcPr>
          <w:p w14:paraId="77381E9E" w14:textId="1278B502" w:rsidR="00FD04D9" w:rsidRDefault="00546B97" w:rsidP="003F1B2F">
            <w:r>
              <w:t>920414</w:t>
            </w:r>
          </w:p>
        </w:tc>
        <w:tc>
          <w:tcPr>
            <w:tcW w:w="1081" w:type="dxa"/>
          </w:tcPr>
          <w:p w14:paraId="3EFB7EC5" w14:textId="4B5FFB06" w:rsidR="00FD04D9" w:rsidRDefault="00E6780A" w:rsidP="003F1B2F">
            <w:r>
              <w:t>646145</w:t>
            </w:r>
          </w:p>
        </w:tc>
        <w:tc>
          <w:tcPr>
            <w:tcW w:w="1081" w:type="dxa"/>
          </w:tcPr>
          <w:p w14:paraId="513B30A5" w14:textId="3DAC0860" w:rsidR="00FD04D9" w:rsidRDefault="00E26BAA" w:rsidP="003F1B2F">
            <w:r>
              <w:t>106834</w:t>
            </w:r>
          </w:p>
        </w:tc>
        <w:tc>
          <w:tcPr>
            <w:tcW w:w="1081" w:type="dxa"/>
          </w:tcPr>
          <w:p w14:paraId="66C6050D" w14:textId="500E9930" w:rsidR="00FD04D9" w:rsidRDefault="0084124A" w:rsidP="003F1B2F">
            <w:r>
              <w:t>171907</w:t>
            </w:r>
          </w:p>
        </w:tc>
        <w:tc>
          <w:tcPr>
            <w:tcW w:w="1082" w:type="dxa"/>
          </w:tcPr>
          <w:p w14:paraId="55BCBF21" w14:textId="333250A3" w:rsidR="00FD04D9" w:rsidRDefault="00302E93" w:rsidP="003F1B2F">
            <w:r>
              <w:t>90502</w:t>
            </w:r>
          </w:p>
        </w:tc>
      </w:tr>
      <w:tr w:rsidR="00B60B52" w14:paraId="0B74974E" w14:textId="77777777" w:rsidTr="00FD04D9">
        <w:tc>
          <w:tcPr>
            <w:tcW w:w="1081" w:type="dxa"/>
          </w:tcPr>
          <w:p w14:paraId="40E8E1F4" w14:textId="7D933A9D" w:rsidR="00FD04D9" w:rsidRDefault="00F320EE" w:rsidP="003F1B2F">
            <w:r>
              <w:t>2015-16</w:t>
            </w:r>
          </w:p>
        </w:tc>
        <w:tc>
          <w:tcPr>
            <w:tcW w:w="1081" w:type="dxa"/>
          </w:tcPr>
          <w:p w14:paraId="41312A41" w14:textId="54AE7498" w:rsidR="00FD04D9" w:rsidRDefault="00E87A76" w:rsidP="003F1B2F">
            <w:r>
              <w:t>2496164</w:t>
            </w:r>
          </w:p>
        </w:tc>
        <w:tc>
          <w:tcPr>
            <w:tcW w:w="1081" w:type="dxa"/>
          </w:tcPr>
          <w:p w14:paraId="162EC693" w14:textId="09AD2075" w:rsidR="00FD04D9" w:rsidRDefault="00554242" w:rsidP="003F1B2F">
            <w:r>
              <w:t>1793808</w:t>
            </w:r>
          </w:p>
        </w:tc>
        <w:tc>
          <w:tcPr>
            <w:tcW w:w="1081" w:type="dxa"/>
          </w:tcPr>
          <w:p w14:paraId="1B84A968" w14:textId="657E96C8" w:rsidR="00FD04D9" w:rsidRDefault="00CF1CEE" w:rsidP="003F1B2F">
            <w:r>
              <w:t>1362024</w:t>
            </w:r>
          </w:p>
        </w:tc>
        <w:tc>
          <w:tcPr>
            <w:tcW w:w="1081" w:type="dxa"/>
          </w:tcPr>
          <w:p w14:paraId="4B63B081" w14:textId="26DC61C5" w:rsidR="00FD04D9" w:rsidRDefault="00546B97" w:rsidP="003F1B2F">
            <w:r>
              <w:t>946758</w:t>
            </w:r>
          </w:p>
        </w:tc>
        <w:tc>
          <w:tcPr>
            <w:tcW w:w="1081" w:type="dxa"/>
          </w:tcPr>
          <w:p w14:paraId="4A7727C5" w14:textId="4C461D4D" w:rsidR="00FD04D9" w:rsidRDefault="00E6780A" w:rsidP="003F1B2F">
            <w:r>
              <w:t>676871</w:t>
            </w:r>
          </w:p>
        </w:tc>
        <w:tc>
          <w:tcPr>
            <w:tcW w:w="1081" w:type="dxa"/>
          </w:tcPr>
          <w:p w14:paraId="583D816A" w14:textId="19CBDC14" w:rsidR="00FD04D9" w:rsidRDefault="00E26BAA" w:rsidP="003F1B2F">
            <w:r>
              <w:t>175855</w:t>
            </w:r>
          </w:p>
        </w:tc>
        <w:tc>
          <w:tcPr>
            <w:tcW w:w="1081" w:type="dxa"/>
          </w:tcPr>
          <w:p w14:paraId="4A9A98F9" w14:textId="7AE166F2" w:rsidR="00FD04D9" w:rsidRDefault="0084124A" w:rsidP="003F1B2F">
            <w:r>
              <w:t>106834</w:t>
            </w:r>
          </w:p>
        </w:tc>
        <w:tc>
          <w:tcPr>
            <w:tcW w:w="1082" w:type="dxa"/>
          </w:tcPr>
          <w:p w14:paraId="27EB5DA7" w14:textId="768660D9" w:rsidR="00FD04D9" w:rsidRDefault="00302E93" w:rsidP="003F1B2F">
            <w:r>
              <w:t>90301</w:t>
            </w:r>
          </w:p>
        </w:tc>
      </w:tr>
      <w:tr w:rsidR="00B60B52" w14:paraId="29D5BAAB" w14:textId="77777777" w:rsidTr="00FD04D9">
        <w:tc>
          <w:tcPr>
            <w:tcW w:w="1081" w:type="dxa"/>
          </w:tcPr>
          <w:p w14:paraId="12DD3154" w14:textId="1D6BEBDB" w:rsidR="00FD04D9" w:rsidRDefault="00F320EE" w:rsidP="003F1B2F">
            <w:r>
              <w:lastRenderedPageBreak/>
              <w:t>2016-17</w:t>
            </w:r>
          </w:p>
        </w:tc>
        <w:tc>
          <w:tcPr>
            <w:tcW w:w="1081" w:type="dxa"/>
          </w:tcPr>
          <w:p w14:paraId="4ABA1A83" w14:textId="70DDCC74" w:rsidR="00FD04D9" w:rsidRDefault="00107170" w:rsidP="003F1B2F">
            <w:r>
              <w:t>2057588</w:t>
            </w:r>
          </w:p>
        </w:tc>
        <w:tc>
          <w:tcPr>
            <w:tcW w:w="1081" w:type="dxa"/>
          </w:tcPr>
          <w:p w14:paraId="6097F9DE" w14:textId="1D9B8F2D" w:rsidR="00FD04D9" w:rsidRDefault="00554242" w:rsidP="003F1B2F">
            <w:r>
              <w:t>1</w:t>
            </w:r>
            <w:r w:rsidR="004E0C23">
              <w:t>588682</w:t>
            </w:r>
          </w:p>
        </w:tc>
        <w:tc>
          <w:tcPr>
            <w:tcW w:w="1081" w:type="dxa"/>
          </w:tcPr>
          <w:p w14:paraId="4159912A" w14:textId="01723998" w:rsidR="00FD04D9" w:rsidRDefault="001C06D8" w:rsidP="003F1B2F">
            <w:r>
              <w:t>1318623</w:t>
            </w:r>
          </w:p>
        </w:tc>
        <w:tc>
          <w:tcPr>
            <w:tcW w:w="1081" w:type="dxa"/>
          </w:tcPr>
          <w:p w14:paraId="2422D818" w14:textId="6266D883" w:rsidR="00FD04D9" w:rsidRDefault="00546B97" w:rsidP="003F1B2F">
            <w:r>
              <w:t>958857</w:t>
            </w:r>
          </w:p>
        </w:tc>
        <w:tc>
          <w:tcPr>
            <w:tcW w:w="1081" w:type="dxa"/>
          </w:tcPr>
          <w:p w14:paraId="67C8D068" w14:textId="10BAB7E8" w:rsidR="00FD04D9" w:rsidRDefault="00E6780A" w:rsidP="003F1B2F">
            <w:r>
              <w:t>702084</w:t>
            </w:r>
          </w:p>
        </w:tc>
        <w:tc>
          <w:tcPr>
            <w:tcW w:w="1081" w:type="dxa"/>
          </w:tcPr>
          <w:p w14:paraId="1DF00EC2" w14:textId="24581D83" w:rsidR="00FD04D9" w:rsidRDefault="00E26BAA" w:rsidP="003F1B2F">
            <w:r>
              <w:t>158209</w:t>
            </w:r>
          </w:p>
        </w:tc>
        <w:tc>
          <w:tcPr>
            <w:tcW w:w="1081" w:type="dxa"/>
          </w:tcPr>
          <w:p w14:paraId="1D72EE50" w14:textId="531F028F" w:rsidR="00FD04D9" w:rsidRDefault="0084124A" w:rsidP="003F1B2F">
            <w:r>
              <w:t>926639</w:t>
            </w:r>
          </w:p>
        </w:tc>
        <w:tc>
          <w:tcPr>
            <w:tcW w:w="1082" w:type="dxa"/>
          </w:tcPr>
          <w:p w14:paraId="5D2D31A0" w14:textId="79F94C4D" w:rsidR="00FD04D9" w:rsidRDefault="00302E93" w:rsidP="003F1B2F">
            <w:r>
              <w:t>100751</w:t>
            </w:r>
          </w:p>
        </w:tc>
      </w:tr>
      <w:tr w:rsidR="00B60B52" w14:paraId="76810640" w14:textId="77777777" w:rsidTr="00FD04D9">
        <w:tc>
          <w:tcPr>
            <w:tcW w:w="1081" w:type="dxa"/>
          </w:tcPr>
          <w:p w14:paraId="0766E90C" w14:textId="0427B361" w:rsidR="00F320EE" w:rsidRDefault="00F320EE" w:rsidP="003F1B2F">
            <w:r>
              <w:t>2017-18</w:t>
            </w:r>
          </w:p>
        </w:tc>
        <w:tc>
          <w:tcPr>
            <w:tcW w:w="1081" w:type="dxa"/>
          </w:tcPr>
          <w:p w14:paraId="12072A4F" w14:textId="2344E77F" w:rsidR="00FD04D9" w:rsidRDefault="00107170" w:rsidP="003F1B2F">
            <w:r>
              <w:t>1119486</w:t>
            </w:r>
          </w:p>
        </w:tc>
        <w:tc>
          <w:tcPr>
            <w:tcW w:w="1081" w:type="dxa"/>
          </w:tcPr>
          <w:p w14:paraId="37EECDF9" w14:textId="37C5896E" w:rsidR="00FD04D9" w:rsidRDefault="004E0C23" w:rsidP="003F1B2F">
            <w:r>
              <w:t>1416385</w:t>
            </w:r>
          </w:p>
        </w:tc>
        <w:tc>
          <w:tcPr>
            <w:tcW w:w="1081" w:type="dxa"/>
          </w:tcPr>
          <w:p w14:paraId="5F60A8EA" w14:textId="5B20CF85" w:rsidR="00FD04D9" w:rsidRDefault="001C06D8" w:rsidP="003F1B2F">
            <w:r>
              <w:t>1148055</w:t>
            </w:r>
          </w:p>
        </w:tc>
        <w:tc>
          <w:tcPr>
            <w:tcW w:w="1081" w:type="dxa"/>
          </w:tcPr>
          <w:p w14:paraId="1A3D0296" w14:textId="448C3F68" w:rsidR="00FD04D9" w:rsidRDefault="001220A2" w:rsidP="003F1B2F">
            <w:r>
              <w:t>832274</w:t>
            </w:r>
          </w:p>
        </w:tc>
        <w:tc>
          <w:tcPr>
            <w:tcW w:w="1081" w:type="dxa"/>
          </w:tcPr>
          <w:p w14:paraId="3198E559" w14:textId="43763B4E" w:rsidR="00FD04D9" w:rsidRDefault="00E6780A" w:rsidP="003F1B2F">
            <w:r>
              <w:t>663844</w:t>
            </w:r>
          </w:p>
        </w:tc>
        <w:tc>
          <w:tcPr>
            <w:tcW w:w="1081" w:type="dxa"/>
          </w:tcPr>
          <w:p w14:paraId="51A34B4B" w14:textId="4CD8AF2D" w:rsidR="00FD04D9" w:rsidRDefault="00E26BAA" w:rsidP="003F1B2F">
            <w:r>
              <w:t>108384</w:t>
            </w:r>
          </w:p>
        </w:tc>
        <w:tc>
          <w:tcPr>
            <w:tcW w:w="1081" w:type="dxa"/>
          </w:tcPr>
          <w:p w14:paraId="008C4C6C" w14:textId="29CDA193" w:rsidR="00FD04D9" w:rsidRDefault="00BC7344" w:rsidP="003F1B2F">
            <w:r>
              <w:t>146888</w:t>
            </w:r>
          </w:p>
        </w:tc>
        <w:tc>
          <w:tcPr>
            <w:tcW w:w="1082" w:type="dxa"/>
          </w:tcPr>
          <w:p w14:paraId="215C8C59" w14:textId="32FC3D6B" w:rsidR="00FD04D9" w:rsidRDefault="00302E93" w:rsidP="003F1B2F">
            <w:r>
              <w:t>60952</w:t>
            </w:r>
          </w:p>
        </w:tc>
      </w:tr>
      <w:tr w:rsidR="00B60B52" w14:paraId="4CC9DCDA" w14:textId="77777777" w:rsidTr="00FD04D9">
        <w:tc>
          <w:tcPr>
            <w:tcW w:w="1081" w:type="dxa"/>
          </w:tcPr>
          <w:p w14:paraId="4ED9BB60" w14:textId="211A7BD0" w:rsidR="00FD04D9" w:rsidRDefault="00F320EE" w:rsidP="003F1B2F">
            <w:r>
              <w:t>2018-19</w:t>
            </w:r>
          </w:p>
        </w:tc>
        <w:tc>
          <w:tcPr>
            <w:tcW w:w="1081" w:type="dxa"/>
          </w:tcPr>
          <w:p w14:paraId="11F62653" w14:textId="001E5AD4" w:rsidR="00FD04D9" w:rsidRDefault="00DF52CE" w:rsidP="003F1B2F">
            <w:r>
              <w:t>189590</w:t>
            </w:r>
          </w:p>
        </w:tc>
        <w:tc>
          <w:tcPr>
            <w:tcW w:w="1081" w:type="dxa"/>
          </w:tcPr>
          <w:p w14:paraId="2B28E677" w14:textId="3E5D7CE9" w:rsidR="00FD04D9" w:rsidRDefault="004E0C23" w:rsidP="003F1B2F">
            <w:r>
              <w:t>689122</w:t>
            </w:r>
          </w:p>
        </w:tc>
        <w:tc>
          <w:tcPr>
            <w:tcW w:w="1081" w:type="dxa"/>
          </w:tcPr>
          <w:p w14:paraId="5B1E326E" w14:textId="2023982E" w:rsidR="00FD04D9" w:rsidRDefault="001C06D8" w:rsidP="003F1B2F">
            <w:r>
              <w:t>680143</w:t>
            </w:r>
          </w:p>
        </w:tc>
        <w:tc>
          <w:tcPr>
            <w:tcW w:w="1081" w:type="dxa"/>
          </w:tcPr>
          <w:p w14:paraId="30817F94" w14:textId="252DA1B0" w:rsidR="00FD04D9" w:rsidRDefault="001220A2" w:rsidP="003F1B2F">
            <w:r>
              <w:t>788345</w:t>
            </w:r>
          </w:p>
        </w:tc>
        <w:tc>
          <w:tcPr>
            <w:tcW w:w="1081" w:type="dxa"/>
          </w:tcPr>
          <w:p w14:paraId="73080D88" w14:textId="4ADFD47B" w:rsidR="00FD04D9" w:rsidRDefault="008D5342" w:rsidP="003F1B2F">
            <w:r>
              <w:t>414728</w:t>
            </w:r>
          </w:p>
        </w:tc>
        <w:tc>
          <w:tcPr>
            <w:tcW w:w="1081" w:type="dxa"/>
          </w:tcPr>
          <w:p w14:paraId="16FC0029" w14:textId="35C42149" w:rsidR="00FD04D9" w:rsidRDefault="002C4B56" w:rsidP="003F1B2F">
            <w:r>
              <w:t>414728</w:t>
            </w:r>
          </w:p>
        </w:tc>
        <w:tc>
          <w:tcPr>
            <w:tcW w:w="1081" w:type="dxa"/>
          </w:tcPr>
          <w:p w14:paraId="5C9EF225" w14:textId="54C070DA" w:rsidR="00FD04D9" w:rsidRDefault="00BC7344" w:rsidP="003F1B2F">
            <w:r>
              <w:t>142263</w:t>
            </w:r>
          </w:p>
        </w:tc>
        <w:tc>
          <w:tcPr>
            <w:tcW w:w="1082" w:type="dxa"/>
          </w:tcPr>
          <w:p w14:paraId="58BC59B2" w14:textId="094F8CFB" w:rsidR="00FD04D9" w:rsidRDefault="00302E93" w:rsidP="003F1B2F">
            <w:r>
              <w:t>35766</w:t>
            </w:r>
          </w:p>
        </w:tc>
      </w:tr>
      <w:tr w:rsidR="00B60B52" w14:paraId="0F0DB4DC" w14:textId="77777777" w:rsidTr="00FD04D9">
        <w:tc>
          <w:tcPr>
            <w:tcW w:w="1081" w:type="dxa"/>
          </w:tcPr>
          <w:p w14:paraId="772A7334" w14:textId="4C23C26F" w:rsidR="00FD04D9" w:rsidRDefault="00F320EE" w:rsidP="003F1B2F">
            <w:r>
              <w:t>2019-20</w:t>
            </w:r>
          </w:p>
        </w:tc>
        <w:tc>
          <w:tcPr>
            <w:tcW w:w="1081" w:type="dxa"/>
          </w:tcPr>
          <w:p w14:paraId="32929431" w14:textId="49191DE7" w:rsidR="00FD04D9" w:rsidRDefault="00DF52CE" w:rsidP="003F1B2F">
            <w:r>
              <w:t>169872</w:t>
            </w:r>
          </w:p>
        </w:tc>
        <w:tc>
          <w:tcPr>
            <w:tcW w:w="1081" w:type="dxa"/>
          </w:tcPr>
          <w:p w14:paraId="3C4BF0D8" w14:textId="6FD58142" w:rsidR="00FD04D9" w:rsidRDefault="00A34C9A" w:rsidP="003F1B2F">
            <w:r>
              <w:t>330913</w:t>
            </w:r>
          </w:p>
        </w:tc>
        <w:tc>
          <w:tcPr>
            <w:tcW w:w="1081" w:type="dxa"/>
          </w:tcPr>
          <w:p w14:paraId="48636E87" w14:textId="70EC5F4D" w:rsidR="00FD04D9" w:rsidRDefault="001C06D8" w:rsidP="003F1B2F">
            <w:r>
              <w:t>307451</w:t>
            </w:r>
          </w:p>
        </w:tc>
        <w:tc>
          <w:tcPr>
            <w:tcW w:w="1081" w:type="dxa"/>
          </w:tcPr>
          <w:p w14:paraId="299405A4" w14:textId="29EE2373" w:rsidR="00FD04D9" w:rsidRDefault="00693900" w:rsidP="003F1B2F">
            <w:r>
              <w:t>553032</w:t>
            </w:r>
          </w:p>
        </w:tc>
        <w:tc>
          <w:tcPr>
            <w:tcW w:w="1081" w:type="dxa"/>
          </w:tcPr>
          <w:p w14:paraId="2EA91AD4" w14:textId="1100516F" w:rsidR="00FD04D9" w:rsidRDefault="002C4B56" w:rsidP="003F1B2F">
            <w:r>
              <w:t>-</w:t>
            </w:r>
          </w:p>
        </w:tc>
        <w:tc>
          <w:tcPr>
            <w:tcW w:w="1081" w:type="dxa"/>
          </w:tcPr>
          <w:p w14:paraId="2876FDF9" w14:textId="403DCDA7" w:rsidR="00FD04D9" w:rsidRDefault="002C4B56" w:rsidP="003F1B2F">
            <w:r>
              <w:t>-</w:t>
            </w:r>
          </w:p>
        </w:tc>
        <w:tc>
          <w:tcPr>
            <w:tcW w:w="1081" w:type="dxa"/>
          </w:tcPr>
          <w:p w14:paraId="77FA13D1" w14:textId="098B6ECC" w:rsidR="00FD04D9" w:rsidRDefault="00BC7344" w:rsidP="003F1B2F">
            <w:r>
              <w:t>146126</w:t>
            </w:r>
          </w:p>
        </w:tc>
        <w:tc>
          <w:tcPr>
            <w:tcW w:w="1082" w:type="dxa"/>
          </w:tcPr>
          <w:p w14:paraId="4FD73B60" w14:textId="654B23FF" w:rsidR="00FD04D9" w:rsidRDefault="00302E93" w:rsidP="003F1B2F">
            <w:r>
              <w:t>9887</w:t>
            </w:r>
          </w:p>
        </w:tc>
      </w:tr>
      <w:tr w:rsidR="00B60B52" w14:paraId="35ED9BF0" w14:textId="77777777" w:rsidTr="00FD04D9">
        <w:tc>
          <w:tcPr>
            <w:tcW w:w="1081" w:type="dxa"/>
          </w:tcPr>
          <w:p w14:paraId="1BE00D61" w14:textId="261BB1EF" w:rsidR="00FD04D9" w:rsidRDefault="00F320EE" w:rsidP="003F1B2F">
            <w:r>
              <w:t>2020-21</w:t>
            </w:r>
          </w:p>
        </w:tc>
        <w:tc>
          <w:tcPr>
            <w:tcW w:w="1081" w:type="dxa"/>
          </w:tcPr>
          <w:p w14:paraId="7D6DF137" w14:textId="473DC7A1" w:rsidR="00FD04D9" w:rsidRDefault="00A34C9A" w:rsidP="003F1B2F">
            <w:r>
              <w:t>-</w:t>
            </w:r>
          </w:p>
        </w:tc>
        <w:tc>
          <w:tcPr>
            <w:tcW w:w="1081" w:type="dxa"/>
          </w:tcPr>
          <w:p w14:paraId="7DCBC6E9" w14:textId="7C2BE6AE" w:rsidR="00FD04D9" w:rsidRDefault="00A34C9A" w:rsidP="003F1B2F">
            <w:r>
              <w:t>379159</w:t>
            </w:r>
          </w:p>
        </w:tc>
        <w:tc>
          <w:tcPr>
            <w:tcW w:w="1081" w:type="dxa"/>
          </w:tcPr>
          <w:p w14:paraId="0D9AC345" w14:textId="1E1C16D7" w:rsidR="00FD04D9" w:rsidRDefault="00A55627" w:rsidP="003F1B2F">
            <w:r>
              <w:t>189818</w:t>
            </w:r>
          </w:p>
        </w:tc>
        <w:tc>
          <w:tcPr>
            <w:tcW w:w="1081" w:type="dxa"/>
          </w:tcPr>
          <w:p w14:paraId="0541F3D4" w14:textId="5B1B9188" w:rsidR="00FD04D9" w:rsidRDefault="00E84174" w:rsidP="003F1B2F">
            <w:r>
              <w:t>194763</w:t>
            </w:r>
          </w:p>
        </w:tc>
        <w:tc>
          <w:tcPr>
            <w:tcW w:w="1081" w:type="dxa"/>
          </w:tcPr>
          <w:p w14:paraId="4E33C39D" w14:textId="1B43BEED" w:rsidR="00FD04D9" w:rsidRDefault="002C4B56" w:rsidP="003F1B2F">
            <w:r>
              <w:t>-</w:t>
            </w:r>
          </w:p>
        </w:tc>
        <w:tc>
          <w:tcPr>
            <w:tcW w:w="1081" w:type="dxa"/>
          </w:tcPr>
          <w:p w14:paraId="32E42F55" w14:textId="1E075B3C" w:rsidR="00FD04D9" w:rsidRDefault="002C4B56" w:rsidP="003F1B2F">
            <w:r>
              <w:t>-</w:t>
            </w:r>
          </w:p>
        </w:tc>
        <w:tc>
          <w:tcPr>
            <w:tcW w:w="1081" w:type="dxa"/>
          </w:tcPr>
          <w:p w14:paraId="76F8ACC9" w14:textId="64D15082" w:rsidR="00FD04D9" w:rsidRDefault="00EF1BE8" w:rsidP="003F1B2F">
            <w:r>
              <w:t>-</w:t>
            </w:r>
          </w:p>
        </w:tc>
        <w:tc>
          <w:tcPr>
            <w:tcW w:w="1082" w:type="dxa"/>
          </w:tcPr>
          <w:p w14:paraId="3D09A437" w14:textId="1F2C9C29" w:rsidR="00FD04D9" w:rsidRDefault="00302E93" w:rsidP="003F1B2F">
            <w:r>
              <w:t>109</w:t>
            </w:r>
            <w:r w:rsidR="00EF1BE8">
              <w:t>18</w:t>
            </w:r>
          </w:p>
        </w:tc>
      </w:tr>
    </w:tbl>
    <w:p w14:paraId="0B225972" w14:textId="2D3EE5CC" w:rsidR="00531754" w:rsidRPr="00B316DE" w:rsidRDefault="00531754" w:rsidP="003F1B2F">
      <w:r w:rsidRPr="00B316DE">
        <w:t>Source: Productivity Commission (2023)</w:t>
      </w:r>
    </w:p>
    <w:p w14:paraId="3FCE2C5A" w14:textId="73E9B982" w:rsidR="00531754" w:rsidRPr="00531754" w:rsidRDefault="00531754" w:rsidP="0033068B">
      <w:r w:rsidRPr="00531754">
        <w:t xml:space="preserve">The data shows the significant decline in disability service investment occurring within all states and territories, acknowledging that some degree of decline was anticipated and necessary given intergovernmental agreements pertaining to the NDIS and state investments in the NDIS. While the increase in NDIS investment at the state and territory level exceeds the level of investment made in disability services prior to the establishment of the NDIS, it is highly plausible that the level of investment in Tier 2-like (Large Block funded initiatives) services is </w:t>
      </w:r>
      <w:r w:rsidR="006B427C" w:rsidRPr="00531754">
        <w:t>lower</w:t>
      </w:r>
      <w:r w:rsidRPr="00531754">
        <w:t xml:space="preserve"> than prior to the advent of the NDIS. </w:t>
      </w:r>
    </w:p>
    <w:p w14:paraId="63884C8A" w14:textId="77777777" w:rsidR="00531754" w:rsidRPr="00531754" w:rsidRDefault="00531754" w:rsidP="0033068B">
      <w:r w:rsidRPr="00531754">
        <w:t xml:space="preserve">The data supports this conclusion.  The ratio of individual supports to Tier 2-like supports was plausibly lower prior to the enactment of the NDIS, as there was far less investment in individualised supports. This means that while the NDIS has resulted in far greater levels of investment in individuals and individual supports, it is highly plausible that Tier 2-like services that predated the activity may not have access to funding from the state funder. It is likely that some have shifted focus to similar Tier 2 activities funded centrally through the NDIA and DSS, but the modest funding assigned to Tier 2 activities to this point, suggests that it is probable that many are unfunded or underfunded.  </w:t>
      </w:r>
    </w:p>
    <w:p w14:paraId="7EED2DC9" w14:textId="77777777" w:rsidR="00531754" w:rsidRPr="00531754" w:rsidRDefault="00531754" w:rsidP="0033068B">
      <w:r w:rsidRPr="00531754">
        <w:t xml:space="preserve">The lack of granular data on Tier 2-like activities predating the NDIS makes conclusive analysis extremely difficult. However, the significant reduction in state level investment in disability services (notwithstanding their important direct investment in the NDIS) suggests </w:t>
      </w:r>
      <w:r w:rsidRPr="00531754">
        <w:lastRenderedPageBreak/>
        <w:t xml:space="preserve">that pre-existing programs may be forgone or nominally funded in favour of direct NDIS funding. </w:t>
      </w:r>
    </w:p>
    <w:p w14:paraId="3363D021" w14:textId="516524E3" w:rsidR="00531754" w:rsidRDefault="00531754" w:rsidP="003F1B2F">
      <w:r w:rsidRPr="00531754">
        <w:t xml:space="preserve">This was not the intention of the establishment of the NDIS, which was supposed to afford supports beyond the community directed disability services that remain the remit of both the states and territories and the DSS. It is not an either/or debate, insofar as the NDIS was supposed to provided additional funds and supports, but the states remain responsible for many critical disability supports and their investment must be commensurate. Tier 2 investment must not be set against Tier 3 investment in the NDIS, as their purposes are not the same, and often their target cohorts differ. </w:t>
      </w:r>
    </w:p>
    <w:p w14:paraId="67D8C839" w14:textId="5FBBF846" w:rsidR="000E308D" w:rsidRPr="00057506" w:rsidRDefault="00531754" w:rsidP="00057506">
      <w:pPr>
        <w:rPr>
          <w:b/>
          <w:bCs/>
        </w:rPr>
      </w:pPr>
      <w:r w:rsidRPr="00057506">
        <w:rPr>
          <w:b/>
          <w:bCs/>
        </w:rPr>
        <w:t xml:space="preserve">Figure </w:t>
      </w:r>
      <w:r w:rsidR="000E308D" w:rsidRPr="00057506">
        <w:rPr>
          <w:b/>
          <w:bCs/>
        </w:rPr>
        <w:t>11</w:t>
      </w:r>
    </w:p>
    <w:p w14:paraId="4F9F5B15" w14:textId="278612A9" w:rsidR="00531754" w:rsidRPr="00057506" w:rsidRDefault="00531754" w:rsidP="00057506">
      <w:pPr>
        <w:rPr>
          <w:b/>
          <w:bCs/>
        </w:rPr>
      </w:pPr>
      <w:r w:rsidRPr="00057506">
        <w:rPr>
          <w:b/>
          <w:bCs/>
        </w:rPr>
        <w:t>Change in Disability services investment (2011 to 2020) (Net of NDIS investment)</w:t>
      </w:r>
    </w:p>
    <w:tbl>
      <w:tblPr>
        <w:tblStyle w:val="TableGrid"/>
        <w:tblW w:w="0" w:type="auto"/>
        <w:tblLook w:val="04A0" w:firstRow="1" w:lastRow="0" w:firstColumn="1" w:lastColumn="0" w:noHBand="0" w:noVBand="1"/>
        <w:tblCaption w:val="Change in Disability services investment (2011 to 2020) (Net of NDIS investment)"/>
      </w:tblPr>
      <w:tblGrid>
        <w:gridCol w:w="3243"/>
        <w:gridCol w:w="3243"/>
        <w:gridCol w:w="3244"/>
      </w:tblGrid>
      <w:tr w:rsidR="0090241F" w14:paraId="3DD617EB" w14:textId="77777777" w:rsidTr="0090241F">
        <w:tc>
          <w:tcPr>
            <w:tcW w:w="3243" w:type="dxa"/>
          </w:tcPr>
          <w:p w14:paraId="6278DEC7" w14:textId="009B78CF" w:rsidR="0090241F" w:rsidRPr="00057506" w:rsidRDefault="00017AD3" w:rsidP="003F1B2F">
            <w:pPr>
              <w:rPr>
                <w:b/>
                <w:bCs/>
              </w:rPr>
            </w:pPr>
            <w:r w:rsidRPr="00057506">
              <w:rPr>
                <w:b/>
                <w:bCs/>
              </w:rPr>
              <w:t>State</w:t>
            </w:r>
          </w:p>
        </w:tc>
        <w:tc>
          <w:tcPr>
            <w:tcW w:w="3243" w:type="dxa"/>
          </w:tcPr>
          <w:p w14:paraId="52075760" w14:textId="2D7CE525" w:rsidR="0090241F" w:rsidRPr="00057506" w:rsidRDefault="00017AD3" w:rsidP="003F1B2F">
            <w:pPr>
              <w:rPr>
                <w:b/>
                <w:bCs/>
              </w:rPr>
            </w:pPr>
            <w:r w:rsidRPr="00057506">
              <w:rPr>
                <w:b/>
                <w:bCs/>
              </w:rPr>
              <w:t>2011-12</w:t>
            </w:r>
          </w:p>
        </w:tc>
        <w:tc>
          <w:tcPr>
            <w:tcW w:w="3244" w:type="dxa"/>
          </w:tcPr>
          <w:p w14:paraId="7EAFEAF8" w14:textId="32188C47" w:rsidR="0090241F" w:rsidRPr="00057506" w:rsidRDefault="00017AD3" w:rsidP="003F1B2F">
            <w:pPr>
              <w:rPr>
                <w:b/>
                <w:bCs/>
              </w:rPr>
            </w:pPr>
            <w:r w:rsidRPr="00057506">
              <w:rPr>
                <w:b/>
                <w:bCs/>
              </w:rPr>
              <w:t>2020-21</w:t>
            </w:r>
          </w:p>
        </w:tc>
      </w:tr>
      <w:tr w:rsidR="0090241F" w14:paraId="0FE88895" w14:textId="77777777" w:rsidTr="0090241F">
        <w:tc>
          <w:tcPr>
            <w:tcW w:w="3243" w:type="dxa"/>
          </w:tcPr>
          <w:p w14:paraId="59605488" w14:textId="5DFE8A99" w:rsidR="0090241F" w:rsidRDefault="00017AD3" w:rsidP="003F1B2F">
            <w:r>
              <w:t>NSW (b)</w:t>
            </w:r>
          </w:p>
        </w:tc>
        <w:tc>
          <w:tcPr>
            <w:tcW w:w="3243" w:type="dxa"/>
          </w:tcPr>
          <w:p w14:paraId="5F97CE28" w14:textId="29A13A56" w:rsidR="0090241F" w:rsidRDefault="00A854BF" w:rsidP="003F1B2F">
            <w:r>
              <w:t>2000946</w:t>
            </w:r>
          </w:p>
        </w:tc>
        <w:tc>
          <w:tcPr>
            <w:tcW w:w="3244" w:type="dxa"/>
          </w:tcPr>
          <w:p w14:paraId="5DCCABD2" w14:textId="7E14522C" w:rsidR="0090241F" w:rsidRDefault="00EF324C" w:rsidP="003F1B2F">
            <w:r>
              <w:t>46626</w:t>
            </w:r>
          </w:p>
        </w:tc>
      </w:tr>
      <w:tr w:rsidR="0090241F" w14:paraId="09E44423" w14:textId="77777777" w:rsidTr="0090241F">
        <w:tc>
          <w:tcPr>
            <w:tcW w:w="3243" w:type="dxa"/>
          </w:tcPr>
          <w:p w14:paraId="66CC882E" w14:textId="58214D6E" w:rsidR="0090241F" w:rsidRDefault="00017AD3" w:rsidP="003F1B2F">
            <w:r>
              <w:t>Vic</w:t>
            </w:r>
          </w:p>
        </w:tc>
        <w:tc>
          <w:tcPr>
            <w:tcW w:w="3243" w:type="dxa"/>
          </w:tcPr>
          <w:p w14:paraId="4F913490" w14:textId="09F303DD" w:rsidR="0090241F" w:rsidRDefault="00A854BF" w:rsidP="003F1B2F">
            <w:r>
              <w:t>1570515</w:t>
            </w:r>
          </w:p>
        </w:tc>
        <w:tc>
          <w:tcPr>
            <w:tcW w:w="3244" w:type="dxa"/>
          </w:tcPr>
          <w:p w14:paraId="109A48B7" w14:textId="06454340" w:rsidR="0090241F" w:rsidRDefault="00EF324C" w:rsidP="003F1B2F">
            <w:r>
              <w:t>379159</w:t>
            </w:r>
          </w:p>
        </w:tc>
      </w:tr>
      <w:tr w:rsidR="0090241F" w14:paraId="2BBBB8E6" w14:textId="77777777" w:rsidTr="0090241F">
        <w:tc>
          <w:tcPr>
            <w:tcW w:w="3243" w:type="dxa"/>
          </w:tcPr>
          <w:p w14:paraId="1516BA46" w14:textId="0621DEF7" w:rsidR="0090241F" w:rsidRDefault="00017AD3" w:rsidP="003F1B2F">
            <w:r>
              <w:t>Qld (c)</w:t>
            </w:r>
          </w:p>
        </w:tc>
        <w:tc>
          <w:tcPr>
            <w:tcW w:w="3243" w:type="dxa"/>
          </w:tcPr>
          <w:p w14:paraId="23F4D4D1" w14:textId="444EA2EB" w:rsidR="0090241F" w:rsidRDefault="00A854BF" w:rsidP="003F1B2F">
            <w:r>
              <w:t>1045528</w:t>
            </w:r>
          </w:p>
        </w:tc>
        <w:tc>
          <w:tcPr>
            <w:tcW w:w="3244" w:type="dxa"/>
          </w:tcPr>
          <w:p w14:paraId="0295110C" w14:textId="526807F2" w:rsidR="0090241F" w:rsidRDefault="00EF324C" w:rsidP="003F1B2F">
            <w:r>
              <w:t>1047528</w:t>
            </w:r>
          </w:p>
        </w:tc>
      </w:tr>
      <w:tr w:rsidR="0090241F" w14:paraId="566EF240" w14:textId="77777777" w:rsidTr="0090241F">
        <w:tc>
          <w:tcPr>
            <w:tcW w:w="3243" w:type="dxa"/>
          </w:tcPr>
          <w:p w14:paraId="5BB12A98" w14:textId="070DBF43" w:rsidR="0090241F" w:rsidRDefault="00017AD3" w:rsidP="003F1B2F">
            <w:r>
              <w:t>WA (d)</w:t>
            </w:r>
          </w:p>
        </w:tc>
        <w:tc>
          <w:tcPr>
            <w:tcW w:w="3243" w:type="dxa"/>
          </w:tcPr>
          <w:p w14:paraId="36BBEE4C" w14:textId="0C0A4A4C" w:rsidR="0090241F" w:rsidRDefault="00A854BF" w:rsidP="003F1B2F">
            <w:r>
              <w:t>716604</w:t>
            </w:r>
          </w:p>
        </w:tc>
        <w:tc>
          <w:tcPr>
            <w:tcW w:w="3244" w:type="dxa"/>
          </w:tcPr>
          <w:p w14:paraId="62B1B4B8" w14:textId="036F9953" w:rsidR="0090241F" w:rsidRDefault="00562A16" w:rsidP="003F1B2F">
            <w:r>
              <w:t>194763</w:t>
            </w:r>
          </w:p>
        </w:tc>
      </w:tr>
      <w:tr w:rsidR="0090241F" w14:paraId="359EDBC0" w14:textId="77777777" w:rsidTr="0090241F">
        <w:tc>
          <w:tcPr>
            <w:tcW w:w="3243" w:type="dxa"/>
          </w:tcPr>
          <w:p w14:paraId="7950614E" w14:textId="58E7EC0A" w:rsidR="0090241F" w:rsidRDefault="00017AD3" w:rsidP="003F1B2F">
            <w:r>
              <w:t>SA (c), (e)</w:t>
            </w:r>
          </w:p>
        </w:tc>
        <w:tc>
          <w:tcPr>
            <w:tcW w:w="3243" w:type="dxa"/>
          </w:tcPr>
          <w:p w14:paraId="1BB1E84C" w14:textId="51551897" w:rsidR="0090241F" w:rsidRDefault="00A854BF" w:rsidP="003F1B2F">
            <w:r>
              <w:t>488484</w:t>
            </w:r>
          </w:p>
        </w:tc>
        <w:tc>
          <w:tcPr>
            <w:tcW w:w="3244" w:type="dxa"/>
          </w:tcPr>
          <w:p w14:paraId="132961EF" w14:textId="202843C9" w:rsidR="0090241F" w:rsidRDefault="00057506" w:rsidP="003F1B2F">
            <w:r>
              <w:t>0</w:t>
            </w:r>
          </w:p>
        </w:tc>
      </w:tr>
      <w:tr w:rsidR="0090241F" w14:paraId="729F12E4" w14:textId="77777777" w:rsidTr="0090241F">
        <w:tc>
          <w:tcPr>
            <w:tcW w:w="3243" w:type="dxa"/>
          </w:tcPr>
          <w:p w14:paraId="2A612AFE" w14:textId="4D4CE4CB" w:rsidR="0090241F" w:rsidRDefault="0006103F" w:rsidP="003F1B2F">
            <w:r>
              <w:t>Tas (c), (f)</w:t>
            </w:r>
          </w:p>
        </w:tc>
        <w:tc>
          <w:tcPr>
            <w:tcW w:w="3243" w:type="dxa"/>
          </w:tcPr>
          <w:p w14:paraId="6CBB2EBC" w14:textId="31C5E37B" w:rsidR="0090241F" w:rsidRDefault="00D272F7" w:rsidP="003F1B2F">
            <w:r>
              <w:t>163266</w:t>
            </w:r>
          </w:p>
        </w:tc>
        <w:tc>
          <w:tcPr>
            <w:tcW w:w="3244" w:type="dxa"/>
          </w:tcPr>
          <w:p w14:paraId="63FCC1AE" w14:textId="43BD2E11" w:rsidR="0090241F" w:rsidRDefault="00057506" w:rsidP="003F1B2F">
            <w:r>
              <w:t>0</w:t>
            </w:r>
          </w:p>
        </w:tc>
      </w:tr>
      <w:tr w:rsidR="0090241F" w14:paraId="3F7A03DA" w14:textId="77777777" w:rsidTr="0090241F">
        <w:tc>
          <w:tcPr>
            <w:tcW w:w="3243" w:type="dxa"/>
          </w:tcPr>
          <w:p w14:paraId="5BA49722" w14:textId="674306EC" w:rsidR="0090241F" w:rsidRDefault="0006103F" w:rsidP="003F1B2F">
            <w:r>
              <w:t>ACT</w:t>
            </w:r>
          </w:p>
        </w:tc>
        <w:tc>
          <w:tcPr>
            <w:tcW w:w="3243" w:type="dxa"/>
          </w:tcPr>
          <w:p w14:paraId="5446D92E" w14:textId="12530D83" w:rsidR="0090241F" w:rsidRDefault="00D272F7" w:rsidP="003F1B2F">
            <w:r>
              <w:t>94921</w:t>
            </w:r>
          </w:p>
        </w:tc>
        <w:tc>
          <w:tcPr>
            <w:tcW w:w="3244" w:type="dxa"/>
          </w:tcPr>
          <w:p w14:paraId="3D068DC8" w14:textId="4B9D16EB" w:rsidR="0090241F" w:rsidRDefault="00057506" w:rsidP="003F1B2F">
            <w:r>
              <w:t>0</w:t>
            </w:r>
          </w:p>
        </w:tc>
      </w:tr>
      <w:tr w:rsidR="0090241F" w14:paraId="00E1FABF" w14:textId="77777777" w:rsidTr="0090241F">
        <w:tc>
          <w:tcPr>
            <w:tcW w:w="3243" w:type="dxa"/>
          </w:tcPr>
          <w:p w14:paraId="46F2A600" w14:textId="48AD1FB1" w:rsidR="0090241F" w:rsidRDefault="0006103F" w:rsidP="003F1B2F">
            <w:r>
              <w:t>NT</w:t>
            </w:r>
          </w:p>
        </w:tc>
        <w:tc>
          <w:tcPr>
            <w:tcW w:w="3243" w:type="dxa"/>
          </w:tcPr>
          <w:p w14:paraId="65D725BD" w14:textId="393420F3" w:rsidR="0090241F" w:rsidRDefault="00D272F7" w:rsidP="003F1B2F">
            <w:r>
              <w:t>69643</w:t>
            </w:r>
          </w:p>
        </w:tc>
        <w:tc>
          <w:tcPr>
            <w:tcW w:w="3244" w:type="dxa"/>
          </w:tcPr>
          <w:p w14:paraId="09CFB867" w14:textId="64851FEB" w:rsidR="0090241F" w:rsidRDefault="00057506" w:rsidP="003F1B2F">
            <w:r>
              <w:t>0</w:t>
            </w:r>
          </w:p>
        </w:tc>
      </w:tr>
    </w:tbl>
    <w:p w14:paraId="48AB7060" w14:textId="77777777" w:rsidR="0090241F" w:rsidRDefault="0090241F" w:rsidP="003F1B2F"/>
    <w:p w14:paraId="2F76155D" w14:textId="4899A067" w:rsidR="00531754" w:rsidRPr="00B316DE" w:rsidRDefault="00531754" w:rsidP="003F1B2F">
      <w:r w:rsidRPr="00B316DE">
        <w:t>Source: Productivity Commission (2023)</w:t>
      </w:r>
    </w:p>
    <w:p w14:paraId="601E575E" w14:textId="77777777" w:rsidR="00531754" w:rsidRPr="003F1B2F" w:rsidRDefault="00531754" w:rsidP="003F1B2F">
      <w:pPr>
        <w:pStyle w:val="Heading3"/>
      </w:pPr>
      <w:bookmarkStart w:id="85" w:name="_Toc119966543"/>
      <w:bookmarkStart w:id="86" w:name="_Toc120266197"/>
      <w:bookmarkStart w:id="87" w:name="_Toc120266232"/>
      <w:bookmarkStart w:id="88" w:name="_Toc120266352"/>
      <w:bookmarkStart w:id="89" w:name="_Toc120268920"/>
      <w:bookmarkStart w:id="90" w:name="_Toc130942935"/>
      <w:r w:rsidRPr="003F1B2F">
        <w:t>Examining patterns of disability and welfare expenditure at a Local Government level</w:t>
      </w:r>
      <w:bookmarkEnd w:id="85"/>
      <w:bookmarkEnd w:id="86"/>
      <w:bookmarkEnd w:id="87"/>
      <w:bookmarkEnd w:id="88"/>
      <w:bookmarkEnd w:id="89"/>
      <w:bookmarkEnd w:id="90"/>
      <w:r w:rsidRPr="003F1B2F">
        <w:t> </w:t>
      </w:r>
    </w:p>
    <w:p w14:paraId="070A8F0A" w14:textId="15A3DFCF" w:rsidR="00531754" w:rsidRPr="00531754" w:rsidRDefault="00531754" w:rsidP="003F1B2F">
      <w:r w:rsidRPr="00531754">
        <w:t xml:space="preserve">Presently, the data associated with Tier 2 expenditures </w:t>
      </w:r>
      <w:r w:rsidR="000E308D">
        <w:t>is not</w:t>
      </w:r>
      <w:r w:rsidRPr="00531754">
        <w:t xml:space="preserve"> mandatorily reported to the ABS </w:t>
      </w:r>
      <w:r w:rsidR="000E308D">
        <w:t>in detail</w:t>
      </w:r>
      <w:r w:rsidRPr="00531754">
        <w:t>.  </w:t>
      </w:r>
    </w:p>
    <w:p w14:paraId="1CF684CA" w14:textId="31BED169" w:rsidR="00577A43" w:rsidRPr="00424BDF" w:rsidRDefault="00531754" w:rsidP="00424BDF">
      <w:pPr>
        <w:ind w:left="720"/>
        <w:rPr>
          <w:color w:val="1E4E42" w:themeColor="accent1"/>
        </w:rPr>
      </w:pPr>
      <w:r w:rsidRPr="00531754">
        <w:t xml:space="preserve">In lieu of such data, we examined aggregate expenditures across the LGA classifiers to explore trends. We identify that expenditures on social protection have not kept </w:t>
      </w:r>
      <w:r w:rsidRPr="00531754">
        <w:lastRenderedPageBreak/>
        <w:t>pace with other categories of expenditure. While the expenditures have increase</w:t>
      </w:r>
      <w:r w:rsidR="000E308D">
        <w:t>d</w:t>
      </w:r>
      <w:r w:rsidRPr="00531754">
        <w:t xml:space="preserve"> significantly in percentage terms, the expenditure items started from small base values. </w:t>
      </w:r>
    </w:p>
    <w:p w14:paraId="7CC68BE1" w14:textId="5920563F" w:rsidR="00531754" w:rsidRPr="00531754" w:rsidRDefault="00531754" w:rsidP="003F1B2F">
      <w:pPr>
        <w:rPr>
          <w:rFonts w:ascii="Avenir Book" w:hAnsi="Avenir Book"/>
        </w:rPr>
      </w:pPr>
      <w:r w:rsidRPr="003F1B2F">
        <w:rPr>
          <w:b/>
          <w:bCs/>
        </w:rPr>
        <w:t>Figure 1</w:t>
      </w:r>
      <w:r w:rsidR="000E308D" w:rsidRPr="003F1B2F">
        <w:rPr>
          <w:b/>
          <w:bCs/>
        </w:rPr>
        <w:t>2</w:t>
      </w:r>
      <w:r w:rsidRPr="003F1B2F">
        <w:rPr>
          <w:b/>
          <w:bCs/>
        </w:rPr>
        <w:br/>
        <w:t>Distribution of increases in Local government expenditure between 2011 and 2021</w:t>
      </w:r>
    </w:p>
    <w:tbl>
      <w:tblPr>
        <w:tblStyle w:val="TableGrid"/>
        <w:tblW w:w="0" w:type="auto"/>
        <w:tblLook w:val="04A0" w:firstRow="1" w:lastRow="0" w:firstColumn="1" w:lastColumn="0" w:noHBand="0" w:noVBand="1"/>
        <w:tblCaption w:val="Distribution of increases in Local government expenditure between 2011 and 2021"/>
      </w:tblPr>
      <w:tblGrid>
        <w:gridCol w:w="4865"/>
        <w:gridCol w:w="4865"/>
      </w:tblGrid>
      <w:tr w:rsidR="00B80F5E" w14:paraId="5471D22E" w14:textId="77777777" w:rsidTr="00B80F5E">
        <w:tc>
          <w:tcPr>
            <w:tcW w:w="4865" w:type="dxa"/>
          </w:tcPr>
          <w:p w14:paraId="22C08F7F" w14:textId="67531F88" w:rsidR="00B80F5E" w:rsidRPr="00F019BC" w:rsidRDefault="00B80F5E" w:rsidP="005A26D1">
            <w:pPr>
              <w:rPr>
                <w:b/>
                <w:bCs/>
              </w:rPr>
            </w:pPr>
            <w:r w:rsidRPr="00F019BC">
              <w:rPr>
                <w:b/>
                <w:bCs/>
              </w:rPr>
              <w:t>Local government</w:t>
            </w:r>
            <w:r w:rsidR="00AB45C7" w:rsidRPr="00F019BC">
              <w:rPr>
                <w:b/>
                <w:bCs/>
              </w:rPr>
              <w:t xml:space="preserve"> area</w:t>
            </w:r>
          </w:p>
        </w:tc>
        <w:tc>
          <w:tcPr>
            <w:tcW w:w="4865" w:type="dxa"/>
          </w:tcPr>
          <w:p w14:paraId="504DD1AE" w14:textId="34D1C521" w:rsidR="00B80F5E" w:rsidRPr="00F019BC" w:rsidRDefault="0090241F" w:rsidP="005A26D1">
            <w:pPr>
              <w:rPr>
                <w:b/>
                <w:bCs/>
              </w:rPr>
            </w:pPr>
            <w:r w:rsidRPr="003F1B2F">
              <w:rPr>
                <w:b/>
                <w:bCs/>
              </w:rPr>
              <w:t>Distribution of increases in Local government expenditure</w:t>
            </w:r>
          </w:p>
        </w:tc>
      </w:tr>
      <w:tr w:rsidR="00B80F5E" w14:paraId="692AC090" w14:textId="77777777" w:rsidTr="00B80F5E">
        <w:tc>
          <w:tcPr>
            <w:tcW w:w="4865" w:type="dxa"/>
          </w:tcPr>
          <w:p w14:paraId="2D9923FA" w14:textId="3CCCC037" w:rsidR="00B80F5E" w:rsidRDefault="00AB45C7" w:rsidP="005A26D1">
            <w:r>
              <w:t>General public services</w:t>
            </w:r>
          </w:p>
        </w:tc>
        <w:tc>
          <w:tcPr>
            <w:tcW w:w="4865" w:type="dxa"/>
          </w:tcPr>
          <w:p w14:paraId="6705EB8F" w14:textId="30626BE6" w:rsidR="00B80F5E" w:rsidRDefault="00D13A1D" w:rsidP="005A26D1">
            <w:r>
              <w:t>2216</w:t>
            </w:r>
          </w:p>
        </w:tc>
      </w:tr>
      <w:tr w:rsidR="00B80F5E" w14:paraId="155A134D" w14:textId="77777777" w:rsidTr="00B80F5E">
        <w:tc>
          <w:tcPr>
            <w:tcW w:w="4865" w:type="dxa"/>
          </w:tcPr>
          <w:p w14:paraId="282A3891" w14:textId="60F11F5B" w:rsidR="00B80F5E" w:rsidRDefault="00AB45C7" w:rsidP="005A26D1">
            <w:r>
              <w:t>Public order and safety</w:t>
            </w:r>
          </w:p>
        </w:tc>
        <w:tc>
          <w:tcPr>
            <w:tcW w:w="4865" w:type="dxa"/>
          </w:tcPr>
          <w:p w14:paraId="76C8EDDC" w14:textId="42065079" w:rsidR="00B80F5E" w:rsidRDefault="00D13A1D" w:rsidP="005A26D1">
            <w:r>
              <w:t>367</w:t>
            </w:r>
          </w:p>
        </w:tc>
      </w:tr>
      <w:tr w:rsidR="00B80F5E" w14:paraId="1B55A71C" w14:textId="77777777" w:rsidTr="00B80F5E">
        <w:tc>
          <w:tcPr>
            <w:tcW w:w="4865" w:type="dxa"/>
          </w:tcPr>
          <w:p w14:paraId="3BA3268C" w14:textId="40B6CCF7" w:rsidR="00B80F5E" w:rsidRDefault="00F019BC" w:rsidP="005A26D1">
            <w:r>
              <w:t>Economic</w:t>
            </w:r>
            <w:r w:rsidR="00AB45C7">
              <w:t xml:space="preserve"> affairs</w:t>
            </w:r>
          </w:p>
        </w:tc>
        <w:tc>
          <w:tcPr>
            <w:tcW w:w="4865" w:type="dxa"/>
          </w:tcPr>
          <w:p w14:paraId="7D0A9DD3" w14:textId="40493336" w:rsidR="00B80F5E" w:rsidRDefault="00401EE7" w:rsidP="005A26D1">
            <w:r>
              <w:t>475</w:t>
            </w:r>
          </w:p>
        </w:tc>
      </w:tr>
      <w:tr w:rsidR="00B80F5E" w14:paraId="34C8E2BE" w14:textId="77777777" w:rsidTr="00B80F5E">
        <w:tc>
          <w:tcPr>
            <w:tcW w:w="4865" w:type="dxa"/>
          </w:tcPr>
          <w:p w14:paraId="3FF88F99" w14:textId="16434D10" w:rsidR="00B80F5E" w:rsidRDefault="00AB45C7" w:rsidP="005A26D1">
            <w:r>
              <w:t>Environmental Protection</w:t>
            </w:r>
          </w:p>
        </w:tc>
        <w:tc>
          <w:tcPr>
            <w:tcW w:w="4865" w:type="dxa"/>
          </w:tcPr>
          <w:p w14:paraId="3DA9C3CA" w14:textId="6C0C9CA1" w:rsidR="00B80F5E" w:rsidRDefault="00401EE7" w:rsidP="005A26D1">
            <w:r>
              <w:t>2557</w:t>
            </w:r>
          </w:p>
        </w:tc>
      </w:tr>
      <w:tr w:rsidR="00B80F5E" w14:paraId="21F01DFF" w14:textId="77777777" w:rsidTr="00B80F5E">
        <w:tc>
          <w:tcPr>
            <w:tcW w:w="4865" w:type="dxa"/>
          </w:tcPr>
          <w:p w14:paraId="19AF5C02" w14:textId="38F43714" w:rsidR="00B80F5E" w:rsidRDefault="00AB45C7" w:rsidP="005A26D1">
            <w:r>
              <w:t>Housing and community amenities</w:t>
            </w:r>
          </w:p>
        </w:tc>
        <w:tc>
          <w:tcPr>
            <w:tcW w:w="4865" w:type="dxa"/>
          </w:tcPr>
          <w:p w14:paraId="7769690D" w14:textId="44F7CC82" w:rsidR="00B80F5E" w:rsidRDefault="00401EE7" w:rsidP="005A26D1">
            <w:r>
              <w:t>1205</w:t>
            </w:r>
          </w:p>
        </w:tc>
      </w:tr>
      <w:tr w:rsidR="00B80F5E" w14:paraId="720B3BA7" w14:textId="77777777" w:rsidTr="00B80F5E">
        <w:tc>
          <w:tcPr>
            <w:tcW w:w="4865" w:type="dxa"/>
          </w:tcPr>
          <w:p w14:paraId="13BB864C" w14:textId="0EFDE531" w:rsidR="00B80F5E" w:rsidRDefault="00AB45C7" w:rsidP="005A26D1">
            <w:r>
              <w:t>Health</w:t>
            </w:r>
          </w:p>
        </w:tc>
        <w:tc>
          <w:tcPr>
            <w:tcW w:w="4865" w:type="dxa"/>
          </w:tcPr>
          <w:p w14:paraId="1C1BD01A" w14:textId="523A1B1E" w:rsidR="00B80F5E" w:rsidRDefault="00401EE7" w:rsidP="005A26D1">
            <w:r>
              <w:t>127</w:t>
            </w:r>
          </w:p>
        </w:tc>
      </w:tr>
      <w:tr w:rsidR="00AB45C7" w14:paraId="64D8C915" w14:textId="77777777" w:rsidTr="00B80F5E">
        <w:tc>
          <w:tcPr>
            <w:tcW w:w="4865" w:type="dxa"/>
          </w:tcPr>
          <w:p w14:paraId="34462C97" w14:textId="513F36B7" w:rsidR="00AB45C7" w:rsidRDefault="00AB45C7" w:rsidP="005A26D1">
            <w:r>
              <w:t>Recreation, culture and religion</w:t>
            </w:r>
          </w:p>
        </w:tc>
        <w:tc>
          <w:tcPr>
            <w:tcW w:w="4865" w:type="dxa"/>
          </w:tcPr>
          <w:p w14:paraId="03295CC6" w14:textId="3C668DA8" w:rsidR="00AB45C7" w:rsidRDefault="00401EE7" w:rsidP="005A26D1">
            <w:r>
              <w:t>2234</w:t>
            </w:r>
          </w:p>
        </w:tc>
      </w:tr>
      <w:tr w:rsidR="00B80F5E" w14:paraId="4B67BAE7" w14:textId="77777777" w:rsidTr="00B80F5E">
        <w:tc>
          <w:tcPr>
            <w:tcW w:w="4865" w:type="dxa"/>
          </w:tcPr>
          <w:p w14:paraId="33FC5713" w14:textId="68BD767A" w:rsidR="00B80F5E" w:rsidRDefault="00F019BC" w:rsidP="005A26D1">
            <w:r>
              <w:t>Education</w:t>
            </w:r>
          </w:p>
        </w:tc>
        <w:tc>
          <w:tcPr>
            <w:tcW w:w="4865" w:type="dxa"/>
          </w:tcPr>
          <w:p w14:paraId="72A552D5" w14:textId="7CB8ADE6" w:rsidR="00B80F5E" w:rsidRDefault="00401EE7" w:rsidP="005A26D1">
            <w:r>
              <w:t>1</w:t>
            </w:r>
            <w:r w:rsidR="00A66ACD">
              <w:t>00</w:t>
            </w:r>
          </w:p>
        </w:tc>
      </w:tr>
      <w:tr w:rsidR="00F019BC" w14:paraId="7E07EFB7" w14:textId="77777777" w:rsidTr="00B80F5E">
        <w:tc>
          <w:tcPr>
            <w:tcW w:w="4865" w:type="dxa"/>
          </w:tcPr>
          <w:p w14:paraId="50D907FF" w14:textId="51D5ACC5" w:rsidR="00F019BC" w:rsidRDefault="00F019BC" w:rsidP="005A26D1">
            <w:r>
              <w:t>Social Protection</w:t>
            </w:r>
          </w:p>
        </w:tc>
        <w:tc>
          <w:tcPr>
            <w:tcW w:w="4865" w:type="dxa"/>
          </w:tcPr>
          <w:p w14:paraId="31149795" w14:textId="71EA2CCD" w:rsidR="00F019BC" w:rsidRDefault="00A66ACD" w:rsidP="005A26D1">
            <w:r>
              <w:t>154</w:t>
            </w:r>
          </w:p>
        </w:tc>
      </w:tr>
      <w:tr w:rsidR="00F019BC" w14:paraId="5C367927" w14:textId="77777777" w:rsidTr="00B80F5E">
        <w:tc>
          <w:tcPr>
            <w:tcW w:w="4865" w:type="dxa"/>
          </w:tcPr>
          <w:p w14:paraId="766BBFF4" w14:textId="706A80B2" w:rsidR="00F019BC" w:rsidRDefault="00F019BC" w:rsidP="005A26D1">
            <w:r>
              <w:t>Transport</w:t>
            </w:r>
          </w:p>
        </w:tc>
        <w:tc>
          <w:tcPr>
            <w:tcW w:w="4865" w:type="dxa"/>
          </w:tcPr>
          <w:p w14:paraId="1EAFE024" w14:textId="267FB8D6" w:rsidR="00F019BC" w:rsidRDefault="00A66ACD" w:rsidP="005A26D1">
            <w:r>
              <w:t>3043</w:t>
            </w:r>
          </w:p>
        </w:tc>
      </w:tr>
    </w:tbl>
    <w:p w14:paraId="52E3B59D" w14:textId="77777777" w:rsidR="002E6494" w:rsidRDefault="002E6494" w:rsidP="005A26D1"/>
    <w:p w14:paraId="55E5B358" w14:textId="36CB8BC4" w:rsidR="000E308D" w:rsidRPr="00424BDF" w:rsidRDefault="00531754" w:rsidP="00424BDF">
      <w:r w:rsidRPr="00B316DE">
        <w:t>Note – The total increase in Local government expenditure equates to approximately 12.4 billion dollars.</w:t>
      </w:r>
    </w:p>
    <w:p w14:paraId="43638A02" w14:textId="21EDB318" w:rsidR="000E308D" w:rsidRDefault="00531754" w:rsidP="005A26D1">
      <w:pPr>
        <w:rPr>
          <w:color w:val="1E4E42" w:themeColor="accent1"/>
        </w:rPr>
      </w:pPr>
      <w:r w:rsidRPr="00531754">
        <w:t>Most notably, on Social Protection, the expenditure category that subsumes all disability associated expenditure, has only increased by $154 million dollars over 10</w:t>
      </w:r>
      <w:r w:rsidR="000E308D">
        <w:t xml:space="preserve"> </w:t>
      </w:r>
      <w:r w:rsidRPr="00531754">
        <w:t>year</w:t>
      </w:r>
      <w:r w:rsidR="000E308D">
        <w:t>s</w:t>
      </w:r>
      <w:r w:rsidRPr="00531754">
        <w:t xml:space="preserve">. Health expenditure has only increased by 127 million over the same </w:t>
      </w:r>
      <w:r w:rsidR="000E308D">
        <w:t>period</w:t>
      </w:r>
      <w:r w:rsidRPr="00531754">
        <w:t>. In comparison, transport expenditure has increased by over $3 billion and environment protection by over $2.5 billion.</w:t>
      </w:r>
    </w:p>
    <w:p w14:paraId="759B0897" w14:textId="2878F534" w:rsidR="00531754" w:rsidRPr="005A26D1" w:rsidRDefault="00531754" w:rsidP="005A26D1">
      <w:pPr>
        <w:rPr>
          <w:b/>
          <w:bCs/>
        </w:rPr>
      </w:pPr>
      <w:r w:rsidRPr="005A26D1">
        <w:rPr>
          <w:b/>
          <w:bCs/>
        </w:rPr>
        <w:t>Table 2</w:t>
      </w:r>
    </w:p>
    <w:p w14:paraId="57A5884F" w14:textId="77777777" w:rsidR="00531754" w:rsidRPr="005A26D1" w:rsidRDefault="00531754" w:rsidP="005A26D1">
      <w:pPr>
        <w:rPr>
          <w:b/>
          <w:bCs/>
        </w:rPr>
      </w:pPr>
      <w:r w:rsidRPr="005A26D1">
        <w:rPr>
          <w:b/>
          <w:bCs/>
        </w:rPr>
        <w:t>Increase in Local government expenditure by purpose (2011 to 2021) (in millions)</w:t>
      </w:r>
    </w:p>
    <w:tbl>
      <w:tblPr>
        <w:tblStyle w:val="TableGrid"/>
        <w:tblW w:w="7508" w:type="dxa"/>
        <w:tblLook w:val="04A0" w:firstRow="1" w:lastRow="0" w:firstColumn="1" w:lastColumn="0" w:noHBand="0" w:noVBand="1"/>
        <w:tblCaption w:val="Increase in Local government expenditure by purpose (2011 to 2021) (in millions)"/>
      </w:tblPr>
      <w:tblGrid>
        <w:gridCol w:w="6091"/>
        <w:gridCol w:w="1417"/>
      </w:tblGrid>
      <w:tr w:rsidR="00531754" w:rsidRPr="00176162" w14:paraId="5824E8C1" w14:textId="77777777" w:rsidTr="001C696C">
        <w:trPr>
          <w:trHeight w:val="525"/>
        </w:trPr>
        <w:tc>
          <w:tcPr>
            <w:tcW w:w="6091" w:type="dxa"/>
            <w:noWrap/>
            <w:hideMark/>
          </w:tcPr>
          <w:p w14:paraId="046B177E" w14:textId="77777777" w:rsidR="00531754" w:rsidRPr="002E6494" w:rsidRDefault="00531754" w:rsidP="001C696C">
            <w:pPr>
              <w:rPr>
                <w:b/>
                <w:bCs/>
                <w:lang w:eastAsia="en-AU"/>
              </w:rPr>
            </w:pPr>
            <w:r w:rsidRPr="002E6494">
              <w:rPr>
                <w:b/>
                <w:bCs/>
                <w:lang w:eastAsia="en-AU"/>
              </w:rPr>
              <w:lastRenderedPageBreak/>
              <w:t>Expenditure category</w:t>
            </w:r>
          </w:p>
        </w:tc>
        <w:tc>
          <w:tcPr>
            <w:tcW w:w="1417" w:type="dxa"/>
            <w:noWrap/>
            <w:hideMark/>
          </w:tcPr>
          <w:p w14:paraId="1B70F99E" w14:textId="45A2BB31" w:rsidR="00531754" w:rsidRPr="002E6494" w:rsidRDefault="00531754" w:rsidP="001C696C">
            <w:pPr>
              <w:rPr>
                <w:b/>
                <w:bCs/>
                <w:lang w:eastAsia="en-AU"/>
              </w:rPr>
            </w:pPr>
            <w:r w:rsidRPr="002E6494">
              <w:rPr>
                <w:b/>
                <w:bCs/>
                <w:lang w:eastAsia="en-AU"/>
              </w:rPr>
              <w:t xml:space="preserve">Change </w:t>
            </w:r>
            <w:r w:rsidRPr="002E6494">
              <w:rPr>
                <w:b/>
                <w:bCs/>
                <w:lang w:eastAsia="en-AU"/>
              </w:rPr>
              <w:br/>
              <w:t>(2011 – 2021)</w:t>
            </w:r>
            <w:r w:rsidR="002E6494">
              <w:rPr>
                <w:b/>
                <w:bCs/>
                <w:lang w:eastAsia="en-AU"/>
              </w:rPr>
              <w:t xml:space="preserve"> $m</w:t>
            </w:r>
          </w:p>
        </w:tc>
      </w:tr>
      <w:tr w:rsidR="00531754" w:rsidRPr="00176162" w14:paraId="7AFF120A" w14:textId="77777777" w:rsidTr="001C696C">
        <w:trPr>
          <w:trHeight w:val="285"/>
        </w:trPr>
        <w:tc>
          <w:tcPr>
            <w:tcW w:w="6091" w:type="dxa"/>
            <w:noWrap/>
            <w:hideMark/>
          </w:tcPr>
          <w:p w14:paraId="1AC80B90" w14:textId="77777777" w:rsidR="00531754" w:rsidRPr="00176162" w:rsidRDefault="00531754" w:rsidP="001C696C">
            <w:pPr>
              <w:rPr>
                <w:rFonts w:cs="Arial"/>
                <w:lang w:eastAsia="en-AU"/>
              </w:rPr>
            </w:pPr>
            <w:r w:rsidRPr="00176162">
              <w:rPr>
                <w:rFonts w:cs="Arial"/>
                <w:lang w:eastAsia="en-AU"/>
              </w:rPr>
              <w:t xml:space="preserve">General public services                                               </w:t>
            </w:r>
          </w:p>
        </w:tc>
        <w:tc>
          <w:tcPr>
            <w:tcW w:w="1417" w:type="dxa"/>
            <w:noWrap/>
            <w:hideMark/>
          </w:tcPr>
          <w:p w14:paraId="077051CE" w14:textId="77777777" w:rsidR="00531754" w:rsidRPr="00176162" w:rsidRDefault="00531754" w:rsidP="001C696C">
            <w:pPr>
              <w:rPr>
                <w:lang w:eastAsia="en-AU"/>
              </w:rPr>
            </w:pPr>
            <w:r w:rsidRPr="00176162">
              <w:rPr>
                <w:lang w:eastAsia="en-AU"/>
              </w:rPr>
              <w:t>2216</w:t>
            </w:r>
          </w:p>
        </w:tc>
      </w:tr>
      <w:tr w:rsidR="00531754" w:rsidRPr="00176162" w14:paraId="5C150ADA" w14:textId="77777777" w:rsidTr="001C696C">
        <w:trPr>
          <w:trHeight w:val="285"/>
        </w:trPr>
        <w:tc>
          <w:tcPr>
            <w:tcW w:w="6091" w:type="dxa"/>
            <w:noWrap/>
            <w:hideMark/>
          </w:tcPr>
          <w:p w14:paraId="26641168" w14:textId="77777777" w:rsidR="00531754" w:rsidRPr="00176162" w:rsidRDefault="00531754" w:rsidP="001C696C">
            <w:pPr>
              <w:rPr>
                <w:rFonts w:cs="Arial"/>
                <w:lang w:eastAsia="en-AU"/>
              </w:rPr>
            </w:pPr>
            <w:r w:rsidRPr="00176162">
              <w:rPr>
                <w:rFonts w:cs="Arial"/>
                <w:lang w:eastAsia="en-AU"/>
              </w:rPr>
              <w:t xml:space="preserve">Public order and safety                                               </w:t>
            </w:r>
          </w:p>
        </w:tc>
        <w:tc>
          <w:tcPr>
            <w:tcW w:w="1417" w:type="dxa"/>
            <w:noWrap/>
            <w:hideMark/>
          </w:tcPr>
          <w:p w14:paraId="67FC7B5A" w14:textId="77777777" w:rsidR="00531754" w:rsidRPr="00176162" w:rsidRDefault="00531754" w:rsidP="001C696C">
            <w:pPr>
              <w:rPr>
                <w:lang w:eastAsia="en-AU"/>
              </w:rPr>
            </w:pPr>
            <w:r w:rsidRPr="00176162">
              <w:rPr>
                <w:lang w:eastAsia="en-AU"/>
              </w:rPr>
              <w:t>367</w:t>
            </w:r>
          </w:p>
        </w:tc>
      </w:tr>
      <w:tr w:rsidR="00531754" w:rsidRPr="00176162" w14:paraId="74FE9DAB" w14:textId="77777777" w:rsidTr="001C696C">
        <w:trPr>
          <w:trHeight w:val="285"/>
        </w:trPr>
        <w:tc>
          <w:tcPr>
            <w:tcW w:w="6091" w:type="dxa"/>
            <w:noWrap/>
            <w:hideMark/>
          </w:tcPr>
          <w:p w14:paraId="2E4E4143" w14:textId="77777777" w:rsidR="00531754" w:rsidRPr="00176162" w:rsidRDefault="00531754" w:rsidP="001C696C">
            <w:pPr>
              <w:rPr>
                <w:rFonts w:cs="Arial"/>
                <w:lang w:eastAsia="en-AU"/>
              </w:rPr>
            </w:pPr>
            <w:r w:rsidRPr="00176162">
              <w:rPr>
                <w:rFonts w:cs="Arial"/>
                <w:lang w:eastAsia="en-AU"/>
              </w:rPr>
              <w:t xml:space="preserve">Economic affairs                                                      </w:t>
            </w:r>
          </w:p>
        </w:tc>
        <w:tc>
          <w:tcPr>
            <w:tcW w:w="1417" w:type="dxa"/>
            <w:noWrap/>
            <w:hideMark/>
          </w:tcPr>
          <w:p w14:paraId="0B2A68AE" w14:textId="77777777" w:rsidR="00531754" w:rsidRPr="00176162" w:rsidRDefault="00531754" w:rsidP="001C696C">
            <w:pPr>
              <w:rPr>
                <w:lang w:eastAsia="en-AU"/>
              </w:rPr>
            </w:pPr>
            <w:r w:rsidRPr="00176162">
              <w:rPr>
                <w:lang w:eastAsia="en-AU"/>
              </w:rPr>
              <w:t>475</w:t>
            </w:r>
          </w:p>
        </w:tc>
      </w:tr>
      <w:tr w:rsidR="00531754" w:rsidRPr="00176162" w14:paraId="6D53ED54" w14:textId="77777777" w:rsidTr="001C696C">
        <w:trPr>
          <w:trHeight w:val="285"/>
        </w:trPr>
        <w:tc>
          <w:tcPr>
            <w:tcW w:w="6091" w:type="dxa"/>
            <w:noWrap/>
            <w:hideMark/>
          </w:tcPr>
          <w:p w14:paraId="66F3ADBE" w14:textId="77777777" w:rsidR="00531754" w:rsidRPr="00176162" w:rsidRDefault="00531754" w:rsidP="001C696C">
            <w:pPr>
              <w:rPr>
                <w:rFonts w:cs="Arial"/>
                <w:lang w:eastAsia="en-AU"/>
              </w:rPr>
            </w:pPr>
            <w:r w:rsidRPr="00176162">
              <w:rPr>
                <w:rFonts w:cs="Arial"/>
                <w:lang w:eastAsia="en-AU"/>
              </w:rPr>
              <w:t xml:space="preserve">Environmental Protection                                              </w:t>
            </w:r>
          </w:p>
        </w:tc>
        <w:tc>
          <w:tcPr>
            <w:tcW w:w="1417" w:type="dxa"/>
            <w:noWrap/>
            <w:hideMark/>
          </w:tcPr>
          <w:p w14:paraId="2D5D3F58" w14:textId="77777777" w:rsidR="00531754" w:rsidRPr="00176162" w:rsidRDefault="00531754" w:rsidP="001C696C">
            <w:pPr>
              <w:rPr>
                <w:lang w:eastAsia="en-AU"/>
              </w:rPr>
            </w:pPr>
            <w:r w:rsidRPr="00176162">
              <w:rPr>
                <w:lang w:eastAsia="en-AU"/>
              </w:rPr>
              <w:t>2557</w:t>
            </w:r>
          </w:p>
        </w:tc>
      </w:tr>
      <w:tr w:rsidR="00531754" w:rsidRPr="00176162" w14:paraId="0388A4F0" w14:textId="77777777" w:rsidTr="001C696C">
        <w:trPr>
          <w:trHeight w:val="285"/>
        </w:trPr>
        <w:tc>
          <w:tcPr>
            <w:tcW w:w="6091" w:type="dxa"/>
            <w:noWrap/>
            <w:hideMark/>
          </w:tcPr>
          <w:p w14:paraId="47C4B1F7" w14:textId="77777777" w:rsidR="00531754" w:rsidRPr="00176162" w:rsidRDefault="00531754" w:rsidP="001C696C">
            <w:pPr>
              <w:rPr>
                <w:rFonts w:cs="Arial"/>
                <w:lang w:eastAsia="en-AU"/>
              </w:rPr>
            </w:pPr>
            <w:r w:rsidRPr="00176162">
              <w:rPr>
                <w:rFonts w:cs="Arial"/>
                <w:lang w:eastAsia="en-AU"/>
              </w:rPr>
              <w:t xml:space="preserve">Housing and community amenities                                       </w:t>
            </w:r>
          </w:p>
        </w:tc>
        <w:tc>
          <w:tcPr>
            <w:tcW w:w="1417" w:type="dxa"/>
            <w:noWrap/>
            <w:hideMark/>
          </w:tcPr>
          <w:p w14:paraId="5FEC33B6" w14:textId="77777777" w:rsidR="00531754" w:rsidRPr="00176162" w:rsidRDefault="00531754" w:rsidP="001C696C">
            <w:pPr>
              <w:rPr>
                <w:lang w:eastAsia="en-AU"/>
              </w:rPr>
            </w:pPr>
            <w:r w:rsidRPr="00176162">
              <w:rPr>
                <w:lang w:eastAsia="en-AU"/>
              </w:rPr>
              <w:t>1205</w:t>
            </w:r>
          </w:p>
        </w:tc>
      </w:tr>
      <w:tr w:rsidR="00531754" w:rsidRPr="00176162" w14:paraId="692A70E9" w14:textId="77777777" w:rsidTr="001C696C">
        <w:trPr>
          <w:trHeight w:val="285"/>
        </w:trPr>
        <w:tc>
          <w:tcPr>
            <w:tcW w:w="6091" w:type="dxa"/>
            <w:noWrap/>
            <w:hideMark/>
          </w:tcPr>
          <w:p w14:paraId="2C2C3A2B" w14:textId="77777777" w:rsidR="00531754" w:rsidRPr="00176162" w:rsidRDefault="00531754" w:rsidP="001C696C">
            <w:pPr>
              <w:rPr>
                <w:rFonts w:cs="Arial"/>
                <w:lang w:eastAsia="en-AU"/>
              </w:rPr>
            </w:pPr>
            <w:r w:rsidRPr="00176162">
              <w:rPr>
                <w:rFonts w:cs="Arial"/>
                <w:lang w:eastAsia="en-AU"/>
              </w:rPr>
              <w:t xml:space="preserve">Health                                                                </w:t>
            </w:r>
          </w:p>
        </w:tc>
        <w:tc>
          <w:tcPr>
            <w:tcW w:w="1417" w:type="dxa"/>
            <w:noWrap/>
            <w:hideMark/>
          </w:tcPr>
          <w:p w14:paraId="37C05931" w14:textId="77777777" w:rsidR="00531754" w:rsidRPr="00176162" w:rsidRDefault="00531754" w:rsidP="001C696C">
            <w:pPr>
              <w:rPr>
                <w:lang w:eastAsia="en-AU"/>
              </w:rPr>
            </w:pPr>
            <w:r w:rsidRPr="00176162">
              <w:rPr>
                <w:lang w:eastAsia="en-AU"/>
              </w:rPr>
              <w:t>127</w:t>
            </w:r>
          </w:p>
        </w:tc>
      </w:tr>
      <w:tr w:rsidR="00531754" w:rsidRPr="00176162" w14:paraId="09EB2201" w14:textId="77777777" w:rsidTr="001C696C">
        <w:trPr>
          <w:trHeight w:val="285"/>
        </w:trPr>
        <w:tc>
          <w:tcPr>
            <w:tcW w:w="6091" w:type="dxa"/>
            <w:noWrap/>
            <w:hideMark/>
          </w:tcPr>
          <w:p w14:paraId="1C3A78C2" w14:textId="77777777" w:rsidR="00531754" w:rsidRPr="00176162" w:rsidRDefault="00531754" w:rsidP="001C696C">
            <w:pPr>
              <w:rPr>
                <w:rFonts w:cs="Arial"/>
                <w:lang w:eastAsia="en-AU"/>
              </w:rPr>
            </w:pPr>
            <w:r w:rsidRPr="00176162">
              <w:rPr>
                <w:rFonts w:cs="Arial"/>
                <w:lang w:eastAsia="en-AU"/>
              </w:rPr>
              <w:t xml:space="preserve">Recreation, culture and religion                                      </w:t>
            </w:r>
          </w:p>
        </w:tc>
        <w:tc>
          <w:tcPr>
            <w:tcW w:w="1417" w:type="dxa"/>
            <w:noWrap/>
            <w:hideMark/>
          </w:tcPr>
          <w:p w14:paraId="0A37635A" w14:textId="77777777" w:rsidR="00531754" w:rsidRPr="00176162" w:rsidRDefault="00531754" w:rsidP="001C696C">
            <w:pPr>
              <w:rPr>
                <w:lang w:eastAsia="en-AU"/>
              </w:rPr>
            </w:pPr>
            <w:r w:rsidRPr="00176162">
              <w:rPr>
                <w:lang w:eastAsia="en-AU"/>
              </w:rPr>
              <w:t>2234</w:t>
            </w:r>
          </w:p>
        </w:tc>
      </w:tr>
      <w:tr w:rsidR="00531754" w:rsidRPr="00176162" w14:paraId="3411C178" w14:textId="77777777" w:rsidTr="001C696C">
        <w:trPr>
          <w:trHeight w:val="285"/>
        </w:trPr>
        <w:tc>
          <w:tcPr>
            <w:tcW w:w="6091" w:type="dxa"/>
            <w:noWrap/>
            <w:hideMark/>
          </w:tcPr>
          <w:p w14:paraId="1C843D95" w14:textId="77777777" w:rsidR="00531754" w:rsidRPr="00176162" w:rsidRDefault="00531754" w:rsidP="001C696C">
            <w:pPr>
              <w:rPr>
                <w:rFonts w:cs="Arial"/>
                <w:lang w:eastAsia="en-AU"/>
              </w:rPr>
            </w:pPr>
            <w:r w:rsidRPr="00176162">
              <w:rPr>
                <w:rFonts w:cs="Arial"/>
                <w:lang w:eastAsia="en-AU"/>
              </w:rPr>
              <w:t xml:space="preserve">Education                                                             </w:t>
            </w:r>
          </w:p>
        </w:tc>
        <w:tc>
          <w:tcPr>
            <w:tcW w:w="1417" w:type="dxa"/>
            <w:noWrap/>
            <w:hideMark/>
          </w:tcPr>
          <w:p w14:paraId="183B3FF8" w14:textId="77777777" w:rsidR="00531754" w:rsidRPr="00176162" w:rsidRDefault="00531754" w:rsidP="001C696C">
            <w:pPr>
              <w:rPr>
                <w:lang w:eastAsia="en-AU"/>
              </w:rPr>
            </w:pPr>
            <w:r w:rsidRPr="00176162">
              <w:rPr>
                <w:lang w:eastAsia="en-AU"/>
              </w:rPr>
              <w:t>100</w:t>
            </w:r>
          </w:p>
        </w:tc>
      </w:tr>
      <w:tr w:rsidR="00531754" w:rsidRPr="00176162" w14:paraId="70E1D0E2" w14:textId="77777777" w:rsidTr="001C696C">
        <w:trPr>
          <w:trHeight w:val="285"/>
        </w:trPr>
        <w:tc>
          <w:tcPr>
            <w:tcW w:w="6091" w:type="dxa"/>
            <w:noWrap/>
            <w:hideMark/>
          </w:tcPr>
          <w:p w14:paraId="2837F129" w14:textId="77777777" w:rsidR="00531754" w:rsidRPr="00176162" w:rsidRDefault="00531754" w:rsidP="001C696C">
            <w:pPr>
              <w:rPr>
                <w:rFonts w:cs="Arial"/>
                <w:lang w:eastAsia="en-AU"/>
              </w:rPr>
            </w:pPr>
            <w:r w:rsidRPr="00176162">
              <w:rPr>
                <w:rFonts w:cs="Arial"/>
                <w:lang w:eastAsia="en-AU"/>
              </w:rPr>
              <w:t xml:space="preserve">Social Protection                                                     </w:t>
            </w:r>
          </w:p>
        </w:tc>
        <w:tc>
          <w:tcPr>
            <w:tcW w:w="1417" w:type="dxa"/>
            <w:noWrap/>
            <w:hideMark/>
          </w:tcPr>
          <w:p w14:paraId="052B8033" w14:textId="77777777" w:rsidR="00531754" w:rsidRPr="00176162" w:rsidRDefault="00531754" w:rsidP="001C696C">
            <w:pPr>
              <w:rPr>
                <w:lang w:eastAsia="en-AU"/>
              </w:rPr>
            </w:pPr>
            <w:r w:rsidRPr="00176162">
              <w:rPr>
                <w:lang w:eastAsia="en-AU"/>
              </w:rPr>
              <w:t>154</w:t>
            </w:r>
          </w:p>
        </w:tc>
      </w:tr>
      <w:tr w:rsidR="00531754" w:rsidRPr="00176162" w14:paraId="56DB583A" w14:textId="77777777" w:rsidTr="001C696C">
        <w:trPr>
          <w:trHeight w:val="285"/>
        </w:trPr>
        <w:tc>
          <w:tcPr>
            <w:tcW w:w="6091" w:type="dxa"/>
            <w:noWrap/>
            <w:hideMark/>
          </w:tcPr>
          <w:p w14:paraId="22175C53" w14:textId="77777777" w:rsidR="00531754" w:rsidRPr="00176162" w:rsidRDefault="00531754" w:rsidP="001C696C">
            <w:pPr>
              <w:rPr>
                <w:rFonts w:cs="Arial"/>
                <w:lang w:eastAsia="en-AU"/>
              </w:rPr>
            </w:pPr>
            <w:r w:rsidRPr="00176162">
              <w:rPr>
                <w:rFonts w:cs="Arial"/>
                <w:lang w:eastAsia="en-AU"/>
              </w:rPr>
              <w:t xml:space="preserve">Transport                                                             </w:t>
            </w:r>
          </w:p>
        </w:tc>
        <w:tc>
          <w:tcPr>
            <w:tcW w:w="1417" w:type="dxa"/>
            <w:noWrap/>
            <w:hideMark/>
          </w:tcPr>
          <w:p w14:paraId="753D971E" w14:textId="77777777" w:rsidR="00531754" w:rsidRPr="00176162" w:rsidRDefault="00531754" w:rsidP="001C696C">
            <w:pPr>
              <w:rPr>
                <w:lang w:eastAsia="en-AU"/>
              </w:rPr>
            </w:pPr>
            <w:r w:rsidRPr="00176162">
              <w:rPr>
                <w:lang w:eastAsia="en-AU"/>
              </w:rPr>
              <w:t>3043</w:t>
            </w:r>
          </w:p>
        </w:tc>
      </w:tr>
    </w:tbl>
    <w:p w14:paraId="129B384C" w14:textId="61BB8B02" w:rsidR="00577A43" w:rsidRPr="00424BDF" w:rsidRDefault="00531754" w:rsidP="00424BDF">
      <w:r w:rsidRPr="00531754">
        <w:t>Note – For sub-category classifications refer to Appendix 3</w:t>
      </w:r>
    </w:p>
    <w:p w14:paraId="237D943B" w14:textId="4A6171D7" w:rsidR="000E308D" w:rsidRDefault="000E308D" w:rsidP="005A26D1">
      <w:r>
        <w:t xml:space="preserve">It is arguable that expenditure has </w:t>
      </w:r>
      <w:r w:rsidR="00531754" w:rsidRPr="00531754">
        <w:t>not kept pace with the needs of the community, nor are they commensurate with the intended role that councils play in Tier 2 service provision. Councils play a critical role in the support of local NFP entities/community groups</w:t>
      </w:r>
      <w:r>
        <w:t>:</w:t>
      </w:r>
      <w:r w:rsidR="00531754" w:rsidRPr="00531754">
        <w:t xml:space="preserve"> they often auspice and support local community organisations and groups, provid</w:t>
      </w:r>
      <w:r>
        <w:t>ing</w:t>
      </w:r>
      <w:r w:rsidR="00531754" w:rsidRPr="00531754">
        <w:t xml:space="preserve"> small grants, co-ordinat</w:t>
      </w:r>
      <w:r>
        <w:t>ing</w:t>
      </w:r>
      <w:r w:rsidR="00531754" w:rsidRPr="00531754">
        <w:t xml:space="preserve"> service delivery, and </w:t>
      </w:r>
      <w:r>
        <w:t xml:space="preserve">giving </w:t>
      </w:r>
      <w:r w:rsidR="00531754" w:rsidRPr="00531754">
        <w:t xml:space="preserve">access to key facilities and amenities. They often also engage in program design and delivery. They are an essential partner within the disability support ecosystem. </w:t>
      </w:r>
    </w:p>
    <w:p w14:paraId="6BCCEC2D" w14:textId="63D23555" w:rsidR="00531754" w:rsidRPr="00092790" w:rsidRDefault="00531754" w:rsidP="00092790">
      <w:r w:rsidRPr="00531754">
        <w:t xml:space="preserve">Additional targeted funding for councils to facilitate the delivery of essential services, </w:t>
      </w:r>
      <w:r w:rsidR="000E308D">
        <w:t xml:space="preserve">and to support </w:t>
      </w:r>
      <w:r w:rsidRPr="00531754">
        <w:t>their role in service coordination and as a community hub, is necessary to ensure service provision, access and uptake at a grassroots level.   </w:t>
      </w:r>
    </w:p>
    <w:p w14:paraId="2F8D7D19" w14:textId="77777777" w:rsidR="00531754" w:rsidRPr="00531754" w:rsidRDefault="00531754" w:rsidP="00DE3A9B">
      <w:pPr>
        <w:pStyle w:val="Heading2"/>
      </w:pPr>
      <w:bookmarkStart w:id="91" w:name="_Toc130942936"/>
      <w:r w:rsidRPr="00531754">
        <w:t>Trends in donation fundraising</w:t>
      </w:r>
      <w:bookmarkEnd w:id="91"/>
    </w:p>
    <w:p w14:paraId="62050092" w14:textId="35434575" w:rsidR="00531754" w:rsidRPr="00531754" w:rsidRDefault="00531754" w:rsidP="005A26D1">
      <w:r w:rsidRPr="00531754">
        <w:t>Since 2020 there has been a significant and notable decline in non-government funding, and donor funding specifically. In April 2020, 47</w:t>
      </w:r>
      <w:r w:rsidR="00670A45">
        <w:t xml:space="preserve"> per cent</w:t>
      </w:r>
      <w:r w:rsidRPr="00531754">
        <w:t xml:space="preserve"> of 366 charities surveyed reported </w:t>
      </w:r>
      <w:r w:rsidRPr="00531754">
        <w:lastRenderedPageBreak/>
        <w:t>that they had experienced a substantial drop in donation fundraising income, with another 20</w:t>
      </w:r>
      <w:r w:rsidR="00670A45">
        <w:t xml:space="preserve"> per cent</w:t>
      </w:r>
      <w:r w:rsidRPr="00531754">
        <w:t xml:space="preserve"> reporting a slight decrease (Institute of Community Directors Australia 2020). </w:t>
      </w:r>
    </w:p>
    <w:p w14:paraId="7673C4C9" w14:textId="77777777" w:rsidR="006B21FE" w:rsidRDefault="00531754" w:rsidP="006B21FE">
      <w:r w:rsidRPr="00531754">
        <w:t xml:space="preserve">Analysis undertaken during the pandemic estimated that total giving would fall </w:t>
      </w:r>
      <w:r w:rsidR="000E308D">
        <w:t xml:space="preserve">by </w:t>
      </w:r>
      <w:r w:rsidRPr="00531754">
        <w:t>around 7.1</w:t>
      </w:r>
      <w:r w:rsidR="00670A45">
        <w:t xml:space="preserve"> per cent</w:t>
      </w:r>
      <w:r w:rsidRPr="00531754">
        <w:t xml:space="preserve"> in 2020 and by a further 12</w:t>
      </w:r>
      <w:r w:rsidR="00670A45">
        <w:t xml:space="preserve"> per cent</w:t>
      </w:r>
      <w:r w:rsidRPr="00531754">
        <w:t xml:space="preserve"> in 2021 (McLeod 2020). Given that much of the </w:t>
      </w:r>
      <w:r w:rsidR="000E308D">
        <w:t>existing</w:t>
      </w:r>
      <w:r w:rsidR="000E308D" w:rsidRPr="00531754">
        <w:t xml:space="preserve"> </w:t>
      </w:r>
      <w:r w:rsidRPr="00531754">
        <w:t>funding procured by firms within the sector is Tier 3 aligned</w:t>
      </w:r>
      <w:r w:rsidR="000E308D">
        <w:t>,</w:t>
      </w:r>
      <w:r w:rsidRPr="00531754">
        <w:t xml:space="preserve"> and given modest (prior year) profit margins in such work for many firms (see Per Capita, 2022), it is </w:t>
      </w:r>
      <w:r w:rsidR="000E308D">
        <w:t>likely</w:t>
      </w:r>
      <w:r w:rsidRPr="00531754">
        <w:t xml:space="preserve"> that such </w:t>
      </w:r>
      <w:r w:rsidR="000E308D">
        <w:t>funding shortfalls</w:t>
      </w:r>
      <w:r w:rsidR="000E308D" w:rsidRPr="00531754">
        <w:t xml:space="preserve"> </w:t>
      </w:r>
      <w:r w:rsidR="000E308D">
        <w:t xml:space="preserve">from donors will </w:t>
      </w:r>
      <w:r w:rsidRPr="00531754">
        <w:t>affect the provision of discretionary programs and non-Tier 3 aligned activities, impacting the continuity of Tier 2 type activities.  </w:t>
      </w:r>
      <w:r w:rsidR="000E308D">
        <w:t>The decline in d</w:t>
      </w:r>
      <w:r w:rsidRPr="00531754">
        <w:t xml:space="preserve">onor funding </w:t>
      </w:r>
      <w:r w:rsidR="000E308D">
        <w:t xml:space="preserve">is </w:t>
      </w:r>
      <w:r w:rsidRPr="00531754">
        <w:t>likely to de-stabilise Tier 2, while having an immaterial impact on Tier 3.</w:t>
      </w:r>
      <w:bookmarkStart w:id="92" w:name="_Toc130567642"/>
    </w:p>
    <w:p w14:paraId="0124B9EF" w14:textId="030874C1" w:rsidR="00BB0ACB" w:rsidRPr="005A26D1" w:rsidRDefault="00531754" w:rsidP="006B21FE">
      <w:pPr>
        <w:pStyle w:val="Heading3"/>
      </w:pPr>
      <w:bookmarkStart w:id="93" w:name="_Toc130942937"/>
      <w:r w:rsidRPr="005A26D1">
        <w:t xml:space="preserve">The modest increases in council funding and the decline in state level funding are likely to </w:t>
      </w:r>
      <w:r w:rsidR="000E308D" w:rsidRPr="005A26D1">
        <w:t xml:space="preserve">impinge upon </w:t>
      </w:r>
      <w:r w:rsidRPr="005A26D1">
        <w:t>the continuity</w:t>
      </w:r>
      <w:r w:rsidR="000E308D" w:rsidRPr="005A26D1">
        <w:t xml:space="preserve"> and </w:t>
      </w:r>
      <w:r w:rsidRPr="005A26D1">
        <w:t xml:space="preserve">quality of information services, referral services and </w:t>
      </w:r>
      <w:r w:rsidR="000E308D" w:rsidRPr="005A26D1">
        <w:t>group-based</w:t>
      </w:r>
      <w:r w:rsidRPr="005A26D1">
        <w:t xml:space="preserve"> supports. </w:t>
      </w:r>
      <w:r w:rsidR="000E308D" w:rsidRPr="005A26D1">
        <w:t>G</w:t>
      </w:r>
      <w:r w:rsidRPr="005A26D1">
        <w:t>iven the key role that service referrals and other Tier 2</w:t>
      </w:r>
      <w:r w:rsidR="000E308D" w:rsidRPr="005A26D1">
        <w:t>-</w:t>
      </w:r>
      <w:r w:rsidRPr="005A26D1">
        <w:t>like support services play in supporting and facilitating accessing to housing services</w:t>
      </w:r>
      <w:r w:rsidR="000E308D" w:rsidRPr="005A26D1">
        <w:t>, it is instructive to consider the likely impact on homelessness risk among people with disability as a result of declining donor funding</w:t>
      </w:r>
      <w:r w:rsidRPr="005A26D1">
        <w:t>.</w:t>
      </w:r>
      <w:bookmarkEnd w:id="92"/>
      <w:bookmarkEnd w:id="93"/>
      <w:r w:rsidRPr="005A26D1">
        <w:t xml:space="preserve">  </w:t>
      </w:r>
      <w:bookmarkStart w:id="94" w:name="_Toc119966545"/>
      <w:bookmarkStart w:id="95" w:name="_Toc120266199"/>
      <w:bookmarkStart w:id="96" w:name="_Toc120266234"/>
      <w:bookmarkStart w:id="97" w:name="_Toc120266354"/>
      <w:bookmarkStart w:id="98" w:name="_Toc120268922"/>
    </w:p>
    <w:p w14:paraId="5AE5C210" w14:textId="2F08D6C9" w:rsidR="00531754" w:rsidRPr="005A26D1" w:rsidRDefault="00531754" w:rsidP="005A26D1">
      <w:pPr>
        <w:pStyle w:val="Heading3"/>
      </w:pPr>
      <w:bookmarkStart w:id="99" w:name="_Toc130567643"/>
      <w:bookmarkStart w:id="100" w:name="_Toc130942938"/>
      <w:r w:rsidRPr="005A26D1">
        <w:t>Case study: Trends in homelessness by disability status</w:t>
      </w:r>
      <w:bookmarkEnd w:id="94"/>
      <w:bookmarkEnd w:id="95"/>
      <w:bookmarkEnd w:id="96"/>
      <w:bookmarkEnd w:id="97"/>
      <w:bookmarkEnd w:id="98"/>
      <w:bookmarkEnd w:id="99"/>
      <w:bookmarkEnd w:id="100"/>
      <w:r w:rsidRPr="005A26D1">
        <w:t> </w:t>
      </w:r>
    </w:p>
    <w:p w14:paraId="3B52C5B7" w14:textId="06138ADE" w:rsidR="00531754" w:rsidRPr="00531754" w:rsidRDefault="000E308D" w:rsidP="005A26D1">
      <w:r w:rsidRPr="00531754">
        <w:t>People with</w:t>
      </w:r>
      <w:r w:rsidR="00531754" w:rsidRPr="00531754">
        <w:t xml:space="preserve"> disability </w:t>
      </w:r>
      <w:r>
        <w:t>experience homelessness</w:t>
      </w:r>
      <w:r w:rsidR="00531754" w:rsidRPr="00531754">
        <w:t xml:space="preserve"> at disproportionate levels in comparison to the broader community. According to the Australian Bureau of Statistics (ABS) Survey of Disability, Ageing and Carers 2018, the rate of homelessness is higher among people with disability than those without disability. In 2018, the estimated rate of homelessness among people with disability in Australia was 71 persons per 10,000 population. In comparison, the rate of homelessness among people without disability was 42 persons per 10,000 population. A significant number of the community are identified as at risk of homelessness while the total number of individuals that are homeless and disabled continues to rise (see inter alia AIHW, 2023, Table 3). While the rate of change in the level of homelessness is stable, the absolute numbers continue to be a source of consternation.  </w:t>
      </w:r>
    </w:p>
    <w:p w14:paraId="6FE6E9F3" w14:textId="37636864" w:rsidR="00967214" w:rsidRPr="006B21FE" w:rsidRDefault="00531754" w:rsidP="006B21FE">
      <w:pPr>
        <w:rPr>
          <w:color w:val="1E4E42" w:themeColor="accent1"/>
        </w:rPr>
      </w:pPr>
      <w:r w:rsidRPr="00531754">
        <w:t>Improvements to the rate of homelessness and those at risk of homelessness following interactions with specialist services have been modest at best. Between 2013-14 and 2019-20, homelessness following specialist support declined from 64.5</w:t>
      </w:r>
      <w:r w:rsidR="00670A45">
        <w:t xml:space="preserve"> per cent</w:t>
      </w:r>
      <w:r w:rsidRPr="00531754">
        <w:t xml:space="preserve"> to 59.5</w:t>
      </w:r>
      <w:r w:rsidR="00670A45">
        <w:t xml:space="preserve"> per cent</w:t>
      </w:r>
      <w:r w:rsidRPr="00531754">
        <w:t>. However, those at risk of homelessness increased from 35.5</w:t>
      </w:r>
      <w:r w:rsidR="00670A45">
        <w:t xml:space="preserve"> per cent</w:t>
      </w:r>
      <w:r w:rsidRPr="00531754">
        <w:t xml:space="preserve"> to 40.5</w:t>
      </w:r>
      <w:r w:rsidR="00670A45">
        <w:t xml:space="preserve"> per cent</w:t>
      </w:r>
      <w:r w:rsidRPr="00531754">
        <w:t xml:space="preserve"> (see </w:t>
      </w:r>
      <w:r w:rsidRPr="00531754">
        <w:lastRenderedPageBreak/>
        <w:t xml:space="preserve">Tables 2 </w:t>
      </w:r>
      <w:r w:rsidR="00670A45">
        <w:t>and</w:t>
      </w:r>
      <w:r w:rsidRPr="00531754">
        <w:t xml:space="preserve"> 3). This indicates that the modest investment in ILC and associated Tier 2 activities has been insufficient to </w:t>
      </w:r>
      <w:r w:rsidR="00BB0ACB">
        <w:t xml:space="preserve">address </w:t>
      </w:r>
      <w:r w:rsidRPr="00531754">
        <w:t>this most urgent of problems</w:t>
      </w:r>
      <w:r w:rsidR="00BB0ACB">
        <w:rPr>
          <w:color w:val="1E4E42" w:themeColor="accent1"/>
        </w:rPr>
        <w:t>.</w:t>
      </w:r>
    </w:p>
    <w:p w14:paraId="1DBA3465" w14:textId="27151C2E" w:rsidR="00531754" w:rsidRPr="00173A15" w:rsidRDefault="00531754" w:rsidP="00173A15">
      <w:pPr>
        <w:rPr>
          <w:b/>
          <w:bCs/>
        </w:rPr>
      </w:pPr>
      <w:r w:rsidRPr="00173A15">
        <w:rPr>
          <w:b/>
          <w:bCs/>
        </w:rPr>
        <w:t>Figure 1</w:t>
      </w:r>
      <w:r w:rsidR="00BB0ACB" w:rsidRPr="00173A15">
        <w:rPr>
          <w:b/>
          <w:bCs/>
        </w:rPr>
        <w:t>3</w:t>
      </w:r>
    </w:p>
    <w:p w14:paraId="0B78C4A9" w14:textId="77777777" w:rsidR="00531754" w:rsidRDefault="00531754" w:rsidP="00173A15">
      <w:pPr>
        <w:rPr>
          <w:b/>
          <w:bCs/>
        </w:rPr>
      </w:pPr>
      <w:r w:rsidRPr="00173A15">
        <w:rPr>
          <w:b/>
          <w:bCs/>
        </w:rPr>
        <w:t>Key challenges in service access, referral and experience</w:t>
      </w:r>
    </w:p>
    <w:p w14:paraId="11DBBE25" w14:textId="7C77D45F" w:rsidR="00455C45" w:rsidRDefault="00455C45" w:rsidP="00173A15">
      <w:r w:rsidRPr="00455C45">
        <w:t>Homelessness risk: There has been no material change in risk since 2014.</w:t>
      </w:r>
    </w:p>
    <w:p w14:paraId="5B49ACEA" w14:textId="3A705EB1" w:rsidR="00455C45" w:rsidRDefault="00455C45" w:rsidP="00173A15">
      <w:r>
        <w:t xml:space="preserve">Service experiences: </w:t>
      </w:r>
      <w:r w:rsidR="00C14D9F">
        <w:t>Disabled persons continue to have substantial</w:t>
      </w:r>
      <w:r w:rsidR="001C696C">
        <w:t>ly poorer services experiences.</w:t>
      </w:r>
    </w:p>
    <w:p w14:paraId="4811E1D4" w14:textId="578B1856" w:rsidR="001C696C" w:rsidRDefault="001C696C" w:rsidP="00173A15">
      <w:r>
        <w:t>Rates of Homelessness: The rate of homelessness is largely unchanged amongst disabled persons.</w:t>
      </w:r>
    </w:p>
    <w:p w14:paraId="04A76055" w14:textId="5627D9E1" w:rsidR="00531754" w:rsidRPr="001C696C" w:rsidRDefault="001C696C" w:rsidP="001C696C">
      <w:r>
        <w:t>Complex co-cordination: Individuals may not be accessing the most viable service offering.</w:t>
      </w:r>
    </w:p>
    <w:p w14:paraId="3AD2CC77" w14:textId="0A0E31D7" w:rsidR="00BB0ACB" w:rsidRDefault="00531754" w:rsidP="001C696C">
      <w:r w:rsidRPr="00B316DE">
        <w:t>Source: AIHW data and Per Capita (2023)</w:t>
      </w:r>
    </w:p>
    <w:p w14:paraId="13A16077" w14:textId="2360275C" w:rsidR="00531754" w:rsidRPr="00531754" w:rsidRDefault="00531754" w:rsidP="00173A15">
      <w:r w:rsidRPr="00531754">
        <w:t xml:space="preserve">While acknowledging that this issue is nuanced, it seems likely that existing information and knowledge pathways are doing little to address this critical issue. Further investment in Tier 2 supports may result in better outcomes, and better alignment of service delivery and client need. </w:t>
      </w:r>
    </w:p>
    <w:p w14:paraId="30FE79B7" w14:textId="00D62009" w:rsidR="00531754" w:rsidRDefault="00531754" w:rsidP="00173A15">
      <w:r w:rsidRPr="00531754">
        <w:t xml:space="preserve">Most critically, </w:t>
      </w:r>
      <w:r w:rsidR="00BB0ACB">
        <w:t>people</w:t>
      </w:r>
      <w:r w:rsidR="00BB0ACB" w:rsidRPr="00531754">
        <w:t xml:space="preserve"> </w:t>
      </w:r>
      <w:r w:rsidRPr="00531754">
        <w:t xml:space="preserve">with a disability continue to be disproportionately represented in data </w:t>
      </w:r>
      <w:r w:rsidR="00BB0ACB">
        <w:t>about</w:t>
      </w:r>
      <w:r w:rsidR="00BB0ACB" w:rsidRPr="00531754">
        <w:t xml:space="preserve"> </w:t>
      </w:r>
      <w:r w:rsidRPr="00531754">
        <w:t>service completeness</w:t>
      </w:r>
      <w:r w:rsidR="00BB0ACB">
        <w:t>:</w:t>
      </w:r>
      <w:r w:rsidRPr="00531754">
        <w:t xml:space="preserve"> with a greater percentage of </w:t>
      </w:r>
      <w:r w:rsidR="00BB0ACB">
        <w:t xml:space="preserve">people with disabilities said only </w:t>
      </w:r>
      <w:r w:rsidRPr="00531754">
        <w:t>some of their needs</w:t>
      </w:r>
      <w:r w:rsidR="00BB0ACB">
        <w:t xml:space="preserve"> are</w:t>
      </w:r>
      <w:r w:rsidRPr="00531754">
        <w:t xml:space="preserve"> addressed, and a smaller percentage of </w:t>
      </w:r>
      <w:r w:rsidR="00BB0ACB">
        <w:t>said they had</w:t>
      </w:r>
      <w:r w:rsidRPr="00531754">
        <w:t xml:space="preserve"> all </w:t>
      </w:r>
      <w:r w:rsidR="00BB0ACB">
        <w:t xml:space="preserve">their </w:t>
      </w:r>
      <w:r w:rsidRPr="00531754">
        <w:t>needs met when compared with the mainstream population (see Appendix 2).  </w:t>
      </w:r>
    </w:p>
    <w:p w14:paraId="352B8B2D" w14:textId="77777777" w:rsidR="00BB0ACB" w:rsidRPr="00674616" w:rsidRDefault="00BB0ACB" w:rsidP="00674616">
      <w:pPr>
        <w:rPr>
          <w:b/>
          <w:bCs/>
        </w:rPr>
      </w:pPr>
      <w:r w:rsidRPr="00674616">
        <w:rPr>
          <w:b/>
          <w:bCs/>
        </w:rPr>
        <w:t>Table 3</w:t>
      </w:r>
    </w:p>
    <w:p w14:paraId="62871191" w14:textId="3D2FF7EE" w:rsidR="00BB0ACB" w:rsidRPr="00674616" w:rsidRDefault="00BB0ACB" w:rsidP="00674616">
      <w:pPr>
        <w:rPr>
          <w:b/>
          <w:bCs/>
        </w:rPr>
      </w:pPr>
      <w:r w:rsidRPr="00674616">
        <w:rPr>
          <w:b/>
          <w:bCs/>
        </w:rPr>
        <w:t>Outcomes post support provision (</w:t>
      </w:r>
      <w:r w:rsidR="00670A45">
        <w:rPr>
          <w:b/>
          <w:bCs/>
        </w:rPr>
        <w:t xml:space="preserve"> per cent</w:t>
      </w:r>
      <w:r w:rsidRPr="00674616">
        <w:rPr>
          <w:b/>
          <w:bCs/>
        </w:rPr>
        <w:t>)</w:t>
      </w:r>
    </w:p>
    <w:tbl>
      <w:tblPr>
        <w:tblStyle w:val="TableGrid"/>
        <w:tblW w:w="5000" w:type="pct"/>
        <w:tblLook w:val="04A0" w:firstRow="1" w:lastRow="0" w:firstColumn="1" w:lastColumn="0" w:noHBand="0" w:noVBand="1"/>
        <w:tblCaption w:val="Outcomes post support provision (%)"/>
      </w:tblPr>
      <w:tblGrid>
        <w:gridCol w:w="2915"/>
        <w:gridCol w:w="938"/>
        <w:gridCol w:w="938"/>
        <w:gridCol w:w="1187"/>
        <w:gridCol w:w="938"/>
        <w:gridCol w:w="938"/>
        <w:gridCol w:w="938"/>
        <w:gridCol w:w="938"/>
      </w:tblGrid>
      <w:tr w:rsidR="00BB0ACB" w:rsidRPr="002045D2" w14:paraId="0AFA100C" w14:textId="77777777" w:rsidTr="002045D2">
        <w:tc>
          <w:tcPr>
            <w:tcW w:w="1498" w:type="pct"/>
            <w:hideMark/>
          </w:tcPr>
          <w:p w14:paraId="72B9C7CE" w14:textId="77777777" w:rsidR="00BB0ACB" w:rsidRPr="00E327AC" w:rsidRDefault="00BB0ACB" w:rsidP="00DA1705">
            <w:pPr>
              <w:rPr>
                <w:b/>
                <w:bCs/>
                <w:sz w:val="20"/>
                <w:szCs w:val="20"/>
              </w:rPr>
            </w:pPr>
            <w:r w:rsidRPr="00E327AC">
              <w:rPr>
                <w:b/>
                <w:bCs/>
                <w:sz w:val="20"/>
                <w:szCs w:val="20"/>
              </w:rPr>
              <w:t>Situation at end of support</w:t>
            </w:r>
          </w:p>
        </w:tc>
        <w:tc>
          <w:tcPr>
            <w:tcW w:w="482" w:type="pct"/>
            <w:hideMark/>
          </w:tcPr>
          <w:p w14:paraId="5C332BC3" w14:textId="77777777" w:rsidR="00BB0ACB" w:rsidRPr="00E327AC" w:rsidRDefault="00BB0ACB" w:rsidP="00DA1705">
            <w:pPr>
              <w:rPr>
                <w:b/>
                <w:bCs/>
                <w:sz w:val="20"/>
                <w:szCs w:val="20"/>
              </w:rPr>
            </w:pPr>
            <w:r w:rsidRPr="00E327AC">
              <w:rPr>
                <w:b/>
                <w:bCs/>
                <w:sz w:val="20"/>
                <w:szCs w:val="20"/>
              </w:rPr>
              <w:t>2013–14</w:t>
            </w:r>
          </w:p>
        </w:tc>
        <w:tc>
          <w:tcPr>
            <w:tcW w:w="482" w:type="pct"/>
            <w:hideMark/>
          </w:tcPr>
          <w:p w14:paraId="3222B07B" w14:textId="77777777" w:rsidR="00BB0ACB" w:rsidRPr="00E327AC" w:rsidRDefault="00BB0ACB" w:rsidP="00DA1705">
            <w:pPr>
              <w:rPr>
                <w:b/>
                <w:bCs/>
                <w:sz w:val="20"/>
                <w:szCs w:val="20"/>
              </w:rPr>
            </w:pPr>
            <w:r w:rsidRPr="00E327AC">
              <w:rPr>
                <w:b/>
                <w:bCs/>
                <w:sz w:val="20"/>
                <w:szCs w:val="20"/>
              </w:rPr>
              <w:t>2014–15</w:t>
            </w:r>
          </w:p>
        </w:tc>
        <w:tc>
          <w:tcPr>
            <w:tcW w:w="610" w:type="pct"/>
            <w:hideMark/>
          </w:tcPr>
          <w:p w14:paraId="77D933F3" w14:textId="77777777" w:rsidR="00BB0ACB" w:rsidRPr="00E327AC" w:rsidRDefault="00BB0ACB" w:rsidP="00DA1705">
            <w:pPr>
              <w:rPr>
                <w:b/>
                <w:bCs/>
                <w:sz w:val="20"/>
                <w:szCs w:val="20"/>
              </w:rPr>
            </w:pPr>
            <w:r w:rsidRPr="00E327AC">
              <w:rPr>
                <w:b/>
                <w:bCs/>
                <w:sz w:val="20"/>
                <w:szCs w:val="20"/>
              </w:rPr>
              <w:t>2015–16</w:t>
            </w:r>
          </w:p>
        </w:tc>
        <w:tc>
          <w:tcPr>
            <w:tcW w:w="482" w:type="pct"/>
            <w:hideMark/>
          </w:tcPr>
          <w:p w14:paraId="62AAE63D" w14:textId="77777777" w:rsidR="00BB0ACB" w:rsidRPr="00E327AC" w:rsidRDefault="00BB0ACB" w:rsidP="00DA1705">
            <w:pPr>
              <w:rPr>
                <w:b/>
                <w:bCs/>
                <w:sz w:val="20"/>
                <w:szCs w:val="20"/>
              </w:rPr>
            </w:pPr>
            <w:r w:rsidRPr="00E327AC">
              <w:rPr>
                <w:b/>
                <w:bCs/>
                <w:sz w:val="20"/>
                <w:szCs w:val="20"/>
              </w:rPr>
              <w:t>2016–17</w:t>
            </w:r>
          </w:p>
        </w:tc>
        <w:tc>
          <w:tcPr>
            <w:tcW w:w="482" w:type="pct"/>
            <w:hideMark/>
          </w:tcPr>
          <w:p w14:paraId="514FA0D4" w14:textId="77777777" w:rsidR="00BB0ACB" w:rsidRPr="00E327AC" w:rsidRDefault="00BB0ACB" w:rsidP="00DA1705">
            <w:pPr>
              <w:rPr>
                <w:b/>
                <w:bCs/>
                <w:sz w:val="20"/>
                <w:szCs w:val="20"/>
              </w:rPr>
            </w:pPr>
            <w:r w:rsidRPr="00E327AC">
              <w:rPr>
                <w:b/>
                <w:bCs/>
                <w:sz w:val="20"/>
                <w:szCs w:val="20"/>
              </w:rPr>
              <w:t>2017–18</w:t>
            </w:r>
          </w:p>
        </w:tc>
        <w:tc>
          <w:tcPr>
            <w:tcW w:w="482" w:type="pct"/>
            <w:hideMark/>
          </w:tcPr>
          <w:p w14:paraId="76D9C9B7" w14:textId="77777777" w:rsidR="00BB0ACB" w:rsidRPr="00E327AC" w:rsidRDefault="00BB0ACB" w:rsidP="00DA1705">
            <w:pPr>
              <w:rPr>
                <w:b/>
                <w:bCs/>
                <w:sz w:val="20"/>
                <w:szCs w:val="20"/>
              </w:rPr>
            </w:pPr>
            <w:r w:rsidRPr="00E327AC">
              <w:rPr>
                <w:b/>
                <w:bCs/>
                <w:sz w:val="20"/>
                <w:szCs w:val="20"/>
              </w:rPr>
              <w:t>2018–19</w:t>
            </w:r>
          </w:p>
        </w:tc>
        <w:tc>
          <w:tcPr>
            <w:tcW w:w="482" w:type="pct"/>
            <w:hideMark/>
          </w:tcPr>
          <w:p w14:paraId="1C1C767B" w14:textId="77777777" w:rsidR="00BB0ACB" w:rsidRPr="00E327AC" w:rsidRDefault="00BB0ACB" w:rsidP="00DA1705">
            <w:pPr>
              <w:rPr>
                <w:b/>
                <w:bCs/>
                <w:sz w:val="20"/>
                <w:szCs w:val="20"/>
              </w:rPr>
            </w:pPr>
            <w:r w:rsidRPr="00E327AC">
              <w:rPr>
                <w:b/>
                <w:bCs/>
                <w:sz w:val="20"/>
                <w:szCs w:val="20"/>
              </w:rPr>
              <w:t>2019–20</w:t>
            </w:r>
          </w:p>
        </w:tc>
      </w:tr>
      <w:tr w:rsidR="00BB0ACB" w:rsidRPr="002045D2" w14:paraId="6DD1157B" w14:textId="77777777" w:rsidTr="002045D2">
        <w:tc>
          <w:tcPr>
            <w:tcW w:w="1498" w:type="pct"/>
            <w:hideMark/>
          </w:tcPr>
          <w:p w14:paraId="36465B26" w14:textId="77777777" w:rsidR="00BB0ACB" w:rsidRPr="002045D2" w:rsidRDefault="00BB0ACB" w:rsidP="00DA1705">
            <w:pPr>
              <w:rPr>
                <w:sz w:val="20"/>
                <w:szCs w:val="20"/>
              </w:rPr>
            </w:pPr>
            <w:r w:rsidRPr="002045D2">
              <w:rPr>
                <w:sz w:val="20"/>
                <w:szCs w:val="20"/>
              </w:rPr>
              <w:t>At risk of homelessness</w:t>
            </w:r>
          </w:p>
        </w:tc>
        <w:tc>
          <w:tcPr>
            <w:tcW w:w="482" w:type="pct"/>
            <w:hideMark/>
          </w:tcPr>
          <w:p w14:paraId="4423A2E3" w14:textId="77777777" w:rsidR="00BB0ACB" w:rsidRPr="002045D2" w:rsidRDefault="00BB0ACB" w:rsidP="00DA1705">
            <w:pPr>
              <w:rPr>
                <w:sz w:val="20"/>
                <w:szCs w:val="20"/>
              </w:rPr>
            </w:pPr>
            <w:r w:rsidRPr="002045D2">
              <w:rPr>
                <w:sz w:val="20"/>
                <w:szCs w:val="20"/>
              </w:rPr>
              <w:t>35.5</w:t>
            </w:r>
          </w:p>
        </w:tc>
        <w:tc>
          <w:tcPr>
            <w:tcW w:w="482" w:type="pct"/>
            <w:hideMark/>
          </w:tcPr>
          <w:p w14:paraId="262CAF64" w14:textId="77777777" w:rsidR="00BB0ACB" w:rsidRPr="002045D2" w:rsidRDefault="00BB0ACB" w:rsidP="00DA1705">
            <w:pPr>
              <w:rPr>
                <w:sz w:val="20"/>
                <w:szCs w:val="20"/>
              </w:rPr>
            </w:pPr>
            <w:r w:rsidRPr="002045D2">
              <w:rPr>
                <w:sz w:val="20"/>
                <w:szCs w:val="20"/>
              </w:rPr>
              <w:t>39.8</w:t>
            </w:r>
          </w:p>
        </w:tc>
        <w:tc>
          <w:tcPr>
            <w:tcW w:w="610" w:type="pct"/>
            <w:hideMark/>
          </w:tcPr>
          <w:p w14:paraId="1B514966" w14:textId="77777777" w:rsidR="00BB0ACB" w:rsidRPr="002045D2" w:rsidRDefault="00BB0ACB" w:rsidP="00DA1705">
            <w:pPr>
              <w:rPr>
                <w:sz w:val="20"/>
                <w:szCs w:val="20"/>
              </w:rPr>
            </w:pPr>
            <w:r w:rsidRPr="002045D2">
              <w:rPr>
                <w:sz w:val="20"/>
                <w:szCs w:val="20"/>
              </w:rPr>
              <w:t>41.3 </w:t>
            </w:r>
          </w:p>
        </w:tc>
        <w:tc>
          <w:tcPr>
            <w:tcW w:w="482" w:type="pct"/>
            <w:hideMark/>
          </w:tcPr>
          <w:p w14:paraId="18799F21" w14:textId="77777777" w:rsidR="00BB0ACB" w:rsidRPr="002045D2" w:rsidRDefault="00BB0ACB" w:rsidP="00DA1705">
            <w:pPr>
              <w:rPr>
                <w:sz w:val="20"/>
                <w:szCs w:val="20"/>
              </w:rPr>
            </w:pPr>
            <w:r w:rsidRPr="002045D2">
              <w:rPr>
                <w:sz w:val="20"/>
                <w:szCs w:val="20"/>
              </w:rPr>
              <w:t>41.2</w:t>
            </w:r>
          </w:p>
        </w:tc>
        <w:tc>
          <w:tcPr>
            <w:tcW w:w="482" w:type="pct"/>
            <w:hideMark/>
          </w:tcPr>
          <w:p w14:paraId="0CDA7CFF" w14:textId="77777777" w:rsidR="00BB0ACB" w:rsidRPr="002045D2" w:rsidRDefault="00BB0ACB" w:rsidP="00DA1705">
            <w:pPr>
              <w:rPr>
                <w:sz w:val="20"/>
                <w:szCs w:val="20"/>
              </w:rPr>
            </w:pPr>
            <w:r w:rsidRPr="002045D2">
              <w:rPr>
                <w:sz w:val="20"/>
                <w:szCs w:val="20"/>
              </w:rPr>
              <w:t>42.9</w:t>
            </w:r>
          </w:p>
        </w:tc>
        <w:tc>
          <w:tcPr>
            <w:tcW w:w="482" w:type="pct"/>
            <w:hideMark/>
          </w:tcPr>
          <w:p w14:paraId="34FA0B78" w14:textId="77777777" w:rsidR="00BB0ACB" w:rsidRPr="002045D2" w:rsidRDefault="00BB0ACB" w:rsidP="00DA1705">
            <w:pPr>
              <w:rPr>
                <w:sz w:val="20"/>
                <w:szCs w:val="20"/>
              </w:rPr>
            </w:pPr>
            <w:r w:rsidRPr="002045D2">
              <w:rPr>
                <w:sz w:val="20"/>
                <w:szCs w:val="20"/>
              </w:rPr>
              <w:t>41.1</w:t>
            </w:r>
          </w:p>
        </w:tc>
        <w:tc>
          <w:tcPr>
            <w:tcW w:w="482" w:type="pct"/>
            <w:hideMark/>
          </w:tcPr>
          <w:p w14:paraId="7796C359" w14:textId="77777777" w:rsidR="00BB0ACB" w:rsidRPr="002045D2" w:rsidRDefault="00BB0ACB" w:rsidP="00DA1705">
            <w:pPr>
              <w:rPr>
                <w:sz w:val="20"/>
                <w:szCs w:val="20"/>
              </w:rPr>
            </w:pPr>
            <w:r w:rsidRPr="002045D2">
              <w:rPr>
                <w:sz w:val="20"/>
                <w:szCs w:val="20"/>
              </w:rPr>
              <w:t>40.5</w:t>
            </w:r>
          </w:p>
        </w:tc>
      </w:tr>
      <w:tr w:rsidR="00BB0ACB" w:rsidRPr="002045D2" w14:paraId="2221BC3A" w14:textId="77777777" w:rsidTr="002045D2">
        <w:tc>
          <w:tcPr>
            <w:tcW w:w="1498" w:type="pct"/>
            <w:hideMark/>
          </w:tcPr>
          <w:p w14:paraId="0931FC1C" w14:textId="77777777" w:rsidR="00BB0ACB" w:rsidRPr="002045D2" w:rsidRDefault="00BB0ACB" w:rsidP="00DA1705">
            <w:pPr>
              <w:rPr>
                <w:sz w:val="20"/>
                <w:szCs w:val="20"/>
              </w:rPr>
            </w:pPr>
            <w:r w:rsidRPr="002045D2">
              <w:rPr>
                <w:sz w:val="20"/>
                <w:szCs w:val="20"/>
              </w:rPr>
              <w:t>Homeless</w:t>
            </w:r>
          </w:p>
        </w:tc>
        <w:tc>
          <w:tcPr>
            <w:tcW w:w="482" w:type="pct"/>
            <w:hideMark/>
          </w:tcPr>
          <w:p w14:paraId="5DA16B5A" w14:textId="77777777" w:rsidR="00BB0ACB" w:rsidRPr="002045D2" w:rsidRDefault="00BB0ACB" w:rsidP="00DA1705">
            <w:pPr>
              <w:rPr>
                <w:sz w:val="20"/>
                <w:szCs w:val="20"/>
              </w:rPr>
            </w:pPr>
            <w:r w:rsidRPr="002045D2">
              <w:rPr>
                <w:sz w:val="20"/>
                <w:szCs w:val="20"/>
              </w:rPr>
              <w:t>64.5</w:t>
            </w:r>
          </w:p>
        </w:tc>
        <w:tc>
          <w:tcPr>
            <w:tcW w:w="482" w:type="pct"/>
            <w:hideMark/>
          </w:tcPr>
          <w:p w14:paraId="14A049D8" w14:textId="77777777" w:rsidR="00BB0ACB" w:rsidRPr="002045D2" w:rsidRDefault="00BB0ACB" w:rsidP="00DA1705">
            <w:pPr>
              <w:rPr>
                <w:sz w:val="20"/>
                <w:szCs w:val="20"/>
              </w:rPr>
            </w:pPr>
            <w:r w:rsidRPr="002045D2">
              <w:rPr>
                <w:sz w:val="20"/>
                <w:szCs w:val="20"/>
              </w:rPr>
              <w:t>60.2</w:t>
            </w:r>
          </w:p>
        </w:tc>
        <w:tc>
          <w:tcPr>
            <w:tcW w:w="610" w:type="pct"/>
            <w:hideMark/>
          </w:tcPr>
          <w:p w14:paraId="643D9764" w14:textId="77777777" w:rsidR="00BB0ACB" w:rsidRPr="002045D2" w:rsidRDefault="00BB0ACB" w:rsidP="00DA1705">
            <w:pPr>
              <w:rPr>
                <w:sz w:val="20"/>
                <w:szCs w:val="20"/>
              </w:rPr>
            </w:pPr>
            <w:r w:rsidRPr="002045D2">
              <w:rPr>
                <w:sz w:val="20"/>
                <w:szCs w:val="20"/>
              </w:rPr>
              <w:t>58.7</w:t>
            </w:r>
          </w:p>
        </w:tc>
        <w:tc>
          <w:tcPr>
            <w:tcW w:w="482" w:type="pct"/>
            <w:hideMark/>
          </w:tcPr>
          <w:p w14:paraId="29E5D2D0" w14:textId="77777777" w:rsidR="00BB0ACB" w:rsidRPr="002045D2" w:rsidRDefault="00BB0ACB" w:rsidP="00DA1705">
            <w:pPr>
              <w:rPr>
                <w:sz w:val="20"/>
                <w:szCs w:val="20"/>
              </w:rPr>
            </w:pPr>
            <w:r w:rsidRPr="002045D2">
              <w:rPr>
                <w:sz w:val="20"/>
                <w:szCs w:val="20"/>
              </w:rPr>
              <w:t>58.8</w:t>
            </w:r>
          </w:p>
        </w:tc>
        <w:tc>
          <w:tcPr>
            <w:tcW w:w="482" w:type="pct"/>
            <w:hideMark/>
          </w:tcPr>
          <w:p w14:paraId="70D53639" w14:textId="77777777" w:rsidR="00BB0ACB" w:rsidRPr="002045D2" w:rsidRDefault="00BB0ACB" w:rsidP="00DA1705">
            <w:pPr>
              <w:rPr>
                <w:sz w:val="20"/>
                <w:szCs w:val="20"/>
              </w:rPr>
            </w:pPr>
            <w:r w:rsidRPr="002045D2">
              <w:rPr>
                <w:sz w:val="20"/>
                <w:szCs w:val="20"/>
              </w:rPr>
              <w:t>57.1</w:t>
            </w:r>
          </w:p>
        </w:tc>
        <w:tc>
          <w:tcPr>
            <w:tcW w:w="482" w:type="pct"/>
            <w:hideMark/>
          </w:tcPr>
          <w:p w14:paraId="3E8E1F8B" w14:textId="77777777" w:rsidR="00BB0ACB" w:rsidRPr="002045D2" w:rsidRDefault="00BB0ACB" w:rsidP="00DA1705">
            <w:pPr>
              <w:rPr>
                <w:sz w:val="20"/>
                <w:szCs w:val="20"/>
              </w:rPr>
            </w:pPr>
            <w:r w:rsidRPr="002045D2">
              <w:rPr>
                <w:sz w:val="20"/>
                <w:szCs w:val="20"/>
              </w:rPr>
              <w:t>58.9</w:t>
            </w:r>
          </w:p>
        </w:tc>
        <w:tc>
          <w:tcPr>
            <w:tcW w:w="482" w:type="pct"/>
            <w:hideMark/>
          </w:tcPr>
          <w:p w14:paraId="6D5CF4A1" w14:textId="77777777" w:rsidR="00BB0ACB" w:rsidRPr="002045D2" w:rsidRDefault="00BB0ACB" w:rsidP="00DA1705">
            <w:pPr>
              <w:rPr>
                <w:sz w:val="20"/>
                <w:szCs w:val="20"/>
              </w:rPr>
            </w:pPr>
            <w:r w:rsidRPr="002045D2">
              <w:rPr>
                <w:sz w:val="20"/>
                <w:szCs w:val="20"/>
              </w:rPr>
              <w:t>59.5</w:t>
            </w:r>
          </w:p>
        </w:tc>
      </w:tr>
    </w:tbl>
    <w:p w14:paraId="4C634280" w14:textId="77777777" w:rsidR="00531754" w:rsidRPr="00A7695E" w:rsidRDefault="00531754" w:rsidP="00A7695E">
      <w:pPr>
        <w:rPr>
          <w:b/>
          <w:bCs/>
        </w:rPr>
      </w:pPr>
      <w:r w:rsidRPr="00A7695E">
        <w:rPr>
          <w:b/>
          <w:bCs/>
        </w:rPr>
        <w:t>Table 4</w:t>
      </w:r>
    </w:p>
    <w:p w14:paraId="16FAFB13" w14:textId="77777777" w:rsidR="00531754" w:rsidRDefault="00531754" w:rsidP="00A7695E">
      <w:pPr>
        <w:rPr>
          <w:b/>
          <w:bCs/>
        </w:rPr>
      </w:pPr>
      <w:r w:rsidRPr="00A7695E">
        <w:rPr>
          <w:b/>
          <w:bCs/>
        </w:rPr>
        <w:lastRenderedPageBreak/>
        <w:t>Specialist Homelessness services clients with disability by homelessness status at end of support and homelessness status at beginning of support, 2013–14 to 2019–20</w:t>
      </w:r>
    </w:p>
    <w:p w14:paraId="6D34D055" w14:textId="1E293D0D" w:rsidR="007E3FBA" w:rsidRDefault="007E3FBA" w:rsidP="007E3FBA">
      <w:pPr>
        <w:rPr>
          <w:b/>
          <w:bCs/>
        </w:rPr>
      </w:pPr>
      <w:r w:rsidRPr="007E3FBA">
        <w:rPr>
          <w:b/>
          <w:bCs/>
        </w:rPr>
        <w:t>At risk of homelessness at beginning of support</w:t>
      </w:r>
    </w:p>
    <w:tbl>
      <w:tblPr>
        <w:tblStyle w:val="TableGrid"/>
        <w:tblW w:w="5000" w:type="pct"/>
        <w:tblLook w:val="04A0" w:firstRow="1" w:lastRow="0" w:firstColumn="1" w:lastColumn="0" w:noHBand="0" w:noVBand="1"/>
        <w:tblCaption w:val="Specialist Homelessness services clients with disability by homelessness status at end of support and homelessness status at beginning of support, 2013–14 to 2019–20"/>
        <w:tblDescription w:val="At risk of homelessness at beginning of support"/>
      </w:tblPr>
      <w:tblGrid>
        <w:gridCol w:w="1121"/>
        <w:gridCol w:w="610"/>
        <w:gridCol w:w="610"/>
        <w:gridCol w:w="610"/>
        <w:gridCol w:w="609"/>
        <w:gridCol w:w="649"/>
        <w:gridCol w:w="609"/>
        <w:gridCol w:w="649"/>
        <w:gridCol w:w="609"/>
        <w:gridCol w:w="609"/>
        <w:gridCol w:w="609"/>
        <w:gridCol w:w="609"/>
        <w:gridCol w:w="609"/>
        <w:gridCol w:w="609"/>
        <w:gridCol w:w="609"/>
      </w:tblGrid>
      <w:tr w:rsidR="00964EAE" w:rsidRPr="001F72D0" w14:paraId="31FDA180" w14:textId="77777777" w:rsidTr="00964EAE">
        <w:trPr>
          <w:trHeight w:val="270"/>
        </w:trPr>
        <w:tc>
          <w:tcPr>
            <w:tcW w:w="548" w:type="pct"/>
            <w:hideMark/>
          </w:tcPr>
          <w:p w14:paraId="3EF2C6BE" w14:textId="77777777" w:rsidR="00964EAE" w:rsidRPr="001F72D0" w:rsidRDefault="00964EAE" w:rsidP="00A4101E">
            <w:pPr>
              <w:rPr>
                <w:b/>
                <w:bCs/>
                <w:sz w:val="16"/>
                <w:szCs w:val="16"/>
              </w:rPr>
            </w:pPr>
            <w:r w:rsidRPr="001F72D0">
              <w:rPr>
                <w:b/>
                <w:bCs/>
                <w:sz w:val="16"/>
                <w:szCs w:val="16"/>
              </w:rPr>
              <w:t>Status</w:t>
            </w:r>
          </w:p>
        </w:tc>
        <w:tc>
          <w:tcPr>
            <w:tcW w:w="283" w:type="pct"/>
            <w:hideMark/>
          </w:tcPr>
          <w:p w14:paraId="02BF30E8" w14:textId="77777777" w:rsidR="00964EAE" w:rsidRPr="001F72D0" w:rsidRDefault="00964EAE" w:rsidP="00A4101E">
            <w:pPr>
              <w:rPr>
                <w:b/>
                <w:bCs/>
                <w:sz w:val="16"/>
                <w:szCs w:val="16"/>
              </w:rPr>
            </w:pPr>
            <w:r w:rsidRPr="001F72D0">
              <w:rPr>
                <w:b/>
                <w:bCs/>
                <w:sz w:val="16"/>
                <w:szCs w:val="16"/>
              </w:rPr>
              <w:t>2013–14</w:t>
            </w:r>
            <w:r>
              <w:rPr>
                <w:b/>
                <w:bCs/>
                <w:sz w:val="16"/>
                <w:szCs w:val="16"/>
              </w:rPr>
              <w:t xml:space="preserve"> N</w:t>
            </w:r>
          </w:p>
        </w:tc>
        <w:tc>
          <w:tcPr>
            <w:tcW w:w="343" w:type="pct"/>
          </w:tcPr>
          <w:p w14:paraId="7BC3EB80" w14:textId="6B1DCC9C" w:rsidR="00964EAE" w:rsidRPr="001F72D0" w:rsidRDefault="00964EAE" w:rsidP="00A4101E">
            <w:pPr>
              <w:rPr>
                <w:b/>
                <w:bCs/>
                <w:sz w:val="16"/>
                <w:szCs w:val="16"/>
              </w:rPr>
            </w:pPr>
            <w:r w:rsidRPr="001F72D0">
              <w:rPr>
                <w:b/>
                <w:bCs/>
                <w:sz w:val="16"/>
                <w:szCs w:val="16"/>
              </w:rPr>
              <w:t>2013–14</w:t>
            </w:r>
            <w:r>
              <w:rPr>
                <w:b/>
                <w:bCs/>
                <w:sz w:val="16"/>
                <w:szCs w:val="16"/>
              </w:rPr>
              <w:t xml:space="preserve"> </w:t>
            </w:r>
            <w:r w:rsidR="00670A45">
              <w:rPr>
                <w:b/>
                <w:bCs/>
                <w:sz w:val="16"/>
                <w:szCs w:val="16"/>
              </w:rPr>
              <w:t xml:space="preserve"> per cent</w:t>
            </w:r>
          </w:p>
        </w:tc>
        <w:tc>
          <w:tcPr>
            <w:tcW w:w="283" w:type="pct"/>
            <w:hideMark/>
          </w:tcPr>
          <w:p w14:paraId="262E88B0" w14:textId="77777777" w:rsidR="00964EAE" w:rsidRPr="001F72D0" w:rsidRDefault="00964EAE" w:rsidP="00A4101E">
            <w:pPr>
              <w:rPr>
                <w:b/>
                <w:bCs/>
                <w:sz w:val="16"/>
                <w:szCs w:val="16"/>
              </w:rPr>
            </w:pPr>
            <w:r w:rsidRPr="001F72D0">
              <w:rPr>
                <w:b/>
                <w:bCs/>
                <w:sz w:val="16"/>
                <w:szCs w:val="16"/>
              </w:rPr>
              <w:t>2014–15</w:t>
            </w:r>
            <w:r>
              <w:rPr>
                <w:b/>
                <w:bCs/>
                <w:sz w:val="16"/>
                <w:szCs w:val="16"/>
              </w:rPr>
              <w:t xml:space="preserve"> N</w:t>
            </w:r>
          </w:p>
        </w:tc>
        <w:tc>
          <w:tcPr>
            <w:tcW w:w="343" w:type="pct"/>
          </w:tcPr>
          <w:p w14:paraId="623E83CE" w14:textId="29508A06" w:rsidR="00964EAE" w:rsidRPr="001F72D0" w:rsidRDefault="00964EAE" w:rsidP="00A4101E">
            <w:pPr>
              <w:rPr>
                <w:b/>
                <w:bCs/>
                <w:sz w:val="16"/>
                <w:szCs w:val="16"/>
              </w:rPr>
            </w:pPr>
            <w:r w:rsidRPr="001F72D0">
              <w:rPr>
                <w:b/>
                <w:bCs/>
                <w:sz w:val="16"/>
                <w:szCs w:val="16"/>
              </w:rPr>
              <w:t>2014–15</w:t>
            </w:r>
            <w:r>
              <w:rPr>
                <w:b/>
                <w:bCs/>
                <w:sz w:val="16"/>
                <w:szCs w:val="16"/>
              </w:rPr>
              <w:t xml:space="preserve"> </w:t>
            </w:r>
            <w:r w:rsidR="00670A45">
              <w:rPr>
                <w:b/>
                <w:bCs/>
                <w:sz w:val="16"/>
                <w:szCs w:val="16"/>
              </w:rPr>
              <w:t xml:space="preserve"> per cent</w:t>
            </w:r>
          </w:p>
        </w:tc>
        <w:tc>
          <w:tcPr>
            <w:tcW w:w="320" w:type="pct"/>
            <w:hideMark/>
          </w:tcPr>
          <w:p w14:paraId="135354B3" w14:textId="77777777" w:rsidR="00964EAE" w:rsidRPr="001F72D0" w:rsidRDefault="00964EAE" w:rsidP="00A4101E">
            <w:pPr>
              <w:rPr>
                <w:b/>
                <w:bCs/>
                <w:sz w:val="16"/>
                <w:szCs w:val="16"/>
              </w:rPr>
            </w:pPr>
            <w:r w:rsidRPr="001F72D0">
              <w:rPr>
                <w:b/>
                <w:bCs/>
                <w:sz w:val="16"/>
                <w:szCs w:val="16"/>
              </w:rPr>
              <w:t>2015–16</w:t>
            </w:r>
            <w:r>
              <w:rPr>
                <w:b/>
                <w:bCs/>
                <w:sz w:val="16"/>
                <w:szCs w:val="16"/>
              </w:rPr>
              <w:t xml:space="preserve"> N</w:t>
            </w:r>
          </w:p>
        </w:tc>
        <w:tc>
          <w:tcPr>
            <w:tcW w:w="343" w:type="pct"/>
          </w:tcPr>
          <w:p w14:paraId="7EE508DA" w14:textId="52E1CB8F" w:rsidR="00964EAE" w:rsidRPr="001F72D0" w:rsidRDefault="00964EAE" w:rsidP="00A4101E">
            <w:pPr>
              <w:rPr>
                <w:b/>
                <w:bCs/>
                <w:sz w:val="16"/>
                <w:szCs w:val="16"/>
              </w:rPr>
            </w:pPr>
            <w:r w:rsidRPr="001F72D0">
              <w:rPr>
                <w:b/>
                <w:bCs/>
                <w:sz w:val="16"/>
                <w:szCs w:val="16"/>
              </w:rPr>
              <w:t>2015–16</w:t>
            </w:r>
            <w:r>
              <w:rPr>
                <w:b/>
                <w:bCs/>
                <w:sz w:val="16"/>
                <w:szCs w:val="16"/>
              </w:rPr>
              <w:t xml:space="preserve"> </w:t>
            </w:r>
            <w:r w:rsidR="00670A45">
              <w:rPr>
                <w:b/>
                <w:bCs/>
                <w:sz w:val="16"/>
                <w:szCs w:val="16"/>
              </w:rPr>
              <w:t xml:space="preserve"> per cent</w:t>
            </w:r>
          </w:p>
        </w:tc>
        <w:tc>
          <w:tcPr>
            <w:tcW w:w="320" w:type="pct"/>
            <w:hideMark/>
          </w:tcPr>
          <w:p w14:paraId="33918B62" w14:textId="77777777" w:rsidR="00964EAE" w:rsidRPr="001F72D0" w:rsidRDefault="00964EAE" w:rsidP="00A4101E">
            <w:pPr>
              <w:rPr>
                <w:b/>
                <w:bCs/>
                <w:sz w:val="16"/>
                <w:szCs w:val="16"/>
              </w:rPr>
            </w:pPr>
            <w:r w:rsidRPr="001F72D0">
              <w:rPr>
                <w:b/>
                <w:bCs/>
                <w:sz w:val="16"/>
                <w:szCs w:val="16"/>
              </w:rPr>
              <w:t>2016–17</w:t>
            </w:r>
            <w:r>
              <w:rPr>
                <w:b/>
                <w:bCs/>
                <w:sz w:val="16"/>
                <w:szCs w:val="16"/>
              </w:rPr>
              <w:t xml:space="preserve"> N</w:t>
            </w:r>
          </w:p>
        </w:tc>
        <w:tc>
          <w:tcPr>
            <w:tcW w:w="343" w:type="pct"/>
          </w:tcPr>
          <w:p w14:paraId="719CEF90" w14:textId="4BEDDB69" w:rsidR="00964EAE" w:rsidRPr="001F72D0" w:rsidRDefault="00964EAE" w:rsidP="00A4101E">
            <w:pPr>
              <w:rPr>
                <w:b/>
                <w:bCs/>
                <w:sz w:val="16"/>
                <w:szCs w:val="16"/>
              </w:rPr>
            </w:pPr>
            <w:r w:rsidRPr="001F72D0">
              <w:rPr>
                <w:b/>
                <w:bCs/>
                <w:sz w:val="16"/>
                <w:szCs w:val="16"/>
              </w:rPr>
              <w:t>2016–17</w:t>
            </w:r>
            <w:r>
              <w:rPr>
                <w:b/>
                <w:bCs/>
                <w:sz w:val="16"/>
                <w:szCs w:val="16"/>
              </w:rPr>
              <w:t xml:space="preserve"> </w:t>
            </w:r>
            <w:r w:rsidR="00670A45">
              <w:rPr>
                <w:b/>
                <w:bCs/>
                <w:sz w:val="16"/>
                <w:szCs w:val="16"/>
              </w:rPr>
              <w:t xml:space="preserve"> per cent</w:t>
            </w:r>
          </w:p>
        </w:tc>
        <w:tc>
          <w:tcPr>
            <w:tcW w:w="282" w:type="pct"/>
            <w:hideMark/>
          </w:tcPr>
          <w:p w14:paraId="2C9F53A9" w14:textId="77777777" w:rsidR="00964EAE" w:rsidRPr="001F72D0" w:rsidRDefault="00964EAE" w:rsidP="00A4101E">
            <w:pPr>
              <w:rPr>
                <w:b/>
                <w:bCs/>
                <w:sz w:val="16"/>
                <w:szCs w:val="16"/>
              </w:rPr>
            </w:pPr>
            <w:r w:rsidRPr="001F72D0">
              <w:rPr>
                <w:b/>
                <w:bCs/>
                <w:sz w:val="16"/>
                <w:szCs w:val="16"/>
              </w:rPr>
              <w:t>2017–18</w:t>
            </w:r>
            <w:r>
              <w:rPr>
                <w:b/>
                <w:bCs/>
                <w:sz w:val="16"/>
                <w:szCs w:val="16"/>
              </w:rPr>
              <w:t xml:space="preserve"> N</w:t>
            </w:r>
          </w:p>
        </w:tc>
        <w:tc>
          <w:tcPr>
            <w:tcW w:w="343" w:type="pct"/>
          </w:tcPr>
          <w:p w14:paraId="7759470B" w14:textId="526D0ED6" w:rsidR="00964EAE" w:rsidRPr="001F72D0" w:rsidRDefault="00964EAE" w:rsidP="00A4101E">
            <w:pPr>
              <w:rPr>
                <w:b/>
                <w:bCs/>
                <w:sz w:val="16"/>
                <w:szCs w:val="16"/>
              </w:rPr>
            </w:pPr>
            <w:r w:rsidRPr="001F72D0">
              <w:rPr>
                <w:b/>
                <w:bCs/>
                <w:sz w:val="16"/>
                <w:szCs w:val="16"/>
              </w:rPr>
              <w:t>2017–18</w:t>
            </w:r>
            <w:r>
              <w:rPr>
                <w:b/>
                <w:bCs/>
                <w:sz w:val="16"/>
                <w:szCs w:val="16"/>
              </w:rPr>
              <w:t xml:space="preserve"> </w:t>
            </w:r>
            <w:r w:rsidR="00670A45">
              <w:rPr>
                <w:b/>
                <w:bCs/>
                <w:sz w:val="16"/>
                <w:szCs w:val="16"/>
              </w:rPr>
              <w:t xml:space="preserve"> per cent</w:t>
            </w:r>
          </w:p>
        </w:tc>
        <w:tc>
          <w:tcPr>
            <w:tcW w:w="282" w:type="pct"/>
            <w:hideMark/>
          </w:tcPr>
          <w:p w14:paraId="37076A3B" w14:textId="77777777" w:rsidR="00964EAE" w:rsidRPr="001F72D0" w:rsidRDefault="00964EAE" w:rsidP="00A4101E">
            <w:pPr>
              <w:rPr>
                <w:b/>
                <w:bCs/>
                <w:sz w:val="16"/>
                <w:szCs w:val="16"/>
              </w:rPr>
            </w:pPr>
            <w:r w:rsidRPr="001F72D0">
              <w:rPr>
                <w:b/>
                <w:bCs/>
                <w:sz w:val="16"/>
                <w:szCs w:val="16"/>
              </w:rPr>
              <w:t>2018–19</w:t>
            </w:r>
            <w:r>
              <w:rPr>
                <w:b/>
                <w:bCs/>
                <w:sz w:val="16"/>
                <w:szCs w:val="16"/>
              </w:rPr>
              <w:t xml:space="preserve"> N</w:t>
            </w:r>
          </w:p>
        </w:tc>
        <w:tc>
          <w:tcPr>
            <w:tcW w:w="343" w:type="pct"/>
          </w:tcPr>
          <w:p w14:paraId="32832F61" w14:textId="52BF7DA0" w:rsidR="00964EAE" w:rsidRPr="001F72D0" w:rsidRDefault="00964EAE" w:rsidP="00A4101E">
            <w:pPr>
              <w:rPr>
                <w:b/>
                <w:bCs/>
                <w:sz w:val="16"/>
                <w:szCs w:val="16"/>
              </w:rPr>
            </w:pPr>
            <w:r w:rsidRPr="001F72D0">
              <w:rPr>
                <w:b/>
                <w:bCs/>
                <w:sz w:val="16"/>
                <w:szCs w:val="16"/>
              </w:rPr>
              <w:t>2018–19</w:t>
            </w:r>
            <w:r>
              <w:rPr>
                <w:b/>
                <w:bCs/>
                <w:sz w:val="16"/>
                <w:szCs w:val="16"/>
              </w:rPr>
              <w:t xml:space="preserve"> </w:t>
            </w:r>
            <w:r w:rsidR="00670A45">
              <w:rPr>
                <w:b/>
                <w:bCs/>
                <w:sz w:val="16"/>
                <w:szCs w:val="16"/>
              </w:rPr>
              <w:t xml:space="preserve"> per cent</w:t>
            </w:r>
          </w:p>
        </w:tc>
        <w:tc>
          <w:tcPr>
            <w:tcW w:w="282" w:type="pct"/>
            <w:hideMark/>
          </w:tcPr>
          <w:p w14:paraId="6DBD5CD3" w14:textId="77777777" w:rsidR="00964EAE" w:rsidRPr="001F72D0" w:rsidRDefault="00964EAE" w:rsidP="00A4101E">
            <w:pPr>
              <w:rPr>
                <w:b/>
                <w:bCs/>
                <w:sz w:val="16"/>
                <w:szCs w:val="16"/>
              </w:rPr>
            </w:pPr>
            <w:r w:rsidRPr="001F72D0">
              <w:rPr>
                <w:b/>
                <w:bCs/>
                <w:sz w:val="16"/>
                <w:szCs w:val="16"/>
              </w:rPr>
              <w:t>2019–20</w:t>
            </w:r>
            <w:r>
              <w:rPr>
                <w:b/>
                <w:bCs/>
                <w:sz w:val="16"/>
                <w:szCs w:val="16"/>
              </w:rPr>
              <w:t xml:space="preserve"> N</w:t>
            </w:r>
          </w:p>
        </w:tc>
        <w:tc>
          <w:tcPr>
            <w:tcW w:w="343" w:type="pct"/>
          </w:tcPr>
          <w:p w14:paraId="149EFA86" w14:textId="0D8033A0" w:rsidR="00964EAE" w:rsidRPr="001F72D0" w:rsidRDefault="00964EAE" w:rsidP="00A4101E">
            <w:pPr>
              <w:rPr>
                <w:b/>
                <w:bCs/>
                <w:sz w:val="16"/>
                <w:szCs w:val="16"/>
              </w:rPr>
            </w:pPr>
            <w:r w:rsidRPr="001F72D0">
              <w:rPr>
                <w:b/>
                <w:bCs/>
                <w:sz w:val="16"/>
                <w:szCs w:val="16"/>
              </w:rPr>
              <w:t>2019–20</w:t>
            </w:r>
            <w:r>
              <w:rPr>
                <w:b/>
                <w:bCs/>
                <w:sz w:val="16"/>
                <w:szCs w:val="16"/>
              </w:rPr>
              <w:t xml:space="preserve"> </w:t>
            </w:r>
            <w:r w:rsidR="00670A45">
              <w:rPr>
                <w:b/>
                <w:bCs/>
                <w:sz w:val="16"/>
                <w:szCs w:val="16"/>
              </w:rPr>
              <w:t xml:space="preserve"> per cent</w:t>
            </w:r>
          </w:p>
        </w:tc>
      </w:tr>
      <w:tr w:rsidR="00964EAE" w:rsidRPr="002045D2" w14:paraId="53C1ACD9" w14:textId="77777777" w:rsidTr="00964EAE">
        <w:trPr>
          <w:trHeight w:val="270"/>
        </w:trPr>
        <w:tc>
          <w:tcPr>
            <w:tcW w:w="548" w:type="pct"/>
            <w:hideMark/>
          </w:tcPr>
          <w:p w14:paraId="3822B131" w14:textId="77777777" w:rsidR="00BF3758" w:rsidRPr="002045D2" w:rsidRDefault="00BF3758" w:rsidP="00BF3758">
            <w:pPr>
              <w:rPr>
                <w:sz w:val="16"/>
                <w:szCs w:val="16"/>
              </w:rPr>
            </w:pPr>
            <w:r w:rsidRPr="002045D2">
              <w:rPr>
                <w:sz w:val="16"/>
                <w:szCs w:val="16"/>
              </w:rPr>
              <w:t>At risk of homelessness</w:t>
            </w:r>
          </w:p>
        </w:tc>
        <w:tc>
          <w:tcPr>
            <w:tcW w:w="283" w:type="pct"/>
            <w:hideMark/>
          </w:tcPr>
          <w:p w14:paraId="25F4774C" w14:textId="77777777" w:rsidR="00BF3758" w:rsidRPr="002045D2" w:rsidRDefault="00BF3758" w:rsidP="00BF3758">
            <w:pPr>
              <w:rPr>
                <w:sz w:val="16"/>
                <w:szCs w:val="16"/>
              </w:rPr>
            </w:pPr>
            <w:r w:rsidRPr="002045D2">
              <w:rPr>
                <w:sz w:val="16"/>
                <w:szCs w:val="16"/>
              </w:rPr>
              <w:t>5,114</w:t>
            </w:r>
          </w:p>
        </w:tc>
        <w:tc>
          <w:tcPr>
            <w:tcW w:w="343" w:type="pct"/>
            <w:hideMark/>
          </w:tcPr>
          <w:p w14:paraId="2E9177ED" w14:textId="0325B46D" w:rsidR="00BF3758" w:rsidRPr="002045D2" w:rsidRDefault="00BF3758" w:rsidP="00BF3758">
            <w:pPr>
              <w:rPr>
                <w:sz w:val="16"/>
                <w:szCs w:val="16"/>
              </w:rPr>
            </w:pPr>
            <w:r w:rsidRPr="002045D2">
              <w:rPr>
                <w:sz w:val="16"/>
                <w:szCs w:val="16"/>
              </w:rPr>
              <w:t>86.0</w:t>
            </w:r>
          </w:p>
        </w:tc>
        <w:tc>
          <w:tcPr>
            <w:tcW w:w="283" w:type="pct"/>
            <w:hideMark/>
          </w:tcPr>
          <w:p w14:paraId="64D920EE" w14:textId="77777777" w:rsidR="00BF3758" w:rsidRPr="002045D2" w:rsidRDefault="00BF3758" w:rsidP="00BF3758">
            <w:pPr>
              <w:rPr>
                <w:sz w:val="16"/>
                <w:szCs w:val="16"/>
              </w:rPr>
            </w:pPr>
            <w:r w:rsidRPr="002045D2">
              <w:rPr>
                <w:sz w:val="16"/>
                <w:szCs w:val="16"/>
              </w:rPr>
              <w:t>7,520</w:t>
            </w:r>
          </w:p>
        </w:tc>
        <w:tc>
          <w:tcPr>
            <w:tcW w:w="343" w:type="pct"/>
            <w:hideMark/>
          </w:tcPr>
          <w:p w14:paraId="78D13C6C" w14:textId="588758D7" w:rsidR="00BF3758" w:rsidRPr="002045D2" w:rsidRDefault="00BF3758" w:rsidP="00BF3758">
            <w:pPr>
              <w:rPr>
                <w:sz w:val="16"/>
                <w:szCs w:val="16"/>
              </w:rPr>
            </w:pPr>
            <w:r w:rsidRPr="002045D2">
              <w:rPr>
                <w:sz w:val="16"/>
                <w:szCs w:val="16"/>
              </w:rPr>
              <w:t>86.1</w:t>
            </w:r>
          </w:p>
        </w:tc>
        <w:tc>
          <w:tcPr>
            <w:tcW w:w="320" w:type="pct"/>
            <w:hideMark/>
          </w:tcPr>
          <w:p w14:paraId="64DB171F" w14:textId="77777777" w:rsidR="00BF3758" w:rsidRPr="002045D2" w:rsidRDefault="00BF3758" w:rsidP="00BF3758">
            <w:pPr>
              <w:rPr>
                <w:sz w:val="16"/>
                <w:szCs w:val="16"/>
              </w:rPr>
            </w:pPr>
            <w:r w:rsidRPr="002045D2">
              <w:rPr>
                <w:sz w:val="16"/>
                <w:szCs w:val="16"/>
              </w:rPr>
              <w:t>8,667</w:t>
            </w:r>
          </w:p>
        </w:tc>
        <w:tc>
          <w:tcPr>
            <w:tcW w:w="343" w:type="pct"/>
            <w:hideMark/>
          </w:tcPr>
          <w:p w14:paraId="4412FA65" w14:textId="5B68267E" w:rsidR="00BF3758" w:rsidRPr="002045D2" w:rsidRDefault="00BF3758" w:rsidP="00BF3758">
            <w:pPr>
              <w:rPr>
                <w:sz w:val="16"/>
                <w:szCs w:val="16"/>
              </w:rPr>
            </w:pPr>
            <w:r w:rsidRPr="002045D2">
              <w:rPr>
                <w:sz w:val="16"/>
                <w:szCs w:val="16"/>
              </w:rPr>
              <w:t>86.3</w:t>
            </w:r>
          </w:p>
        </w:tc>
        <w:tc>
          <w:tcPr>
            <w:tcW w:w="320" w:type="pct"/>
            <w:hideMark/>
          </w:tcPr>
          <w:p w14:paraId="1799442B" w14:textId="77777777" w:rsidR="00BF3758" w:rsidRPr="002045D2" w:rsidRDefault="00BF3758" w:rsidP="00BF3758">
            <w:pPr>
              <w:rPr>
                <w:sz w:val="16"/>
                <w:szCs w:val="16"/>
              </w:rPr>
            </w:pPr>
            <w:r w:rsidRPr="002045D2">
              <w:rPr>
                <w:sz w:val="16"/>
                <w:szCs w:val="16"/>
              </w:rPr>
              <w:t>8,883</w:t>
            </w:r>
          </w:p>
        </w:tc>
        <w:tc>
          <w:tcPr>
            <w:tcW w:w="343" w:type="pct"/>
            <w:hideMark/>
          </w:tcPr>
          <w:p w14:paraId="6DD8D57F" w14:textId="4599A051" w:rsidR="00BF3758" w:rsidRPr="002045D2" w:rsidRDefault="00BF3758" w:rsidP="00BF3758">
            <w:pPr>
              <w:rPr>
                <w:sz w:val="16"/>
                <w:szCs w:val="16"/>
              </w:rPr>
            </w:pPr>
            <w:r w:rsidRPr="002045D2">
              <w:rPr>
                <w:sz w:val="16"/>
                <w:szCs w:val="16"/>
              </w:rPr>
              <w:t>86.5</w:t>
            </w:r>
          </w:p>
        </w:tc>
        <w:tc>
          <w:tcPr>
            <w:tcW w:w="282" w:type="pct"/>
            <w:hideMark/>
          </w:tcPr>
          <w:p w14:paraId="76D19BE6" w14:textId="77777777" w:rsidR="00BF3758" w:rsidRPr="002045D2" w:rsidRDefault="00BF3758" w:rsidP="00BF3758">
            <w:pPr>
              <w:rPr>
                <w:sz w:val="16"/>
                <w:szCs w:val="16"/>
              </w:rPr>
            </w:pPr>
            <w:r w:rsidRPr="002045D2">
              <w:rPr>
                <w:sz w:val="16"/>
                <w:szCs w:val="16"/>
              </w:rPr>
              <w:t>7,253</w:t>
            </w:r>
          </w:p>
        </w:tc>
        <w:tc>
          <w:tcPr>
            <w:tcW w:w="343" w:type="pct"/>
            <w:hideMark/>
          </w:tcPr>
          <w:p w14:paraId="6256B718" w14:textId="31A81686" w:rsidR="00BF3758" w:rsidRPr="002045D2" w:rsidRDefault="00BF3758" w:rsidP="00BF3758">
            <w:pPr>
              <w:rPr>
                <w:sz w:val="16"/>
                <w:szCs w:val="16"/>
              </w:rPr>
            </w:pPr>
            <w:r w:rsidRPr="002045D2">
              <w:rPr>
                <w:sz w:val="16"/>
                <w:szCs w:val="16"/>
              </w:rPr>
              <w:t>87.3</w:t>
            </w:r>
          </w:p>
        </w:tc>
        <w:tc>
          <w:tcPr>
            <w:tcW w:w="282" w:type="pct"/>
            <w:hideMark/>
          </w:tcPr>
          <w:p w14:paraId="29FB21CA" w14:textId="77777777" w:rsidR="00BF3758" w:rsidRPr="002045D2" w:rsidRDefault="00BF3758" w:rsidP="00BF3758">
            <w:pPr>
              <w:rPr>
                <w:sz w:val="16"/>
                <w:szCs w:val="16"/>
              </w:rPr>
            </w:pPr>
            <w:r w:rsidRPr="002045D2">
              <w:rPr>
                <w:sz w:val="16"/>
                <w:szCs w:val="16"/>
              </w:rPr>
              <w:t>6,881</w:t>
            </w:r>
          </w:p>
        </w:tc>
        <w:tc>
          <w:tcPr>
            <w:tcW w:w="343" w:type="pct"/>
            <w:hideMark/>
          </w:tcPr>
          <w:p w14:paraId="224C06CB" w14:textId="1874D704" w:rsidR="00BF3758" w:rsidRPr="002045D2" w:rsidRDefault="00BF3758" w:rsidP="00BF3758">
            <w:pPr>
              <w:rPr>
                <w:sz w:val="16"/>
                <w:szCs w:val="16"/>
              </w:rPr>
            </w:pPr>
            <w:r w:rsidRPr="002045D2">
              <w:rPr>
                <w:sz w:val="16"/>
                <w:szCs w:val="16"/>
              </w:rPr>
              <w:t>87.5</w:t>
            </w:r>
          </w:p>
        </w:tc>
        <w:tc>
          <w:tcPr>
            <w:tcW w:w="282" w:type="pct"/>
            <w:hideMark/>
          </w:tcPr>
          <w:p w14:paraId="6D497DE5" w14:textId="77777777" w:rsidR="00BF3758" w:rsidRPr="002045D2" w:rsidRDefault="00BF3758" w:rsidP="00BF3758">
            <w:pPr>
              <w:rPr>
                <w:sz w:val="16"/>
                <w:szCs w:val="16"/>
              </w:rPr>
            </w:pPr>
            <w:r w:rsidRPr="002045D2">
              <w:rPr>
                <w:sz w:val="16"/>
                <w:szCs w:val="16"/>
              </w:rPr>
              <w:t>6,889</w:t>
            </w:r>
          </w:p>
        </w:tc>
        <w:tc>
          <w:tcPr>
            <w:tcW w:w="343" w:type="pct"/>
            <w:hideMark/>
          </w:tcPr>
          <w:p w14:paraId="376FB6B9" w14:textId="5569811B" w:rsidR="00BF3758" w:rsidRPr="002045D2" w:rsidRDefault="00BF3758" w:rsidP="00BF3758">
            <w:pPr>
              <w:rPr>
                <w:sz w:val="16"/>
                <w:szCs w:val="16"/>
              </w:rPr>
            </w:pPr>
            <w:r w:rsidRPr="002045D2">
              <w:rPr>
                <w:sz w:val="16"/>
                <w:szCs w:val="16"/>
              </w:rPr>
              <w:t>86.4</w:t>
            </w:r>
          </w:p>
        </w:tc>
      </w:tr>
      <w:tr w:rsidR="00964EAE" w:rsidRPr="002045D2" w14:paraId="41EB4C7E" w14:textId="77777777" w:rsidTr="00964EAE">
        <w:trPr>
          <w:trHeight w:val="270"/>
        </w:trPr>
        <w:tc>
          <w:tcPr>
            <w:tcW w:w="548" w:type="pct"/>
            <w:hideMark/>
          </w:tcPr>
          <w:p w14:paraId="4810F246" w14:textId="77777777" w:rsidR="00BF3758" w:rsidRPr="002045D2" w:rsidRDefault="00BF3758" w:rsidP="00BF3758">
            <w:pPr>
              <w:rPr>
                <w:sz w:val="16"/>
                <w:szCs w:val="16"/>
              </w:rPr>
            </w:pPr>
            <w:r w:rsidRPr="002045D2">
              <w:rPr>
                <w:sz w:val="16"/>
                <w:szCs w:val="16"/>
              </w:rPr>
              <w:t>Homeless</w:t>
            </w:r>
          </w:p>
        </w:tc>
        <w:tc>
          <w:tcPr>
            <w:tcW w:w="283" w:type="pct"/>
            <w:hideMark/>
          </w:tcPr>
          <w:p w14:paraId="4D2B416B" w14:textId="77777777" w:rsidR="00BF3758" w:rsidRPr="002045D2" w:rsidRDefault="00BF3758" w:rsidP="00BF3758">
            <w:pPr>
              <w:rPr>
                <w:sz w:val="16"/>
                <w:szCs w:val="16"/>
              </w:rPr>
            </w:pPr>
            <w:r w:rsidRPr="002045D2">
              <w:rPr>
                <w:sz w:val="16"/>
                <w:szCs w:val="16"/>
              </w:rPr>
              <w:t>835</w:t>
            </w:r>
          </w:p>
        </w:tc>
        <w:tc>
          <w:tcPr>
            <w:tcW w:w="343" w:type="pct"/>
            <w:hideMark/>
          </w:tcPr>
          <w:p w14:paraId="0F79857C" w14:textId="52488734" w:rsidR="00BF3758" w:rsidRPr="002045D2" w:rsidRDefault="00BF3758" w:rsidP="00BF3758">
            <w:pPr>
              <w:rPr>
                <w:sz w:val="16"/>
                <w:szCs w:val="16"/>
              </w:rPr>
            </w:pPr>
            <w:r w:rsidRPr="002045D2">
              <w:rPr>
                <w:sz w:val="16"/>
                <w:szCs w:val="16"/>
              </w:rPr>
              <w:t>14.0</w:t>
            </w:r>
          </w:p>
        </w:tc>
        <w:tc>
          <w:tcPr>
            <w:tcW w:w="283" w:type="pct"/>
            <w:hideMark/>
          </w:tcPr>
          <w:p w14:paraId="317B0A5B" w14:textId="77777777" w:rsidR="00BF3758" w:rsidRPr="002045D2" w:rsidRDefault="00BF3758" w:rsidP="00BF3758">
            <w:pPr>
              <w:rPr>
                <w:sz w:val="16"/>
                <w:szCs w:val="16"/>
              </w:rPr>
            </w:pPr>
            <w:r w:rsidRPr="002045D2">
              <w:rPr>
                <w:sz w:val="16"/>
                <w:szCs w:val="16"/>
              </w:rPr>
              <w:t>1,211</w:t>
            </w:r>
          </w:p>
        </w:tc>
        <w:tc>
          <w:tcPr>
            <w:tcW w:w="343" w:type="pct"/>
            <w:hideMark/>
          </w:tcPr>
          <w:p w14:paraId="584909C4" w14:textId="168FCC3F" w:rsidR="00BF3758" w:rsidRPr="002045D2" w:rsidRDefault="00BF3758" w:rsidP="00BF3758">
            <w:pPr>
              <w:rPr>
                <w:sz w:val="16"/>
                <w:szCs w:val="16"/>
              </w:rPr>
            </w:pPr>
            <w:r w:rsidRPr="002045D2">
              <w:rPr>
                <w:sz w:val="16"/>
                <w:szCs w:val="16"/>
              </w:rPr>
              <w:t>13.9</w:t>
            </w:r>
          </w:p>
        </w:tc>
        <w:tc>
          <w:tcPr>
            <w:tcW w:w="320" w:type="pct"/>
            <w:hideMark/>
          </w:tcPr>
          <w:p w14:paraId="3516F84B" w14:textId="77777777" w:rsidR="00BF3758" w:rsidRPr="002045D2" w:rsidRDefault="00BF3758" w:rsidP="00BF3758">
            <w:pPr>
              <w:rPr>
                <w:sz w:val="16"/>
                <w:szCs w:val="16"/>
              </w:rPr>
            </w:pPr>
            <w:r w:rsidRPr="002045D2">
              <w:rPr>
                <w:sz w:val="16"/>
                <w:szCs w:val="16"/>
              </w:rPr>
              <w:t>1,377</w:t>
            </w:r>
          </w:p>
        </w:tc>
        <w:tc>
          <w:tcPr>
            <w:tcW w:w="343" w:type="pct"/>
            <w:hideMark/>
          </w:tcPr>
          <w:p w14:paraId="4D402CE9" w14:textId="53AF6EC6" w:rsidR="00BF3758" w:rsidRPr="002045D2" w:rsidRDefault="00BF3758" w:rsidP="00BF3758">
            <w:pPr>
              <w:rPr>
                <w:sz w:val="16"/>
                <w:szCs w:val="16"/>
              </w:rPr>
            </w:pPr>
            <w:r w:rsidRPr="002045D2">
              <w:rPr>
                <w:sz w:val="16"/>
                <w:szCs w:val="16"/>
              </w:rPr>
              <w:t>13.7</w:t>
            </w:r>
          </w:p>
        </w:tc>
        <w:tc>
          <w:tcPr>
            <w:tcW w:w="320" w:type="pct"/>
            <w:hideMark/>
          </w:tcPr>
          <w:p w14:paraId="716CC451" w14:textId="77777777" w:rsidR="00BF3758" w:rsidRPr="002045D2" w:rsidRDefault="00BF3758" w:rsidP="00BF3758">
            <w:pPr>
              <w:rPr>
                <w:sz w:val="16"/>
                <w:szCs w:val="16"/>
              </w:rPr>
            </w:pPr>
            <w:r w:rsidRPr="002045D2">
              <w:rPr>
                <w:sz w:val="16"/>
                <w:szCs w:val="16"/>
              </w:rPr>
              <w:t>1,383</w:t>
            </w:r>
          </w:p>
        </w:tc>
        <w:tc>
          <w:tcPr>
            <w:tcW w:w="343" w:type="pct"/>
            <w:hideMark/>
          </w:tcPr>
          <w:p w14:paraId="74B44126" w14:textId="6A818621" w:rsidR="00BF3758" w:rsidRPr="002045D2" w:rsidRDefault="00BF3758" w:rsidP="00BF3758">
            <w:pPr>
              <w:rPr>
                <w:sz w:val="16"/>
                <w:szCs w:val="16"/>
              </w:rPr>
            </w:pPr>
            <w:r w:rsidRPr="002045D2">
              <w:rPr>
                <w:sz w:val="16"/>
                <w:szCs w:val="16"/>
              </w:rPr>
              <w:t>13.5</w:t>
            </w:r>
          </w:p>
        </w:tc>
        <w:tc>
          <w:tcPr>
            <w:tcW w:w="282" w:type="pct"/>
            <w:hideMark/>
          </w:tcPr>
          <w:p w14:paraId="67BD0007" w14:textId="77777777" w:rsidR="00BF3758" w:rsidRPr="002045D2" w:rsidRDefault="00BF3758" w:rsidP="00BF3758">
            <w:pPr>
              <w:rPr>
                <w:sz w:val="16"/>
                <w:szCs w:val="16"/>
              </w:rPr>
            </w:pPr>
            <w:r w:rsidRPr="002045D2">
              <w:rPr>
                <w:sz w:val="16"/>
                <w:szCs w:val="16"/>
              </w:rPr>
              <w:t>1,053</w:t>
            </w:r>
          </w:p>
        </w:tc>
        <w:tc>
          <w:tcPr>
            <w:tcW w:w="343" w:type="pct"/>
            <w:hideMark/>
          </w:tcPr>
          <w:p w14:paraId="58B706AD" w14:textId="703FC4FA" w:rsidR="00BF3758" w:rsidRPr="002045D2" w:rsidRDefault="00BF3758" w:rsidP="00BF3758">
            <w:pPr>
              <w:rPr>
                <w:sz w:val="16"/>
                <w:szCs w:val="16"/>
              </w:rPr>
            </w:pPr>
            <w:r w:rsidRPr="002045D2">
              <w:rPr>
                <w:sz w:val="16"/>
                <w:szCs w:val="16"/>
              </w:rPr>
              <w:t>12.7</w:t>
            </w:r>
          </w:p>
        </w:tc>
        <w:tc>
          <w:tcPr>
            <w:tcW w:w="282" w:type="pct"/>
            <w:hideMark/>
          </w:tcPr>
          <w:p w14:paraId="7B3010B1" w14:textId="06F64230" w:rsidR="00BF3758" w:rsidRPr="002045D2" w:rsidRDefault="00BF3758" w:rsidP="00BF3758">
            <w:pPr>
              <w:rPr>
                <w:sz w:val="16"/>
                <w:szCs w:val="16"/>
              </w:rPr>
            </w:pPr>
            <w:r w:rsidRPr="002045D2">
              <w:rPr>
                <w:sz w:val="16"/>
                <w:szCs w:val="16"/>
              </w:rPr>
              <w:t>984</w:t>
            </w:r>
          </w:p>
        </w:tc>
        <w:tc>
          <w:tcPr>
            <w:tcW w:w="343" w:type="pct"/>
            <w:hideMark/>
          </w:tcPr>
          <w:p w14:paraId="7DFD52E7" w14:textId="7FC17760" w:rsidR="00BF3758" w:rsidRPr="002045D2" w:rsidRDefault="00BF3758" w:rsidP="00BF3758">
            <w:pPr>
              <w:rPr>
                <w:sz w:val="16"/>
                <w:szCs w:val="16"/>
              </w:rPr>
            </w:pPr>
            <w:r w:rsidRPr="002045D2">
              <w:rPr>
                <w:sz w:val="16"/>
                <w:szCs w:val="16"/>
              </w:rPr>
              <w:t>12.5</w:t>
            </w:r>
          </w:p>
        </w:tc>
        <w:tc>
          <w:tcPr>
            <w:tcW w:w="282" w:type="pct"/>
            <w:hideMark/>
          </w:tcPr>
          <w:p w14:paraId="2E636670" w14:textId="77976B24" w:rsidR="00BF3758" w:rsidRPr="002045D2" w:rsidRDefault="00BF3758" w:rsidP="00BF3758">
            <w:pPr>
              <w:rPr>
                <w:sz w:val="16"/>
                <w:szCs w:val="16"/>
              </w:rPr>
            </w:pPr>
            <w:r w:rsidRPr="002045D2">
              <w:rPr>
                <w:sz w:val="16"/>
                <w:szCs w:val="16"/>
              </w:rPr>
              <w:t>1,080</w:t>
            </w:r>
          </w:p>
        </w:tc>
        <w:tc>
          <w:tcPr>
            <w:tcW w:w="343" w:type="pct"/>
            <w:hideMark/>
          </w:tcPr>
          <w:p w14:paraId="365DA763" w14:textId="4B8ABBAE" w:rsidR="00BF3758" w:rsidRPr="002045D2" w:rsidRDefault="00BF3758" w:rsidP="00BF3758">
            <w:pPr>
              <w:rPr>
                <w:sz w:val="16"/>
                <w:szCs w:val="16"/>
              </w:rPr>
            </w:pPr>
            <w:r w:rsidRPr="002045D2">
              <w:rPr>
                <w:sz w:val="16"/>
                <w:szCs w:val="16"/>
              </w:rPr>
              <w:t>13.6</w:t>
            </w:r>
          </w:p>
        </w:tc>
      </w:tr>
      <w:tr w:rsidR="00964EAE" w:rsidRPr="002045D2" w14:paraId="01E98AEB" w14:textId="77777777" w:rsidTr="00964EAE">
        <w:trPr>
          <w:trHeight w:val="270"/>
        </w:trPr>
        <w:tc>
          <w:tcPr>
            <w:tcW w:w="548" w:type="pct"/>
            <w:hideMark/>
          </w:tcPr>
          <w:p w14:paraId="7AE25B35" w14:textId="77777777" w:rsidR="00BF3758" w:rsidRPr="002045D2" w:rsidRDefault="00BF3758" w:rsidP="00BF3758">
            <w:pPr>
              <w:rPr>
                <w:sz w:val="16"/>
                <w:szCs w:val="16"/>
              </w:rPr>
            </w:pPr>
            <w:r w:rsidRPr="002045D2">
              <w:rPr>
                <w:b/>
                <w:bCs/>
                <w:sz w:val="16"/>
                <w:szCs w:val="16"/>
              </w:rPr>
              <w:t>Total</w:t>
            </w:r>
          </w:p>
        </w:tc>
        <w:tc>
          <w:tcPr>
            <w:tcW w:w="283" w:type="pct"/>
            <w:hideMark/>
          </w:tcPr>
          <w:p w14:paraId="58D1ED80" w14:textId="77777777" w:rsidR="00BF3758" w:rsidRPr="002045D2" w:rsidRDefault="00BF3758" w:rsidP="00BF3758">
            <w:pPr>
              <w:rPr>
                <w:sz w:val="16"/>
                <w:szCs w:val="16"/>
              </w:rPr>
            </w:pPr>
            <w:r w:rsidRPr="002045D2">
              <w:rPr>
                <w:b/>
                <w:bCs/>
                <w:sz w:val="16"/>
                <w:szCs w:val="16"/>
              </w:rPr>
              <w:t>5,949</w:t>
            </w:r>
          </w:p>
        </w:tc>
        <w:tc>
          <w:tcPr>
            <w:tcW w:w="343" w:type="pct"/>
            <w:hideMark/>
          </w:tcPr>
          <w:p w14:paraId="08911B0C" w14:textId="4377B6B3" w:rsidR="00BF3758" w:rsidRPr="002045D2" w:rsidRDefault="00BF3758" w:rsidP="00BF3758">
            <w:pPr>
              <w:rPr>
                <w:sz w:val="16"/>
                <w:szCs w:val="16"/>
              </w:rPr>
            </w:pPr>
            <w:r w:rsidRPr="002045D2">
              <w:rPr>
                <w:b/>
                <w:bCs/>
                <w:sz w:val="16"/>
                <w:szCs w:val="16"/>
              </w:rPr>
              <w:t>100.0</w:t>
            </w:r>
          </w:p>
        </w:tc>
        <w:tc>
          <w:tcPr>
            <w:tcW w:w="283" w:type="pct"/>
            <w:hideMark/>
          </w:tcPr>
          <w:p w14:paraId="1933365F" w14:textId="77777777" w:rsidR="00BF3758" w:rsidRPr="002045D2" w:rsidRDefault="00BF3758" w:rsidP="00BF3758">
            <w:pPr>
              <w:rPr>
                <w:sz w:val="16"/>
                <w:szCs w:val="16"/>
              </w:rPr>
            </w:pPr>
            <w:r w:rsidRPr="002045D2">
              <w:rPr>
                <w:b/>
                <w:bCs/>
                <w:sz w:val="16"/>
                <w:szCs w:val="16"/>
              </w:rPr>
              <w:t>8,732</w:t>
            </w:r>
          </w:p>
        </w:tc>
        <w:tc>
          <w:tcPr>
            <w:tcW w:w="343" w:type="pct"/>
            <w:hideMark/>
          </w:tcPr>
          <w:p w14:paraId="5CB98944" w14:textId="259B4F93" w:rsidR="00BF3758" w:rsidRPr="002045D2" w:rsidRDefault="00BF3758" w:rsidP="00BF3758">
            <w:pPr>
              <w:rPr>
                <w:sz w:val="16"/>
                <w:szCs w:val="16"/>
              </w:rPr>
            </w:pPr>
            <w:r w:rsidRPr="002045D2">
              <w:rPr>
                <w:b/>
                <w:bCs/>
                <w:sz w:val="16"/>
                <w:szCs w:val="16"/>
              </w:rPr>
              <w:t>100.0</w:t>
            </w:r>
          </w:p>
        </w:tc>
        <w:tc>
          <w:tcPr>
            <w:tcW w:w="320" w:type="pct"/>
            <w:hideMark/>
          </w:tcPr>
          <w:p w14:paraId="5EC7C268" w14:textId="77777777" w:rsidR="00BF3758" w:rsidRPr="002045D2" w:rsidRDefault="00BF3758" w:rsidP="00BF3758">
            <w:pPr>
              <w:rPr>
                <w:sz w:val="16"/>
                <w:szCs w:val="16"/>
              </w:rPr>
            </w:pPr>
            <w:r w:rsidRPr="002045D2">
              <w:rPr>
                <w:b/>
                <w:bCs/>
                <w:sz w:val="16"/>
                <w:szCs w:val="16"/>
              </w:rPr>
              <w:t>10,044</w:t>
            </w:r>
          </w:p>
        </w:tc>
        <w:tc>
          <w:tcPr>
            <w:tcW w:w="343" w:type="pct"/>
            <w:hideMark/>
          </w:tcPr>
          <w:p w14:paraId="3079ECC5" w14:textId="0C398AD5" w:rsidR="00BF3758" w:rsidRPr="002045D2" w:rsidRDefault="00BF3758" w:rsidP="00BF3758">
            <w:pPr>
              <w:rPr>
                <w:sz w:val="16"/>
                <w:szCs w:val="16"/>
              </w:rPr>
            </w:pPr>
            <w:r w:rsidRPr="002045D2">
              <w:rPr>
                <w:b/>
                <w:bCs/>
                <w:sz w:val="16"/>
                <w:szCs w:val="16"/>
              </w:rPr>
              <w:t>100.0</w:t>
            </w:r>
          </w:p>
        </w:tc>
        <w:tc>
          <w:tcPr>
            <w:tcW w:w="320" w:type="pct"/>
            <w:hideMark/>
          </w:tcPr>
          <w:p w14:paraId="6735BD1F" w14:textId="77777777" w:rsidR="00BF3758" w:rsidRPr="002045D2" w:rsidRDefault="00BF3758" w:rsidP="00BF3758">
            <w:pPr>
              <w:rPr>
                <w:sz w:val="16"/>
                <w:szCs w:val="16"/>
              </w:rPr>
            </w:pPr>
            <w:r w:rsidRPr="002045D2">
              <w:rPr>
                <w:b/>
                <w:bCs/>
                <w:sz w:val="16"/>
                <w:szCs w:val="16"/>
              </w:rPr>
              <w:t>10,266</w:t>
            </w:r>
          </w:p>
        </w:tc>
        <w:tc>
          <w:tcPr>
            <w:tcW w:w="343" w:type="pct"/>
            <w:hideMark/>
          </w:tcPr>
          <w:p w14:paraId="13A52C3A" w14:textId="06039D1F" w:rsidR="00BF3758" w:rsidRPr="002045D2" w:rsidRDefault="00BF3758" w:rsidP="00BF3758">
            <w:pPr>
              <w:rPr>
                <w:sz w:val="16"/>
                <w:szCs w:val="16"/>
              </w:rPr>
            </w:pPr>
            <w:r w:rsidRPr="002045D2">
              <w:rPr>
                <w:b/>
                <w:bCs/>
                <w:sz w:val="16"/>
                <w:szCs w:val="16"/>
              </w:rPr>
              <w:t>100.0</w:t>
            </w:r>
          </w:p>
        </w:tc>
        <w:tc>
          <w:tcPr>
            <w:tcW w:w="282" w:type="pct"/>
            <w:hideMark/>
          </w:tcPr>
          <w:p w14:paraId="4FA2FB46" w14:textId="77777777" w:rsidR="00BF3758" w:rsidRPr="002045D2" w:rsidRDefault="00BF3758" w:rsidP="00BF3758">
            <w:pPr>
              <w:rPr>
                <w:sz w:val="16"/>
                <w:szCs w:val="16"/>
              </w:rPr>
            </w:pPr>
            <w:r w:rsidRPr="002045D2">
              <w:rPr>
                <w:b/>
                <w:bCs/>
                <w:sz w:val="16"/>
                <w:szCs w:val="16"/>
              </w:rPr>
              <w:t>8,306</w:t>
            </w:r>
          </w:p>
        </w:tc>
        <w:tc>
          <w:tcPr>
            <w:tcW w:w="343" w:type="pct"/>
            <w:hideMark/>
          </w:tcPr>
          <w:p w14:paraId="3A8E8F43" w14:textId="5974A241" w:rsidR="00BF3758" w:rsidRPr="002045D2" w:rsidRDefault="00BF3758" w:rsidP="00BF3758">
            <w:pPr>
              <w:rPr>
                <w:sz w:val="16"/>
                <w:szCs w:val="16"/>
              </w:rPr>
            </w:pPr>
            <w:r w:rsidRPr="002045D2">
              <w:rPr>
                <w:b/>
                <w:bCs/>
                <w:sz w:val="16"/>
                <w:szCs w:val="16"/>
              </w:rPr>
              <w:t>100.0</w:t>
            </w:r>
          </w:p>
        </w:tc>
        <w:tc>
          <w:tcPr>
            <w:tcW w:w="282" w:type="pct"/>
            <w:hideMark/>
          </w:tcPr>
          <w:p w14:paraId="40598CEE" w14:textId="77777777" w:rsidR="00BF3758" w:rsidRPr="002045D2" w:rsidRDefault="00BF3758" w:rsidP="00BF3758">
            <w:pPr>
              <w:rPr>
                <w:sz w:val="16"/>
                <w:szCs w:val="16"/>
              </w:rPr>
            </w:pPr>
            <w:r w:rsidRPr="002045D2">
              <w:rPr>
                <w:b/>
                <w:bCs/>
                <w:sz w:val="16"/>
                <w:szCs w:val="16"/>
              </w:rPr>
              <w:t>7,865</w:t>
            </w:r>
          </w:p>
        </w:tc>
        <w:tc>
          <w:tcPr>
            <w:tcW w:w="343" w:type="pct"/>
            <w:hideMark/>
          </w:tcPr>
          <w:p w14:paraId="46805B48" w14:textId="3C0D95FC" w:rsidR="00BF3758" w:rsidRPr="002045D2" w:rsidRDefault="00BF3758" w:rsidP="00BF3758">
            <w:pPr>
              <w:rPr>
                <w:sz w:val="16"/>
                <w:szCs w:val="16"/>
              </w:rPr>
            </w:pPr>
            <w:r w:rsidRPr="002045D2">
              <w:rPr>
                <w:b/>
                <w:bCs/>
                <w:sz w:val="16"/>
                <w:szCs w:val="16"/>
              </w:rPr>
              <w:t>100.0</w:t>
            </w:r>
          </w:p>
        </w:tc>
        <w:tc>
          <w:tcPr>
            <w:tcW w:w="282" w:type="pct"/>
            <w:hideMark/>
          </w:tcPr>
          <w:p w14:paraId="75BE4BA7" w14:textId="77777777" w:rsidR="00BF3758" w:rsidRPr="002045D2" w:rsidRDefault="00BF3758" w:rsidP="00BF3758">
            <w:pPr>
              <w:rPr>
                <w:sz w:val="16"/>
                <w:szCs w:val="16"/>
              </w:rPr>
            </w:pPr>
            <w:r w:rsidRPr="002045D2">
              <w:rPr>
                <w:b/>
                <w:bCs/>
                <w:sz w:val="16"/>
                <w:szCs w:val="16"/>
              </w:rPr>
              <w:t>7,969</w:t>
            </w:r>
          </w:p>
        </w:tc>
        <w:tc>
          <w:tcPr>
            <w:tcW w:w="343" w:type="pct"/>
            <w:hideMark/>
          </w:tcPr>
          <w:p w14:paraId="20694785" w14:textId="244ED801" w:rsidR="00BF3758" w:rsidRPr="002045D2" w:rsidRDefault="00BF3758" w:rsidP="00BF3758">
            <w:pPr>
              <w:rPr>
                <w:sz w:val="16"/>
                <w:szCs w:val="16"/>
              </w:rPr>
            </w:pPr>
            <w:r w:rsidRPr="002045D2">
              <w:rPr>
                <w:b/>
                <w:bCs/>
                <w:sz w:val="16"/>
                <w:szCs w:val="16"/>
              </w:rPr>
              <w:t>100.0</w:t>
            </w:r>
          </w:p>
        </w:tc>
      </w:tr>
    </w:tbl>
    <w:p w14:paraId="369ED678" w14:textId="0A1862D4" w:rsidR="007E3FBA" w:rsidRDefault="00DC041D" w:rsidP="00DC041D">
      <w:pPr>
        <w:rPr>
          <w:b/>
          <w:bCs/>
        </w:rPr>
      </w:pPr>
      <w:r w:rsidRPr="00DC041D">
        <w:rPr>
          <w:b/>
          <w:bCs/>
        </w:rPr>
        <w:t>Homeless at beginning of support</w:t>
      </w:r>
    </w:p>
    <w:tbl>
      <w:tblPr>
        <w:tblStyle w:val="TableGrid"/>
        <w:tblW w:w="5000" w:type="pct"/>
        <w:tblLook w:val="04A0" w:firstRow="1" w:lastRow="0" w:firstColumn="1" w:lastColumn="0" w:noHBand="0" w:noVBand="1"/>
        <w:tblCaption w:val="Specialist Homelessness services clients with disability by homelessness status at end of support and homelessness status at beginning of support, 2013–14 to 2019–20"/>
        <w:tblDescription w:val="Homeless at beginning of support"/>
      </w:tblPr>
      <w:tblGrid>
        <w:gridCol w:w="1132"/>
        <w:gridCol w:w="615"/>
        <w:gridCol w:w="615"/>
        <w:gridCol w:w="614"/>
        <w:gridCol w:w="614"/>
        <w:gridCol w:w="614"/>
        <w:gridCol w:w="614"/>
        <w:gridCol w:w="614"/>
        <w:gridCol w:w="614"/>
        <w:gridCol w:w="614"/>
        <w:gridCol w:w="614"/>
        <w:gridCol w:w="614"/>
        <w:gridCol w:w="614"/>
        <w:gridCol w:w="614"/>
        <w:gridCol w:w="614"/>
      </w:tblGrid>
      <w:tr w:rsidR="00254912" w:rsidRPr="001F72D0" w14:paraId="4553C93E" w14:textId="77777777" w:rsidTr="008D67F5">
        <w:trPr>
          <w:trHeight w:val="270"/>
        </w:trPr>
        <w:tc>
          <w:tcPr>
            <w:tcW w:w="558" w:type="pct"/>
            <w:hideMark/>
          </w:tcPr>
          <w:p w14:paraId="364BC6F7" w14:textId="77777777" w:rsidR="008D67F5" w:rsidRPr="001F72D0" w:rsidRDefault="008D67F5" w:rsidP="00A4101E">
            <w:pPr>
              <w:rPr>
                <w:b/>
                <w:bCs/>
                <w:sz w:val="16"/>
                <w:szCs w:val="16"/>
              </w:rPr>
            </w:pPr>
            <w:r w:rsidRPr="001F72D0">
              <w:rPr>
                <w:b/>
                <w:bCs/>
                <w:sz w:val="16"/>
                <w:szCs w:val="16"/>
              </w:rPr>
              <w:t>Status</w:t>
            </w:r>
          </w:p>
        </w:tc>
        <w:tc>
          <w:tcPr>
            <w:tcW w:w="286" w:type="pct"/>
            <w:hideMark/>
          </w:tcPr>
          <w:p w14:paraId="141CCB46" w14:textId="59875AB7" w:rsidR="008D67F5" w:rsidRPr="001F72D0" w:rsidRDefault="008D67F5" w:rsidP="00A4101E">
            <w:pPr>
              <w:rPr>
                <w:b/>
                <w:bCs/>
                <w:sz w:val="16"/>
                <w:szCs w:val="16"/>
              </w:rPr>
            </w:pPr>
            <w:r w:rsidRPr="001F72D0">
              <w:rPr>
                <w:b/>
                <w:bCs/>
                <w:sz w:val="16"/>
                <w:szCs w:val="16"/>
              </w:rPr>
              <w:t>2013–14</w:t>
            </w:r>
            <w:r w:rsidR="0078586E">
              <w:rPr>
                <w:b/>
                <w:bCs/>
                <w:sz w:val="16"/>
                <w:szCs w:val="16"/>
              </w:rPr>
              <w:t xml:space="preserve"> N</w:t>
            </w:r>
          </w:p>
        </w:tc>
        <w:tc>
          <w:tcPr>
            <w:tcW w:w="348" w:type="pct"/>
          </w:tcPr>
          <w:p w14:paraId="2FAEF23B" w14:textId="353A4C34" w:rsidR="008D67F5" w:rsidRPr="001F72D0" w:rsidRDefault="008D67F5" w:rsidP="00A4101E">
            <w:pPr>
              <w:rPr>
                <w:b/>
                <w:bCs/>
                <w:sz w:val="16"/>
                <w:szCs w:val="16"/>
              </w:rPr>
            </w:pPr>
            <w:r w:rsidRPr="001F72D0">
              <w:rPr>
                <w:b/>
                <w:bCs/>
                <w:sz w:val="16"/>
                <w:szCs w:val="16"/>
              </w:rPr>
              <w:t>2013–14</w:t>
            </w:r>
            <w:r w:rsidR="0078586E">
              <w:rPr>
                <w:b/>
                <w:bCs/>
                <w:sz w:val="16"/>
                <w:szCs w:val="16"/>
              </w:rPr>
              <w:t xml:space="preserve"> </w:t>
            </w:r>
            <w:r w:rsidR="00670A45">
              <w:rPr>
                <w:b/>
                <w:bCs/>
                <w:sz w:val="16"/>
                <w:szCs w:val="16"/>
              </w:rPr>
              <w:t xml:space="preserve"> per cent</w:t>
            </w:r>
          </w:p>
        </w:tc>
        <w:tc>
          <w:tcPr>
            <w:tcW w:w="286" w:type="pct"/>
            <w:hideMark/>
          </w:tcPr>
          <w:p w14:paraId="658F84F1" w14:textId="5503AEDC" w:rsidR="008D67F5" w:rsidRPr="001F72D0" w:rsidRDefault="008D67F5" w:rsidP="00A4101E">
            <w:pPr>
              <w:rPr>
                <w:b/>
                <w:bCs/>
                <w:sz w:val="16"/>
                <w:szCs w:val="16"/>
              </w:rPr>
            </w:pPr>
            <w:r w:rsidRPr="001F72D0">
              <w:rPr>
                <w:b/>
                <w:bCs/>
                <w:sz w:val="16"/>
                <w:szCs w:val="16"/>
              </w:rPr>
              <w:t>2014–15</w:t>
            </w:r>
            <w:r w:rsidR="0078586E">
              <w:rPr>
                <w:b/>
                <w:bCs/>
                <w:sz w:val="16"/>
                <w:szCs w:val="16"/>
              </w:rPr>
              <w:t xml:space="preserve"> N</w:t>
            </w:r>
          </w:p>
        </w:tc>
        <w:tc>
          <w:tcPr>
            <w:tcW w:w="348" w:type="pct"/>
          </w:tcPr>
          <w:p w14:paraId="4DEC04A4" w14:textId="0BAB4E8E" w:rsidR="008D67F5" w:rsidRPr="001F72D0" w:rsidRDefault="008D67F5" w:rsidP="00A4101E">
            <w:pPr>
              <w:rPr>
                <w:b/>
                <w:bCs/>
                <w:sz w:val="16"/>
                <w:szCs w:val="16"/>
              </w:rPr>
            </w:pPr>
            <w:r w:rsidRPr="001F72D0">
              <w:rPr>
                <w:b/>
                <w:bCs/>
                <w:sz w:val="16"/>
                <w:szCs w:val="16"/>
              </w:rPr>
              <w:t>2014–15</w:t>
            </w:r>
            <w:r w:rsidR="0078586E">
              <w:rPr>
                <w:b/>
                <w:bCs/>
                <w:sz w:val="16"/>
                <w:szCs w:val="16"/>
              </w:rPr>
              <w:t xml:space="preserve"> </w:t>
            </w:r>
            <w:r w:rsidR="00670A45">
              <w:rPr>
                <w:b/>
                <w:bCs/>
                <w:sz w:val="16"/>
                <w:szCs w:val="16"/>
              </w:rPr>
              <w:t xml:space="preserve"> per cent</w:t>
            </w:r>
          </w:p>
        </w:tc>
        <w:tc>
          <w:tcPr>
            <w:tcW w:w="286" w:type="pct"/>
            <w:hideMark/>
          </w:tcPr>
          <w:p w14:paraId="727AE16A" w14:textId="5DA164C4" w:rsidR="008D67F5" w:rsidRPr="001F72D0" w:rsidRDefault="008D67F5" w:rsidP="00A4101E">
            <w:pPr>
              <w:rPr>
                <w:b/>
                <w:bCs/>
                <w:sz w:val="16"/>
                <w:szCs w:val="16"/>
              </w:rPr>
            </w:pPr>
            <w:r w:rsidRPr="001F72D0">
              <w:rPr>
                <w:b/>
                <w:bCs/>
                <w:sz w:val="16"/>
                <w:szCs w:val="16"/>
              </w:rPr>
              <w:t>2015–16</w:t>
            </w:r>
            <w:r w:rsidR="00254912">
              <w:rPr>
                <w:b/>
                <w:bCs/>
                <w:sz w:val="16"/>
                <w:szCs w:val="16"/>
              </w:rPr>
              <w:t xml:space="preserve"> N</w:t>
            </w:r>
          </w:p>
        </w:tc>
        <w:tc>
          <w:tcPr>
            <w:tcW w:w="348" w:type="pct"/>
          </w:tcPr>
          <w:p w14:paraId="6F26978A" w14:textId="58718572" w:rsidR="008D67F5" w:rsidRPr="001F72D0" w:rsidRDefault="008D67F5" w:rsidP="00A4101E">
            <w:pPr>
              <w:rPr>
                <w:b/>
                <w:bCs/>
                <w:sz w:val="16"/>
                <w:szCs w:val="16"/>
              </w:rPr>
            </w:pPr>
            <w:r w:rsidRPr="001F72D0">
              <w:rPr>
                <w:b/>
                <w:bCs/>
                <w:sz w:val="16"/>
                <w:szCs w:val="16"/>
              </w:rPr>
              <w:t>2015–16</w:t>
            </w:r>
            <w:r w:rsidR="00254912">
              <w:rPr>
                <w:b/>
                <w:bCs/>
                <w:sz w:val="16"/>
                <w:szCs w:val="16"/>
              </w:rPr>
              <w:t xml:space="preserve"> </w:t>
            </w:r>
            <w:r w:rsidR="00670A45">
              <w:rPr>
                <w:b/>
                <w:bCs/>
                <w:sz w:val="16"/>
                <w:szCs w:val="16"/>
              </w:rPr>
              <w:t xml:space="preserve"> per cent</w:t>
            </w:r>
          </w:p>
        </w:tc>
        <w:tc>
          <w:tcPr>
            <w:tcW w:w="286" w:type="pct"/>
            <w:hideMark/>
          </w:tcPr>
          <w:p w14:paraId="36908909" w14:textId="5798A013" w:rsidR="008D67F5" w:rsidRPr="001F72D0" w:rsidRDefault="008D67F5" w:rsidP="00A4101E">
            <w:pPr>
              <w:rPr>
                <w:b/>
                <w:bCs/>
                <w:sz w:val="16"/>
                <w:szCs w:val="16"/>
              </w:rPr>
            </w:pPr>
            <w:r w:rsidRPr="001F72D0">
              <w:rPr>
                <w:b/>
                <w:bCs/>
                <w:sz w:val="16"/>
                <w:szCs w:val="16"/>
              </w:rPr>
              <w:t>2016–17</w:t>
            </w:r>
            <w:r w:rsidR="00254912">
              <w:rPr>
                <w:b/>
                <w:bCs/>
                <w:sz w:val="16"/>
                <w:szCs w:val="16"/>
              </w:rPr>
              <w:t xml:space="preserve"> N</w:t>
            </w:r>
          </w:p>
        </w:tc>
        <w:tc>
          <w:tcPr>
            <w:tcW w:w="348" w:type="pct"/>
          </w:tcPr>
          <w:p w14:paraId="61E5FA81" w14:textId="62F38193" w:rsidR="008D67F5" w:rsidRPr="001F72D0" w:rsidRDefault="008D67F5" w:rsidP="00A4101E">
            <w:pPr>
              <w:rPr>
                <w:b/>
                <w:bCs/>
                <w:sz w:val="16"/>
                <w:szCs w:val="16"/>
              </w:rPr>
            </w:pPr>
            <w:r w:rsidRPr="001F72D0">
              <w:rPr>
                <w:b/>
                <w:bCs/>
                <w:sz w:val="16"/>
                <w:szCs w:val="16"/>
              </w:rPr>
              <w:t>2016–17</w:t>
            </w:r>
            <w:r w:rsidR="00254912">
              <w:rPr>
                <w:b/>
                <w:bCs/>
                <w:sz w:val="16"/>
                <w:szCs w:val="16"/>
              </w:rPr>
              <w:t xml:space="preserve"> </w:t>
            </w:r>
            <w:r w:rsidR="00670A45">
              <w:rPr>
                <w:b/>
                <w:bCs/>
                <w:sz w:val="16"/>
                <w:szCs w:val="16"/>
              </w:rPr>
              <w:t xml:space="preserve"> per cent</w:t>
            </w:r>
          </w:p>
        </w:tc>
        <w:tc>
          <w:tcPr>
            <w:tcW w:w="286" w:type="pct"/>
            <w:hideMark/>
          </w:tcPr>
          <w:p w14:paraId="4EC817B4" w14:textId="7BD16FC0" w:rsidR="008D67F5" w:rsidRPr="001F72D0" w:rsidRDefault="008D67F5" w:rsidP="00A4101E">
            <w:pPr>
              <w:rPr>
                <w:b/>
                <w:bCs/>
                <w:sz w:val="16"/>
                <w:szCs w:val="16"/>
              </w:rPr>
            </w:pPr>
            <w:r w:rsidRPr="001F72D0">
              <w:rPr>
                <w:b/>
                <w:bCs/>
                <w:sz w:val="16"/>
                <w:szCs w:val="16"/>
              </w:rPr>
              <w:t>2017–18</w:t>
            </w:r>
            <w:r w:rsidR="00254912">
              <w:rPr>
                <w:b/>
                <w:bCs/>
                <w:sz w:val="16"/>
                <w:szCs w:val="16"/>
              </w:rPr>
              <w:t xml:space="preserve"> N</w:t>
            </w:r>
          </w:p>
        </w:tc>
        <w:tc>
          <w:tcPr>
            <w:tcW w:w="348" w:type="pct"/>
          </w:tcPr>
          <w:p w14:paraId="6D42435B" w14:textId="5E0A7A5D" w:rsidR="008D67F5" w:rsidRPr="001F72D0" w:rsidRDefault="008D67F5" w:rsidP="00A4101E">
            <w:pPr>
              <w:rPr>
                <w:b/>
                <w:bCs/>
                <w:sz w:val="16"/>
                <w:szCs w:val="16"/>
              </w:rPr>
            </w:pPr>
            <w:r w:rsidRPr="001F72D0">
              <w:rPr>
                <w:b/>
                <w:bCs/>
                <w:sz w:val="16"/>
                <w:szCs w:val="16"/>
              </w:rPr>
              <w:t>2017–18</w:t>
            </w:r>
            <w:r w:rsidR="00254912">
              <w:rPr>
                <w:b/>
                <w:bCs/>
                <w:sz w:val="16"/>
                <w:szCs w:val="16"/>
              </w:rPr>
              <w:t xml:space="preserve"> </w:t>
            </w:r>
            <w:r w:rsidR="00670A45">
              <w:rPr>
                <w:b/>
                <w:bCs/>
                <w:sz w:val="16"/>
                <w:szCs w:val="16"/>
              </w:rPr>
              <w:t xml:space="preserve"> per cent</w:t>
            </w:r>
          </w:p>
        </w:tc>
        <w:tc>
          <w:tcPr>
            <w:tcW w:w="286" w:type="pct"/>
            <w:hideMark/>
          </w:tcPr>
          <w:p w14:paraId="221EFAA3" w14:textId="609E66D1" w:rsidR="008D67F5" w:rsidRPr="001F72D0" w:rsidRDefault="008D67F5" w:rsidP="00A4101E">
            <w:pPr>
              <w:rPr>
                <w:b/>
                <w:bCs/>
                <w:sz w:val="16"/>
                <w:szCs w:val="16"/>
              </w:rPr>
            </w:pPr>
            <w:r w:rsidRPr="001F72D0">
              <w:rPr>
                <w:b/>
                <w:bCs/>
                <w:sz w:val="16"/>
                <w:szCs w:val="16"/>
              </w:rPr>
              <w:t>2018–19</w:t>
            </w:r>
            <w:r w:rsidR="00254912">
              <w:rPr>
                <w:b/>
                <w:bCs/>
                <w:sz w:val="16"/>
                <w:szCs w:val="16"/>
              </w:rPr>
              <w:t xml:space="preserve"> N</w:t>
            </w:r>
          </w:p>
        </w:tc>
        <w:tc>
          <w:tcPr>
            <w:tcW w:w="348" w:type="pct"/>
          </w:tcPr>
          <w:p w14:paraId="19820D5E" w14:textId="0571E144" w:rsidR="008D67F5" w:rsidRPr="001F72D0" w:rsidRDefault="008D67F5" w:rsidP="00A4101E">
            <w:pPr>
              <w:rPr>
                <w:b/>
                <w:bCs/>
                <w:sz w:val="16"/>
                <w:szCs w:val="16"/>
              </w:rPr>
            </w:pPr>
            <w:r w:rsidRPr="001F72D0">
              <w:rPr>
                <w:b/>
                <w:bCs/>
                <w:sz w:val="16"/>
                <w:szCs w:val="16"/>
              </w:rPr>
              <w:t>2018–19</w:t>
            </w:r>
            <w:r w:rsidR="00254912">
              <w:rPr>
                <w:b/>
                <w:bCs/>
                <w:sz w:val="16"/>
                <w:szCs w:val="16"/>
              </w:rPr>
              <w:t xml:space="preserve"> </w:t>
            </w:r>
            <w:r w:rsidR="00670A45">
              <w:rPr>
                <w:b/>
                <w:bCs/>
                <w:sz w:val="16"/>
                <w:szCs w:val="16"/>
              </w:rPr>
              <w:t xml:space="preserve"> per cent</w:t>
            </w:r>
          </w:p>
        </w:tc>
        <w:tc>
          <w:tcPr>
            <w:tcW w:w="286" w:type="pct"/>
            <w:hideMark/>
          </w:tcPr>
          <w:p w14:paraId="2D4793EF" w14:textId="1EA286D2" w:rsidR="008D67F5" w:rsidRPr="001F72D0" w:rsidRDefault="008D67F5" w:rsidP="00A4101E">
            <w:pPr>
              <w:rPr>
                <w:b/>
                <w:bCs/>
                <w:sz w:val="16"/>
                <w:szCs w:val="16"/>
              </w:rPr>
            </w:pPr>
            <w:r w:rsidRPr="001F72D0">
              <w:rPr>
                <w:b/>
                <w:bCs/>
                <w:sz w:val="16"/>
                <w:szCs w:val="16"/>
              </w:rPr>
              <w:t>2019–20</w:t>
            </w:r>
            <w:r w:rsidR="00254912">
              <w:rPr>
                <w:b/>
                <w:bCs/>
                <w:sz w:val="16"/>
                <w:szCs w:val="16"/>
              </w:rPr>
              <w:t xml:space="preserve"> N</w:t>
            </w:r>
          </w:p>
        </w:tc>
        <w:tc>
          <w:tcPr>
            <w:tcW w:w="348" w:type="pct"/>
          </w:tcPr>
          <w:p w14:paraId="2E0307ED" w14:textId="12D41B97" w:rsidR="008D67F5" w:rsidRPr="001F72D0" w:rsidRDefault="008D67F5" w:rsidP="00A4101E">
            <w:pPr>
              <w:rPr>
                <w:b/>
                <w:bCs/>
                <w:sz w:val="16"/>
                <w:szCs w:val="16"/>
              </w:rPr>
            </w:pPr>
            <w:r w:rsidRPr="001F72D0">
              <w:rPr>
                <w:b/>
                <w:bCs/>
                <w:sz w:val="16"/>
                <w:szCs w:val="16"/>
              </w:rPr>
              <w:t>2019–20</w:t>
            </w:r>
            <w:r w:rsidR="00254912">
              <w:rPr>
                <w:b/>
                <w:bCs/>
                <w:sz w:val="16"/>
                <w:szCs w:val="16"/>
              </w:rPr>
              <w:t xml:space="preserve"> </w:t>
            </w:r>
            <w:r w:rsidR="00670A45">
              <w:rPr>
                <w:b/>
                <w:bCs/>
                <w:sz w:val="16"/>
                <w:szCs w:val="16"/>
              </w:rPr>
              <w:t xml:space="preserve"> per cent</w:t>
            </w:r>
          </w:p>
        </w:tc>
      </w:tr>
      <w:tr w:rsidR="00254912" w:rsidRPr="001F72D0" w14:paraId="4F55E39F" w14:textId="77777777" w:rsidTr="008D67F5">
        <w:trPr>
          <w:trHeight w:val="246"/>
        </w:trPr>
        <w:tc>
          <w:tcPr>
            <w:tcW w:w="558" w:type="pct"/>
            <w:hideMark/>
          </w:tcPr>
          <w:p w14:paraId="3381225F" w14:textId="77777777" w:rsidR="00DC041D" w:rsidRPr="001F72D0" w:rsidRDefault="00DC041D" w:rsidP="00A4101E">
            <w:pPr>
              <w:rPr>
                <w:sz w:val="16"/>
                <w:szCs w:val="16"/>
              </w:rPr>
            </w:pPr>
            <w:r w:rsidRPr="001F72D0">
              <w:rPr>
                <w:sz w:val="16"/>
                <w:szCs w:val="16"/>
              </w:rPr>
              <w:t>At risk of homelessness</w:t>
            </w:r>
          </w:p>
        </w:tc>
        <w:tc>
          <w:tcPr>
            <w:tcW w:w="286" w:type="pct"/>
            <w:hideMark/>
          </w:tcPr>
          <w:p w14:paraId="7C1075E4" w14:textId="77777777" w:rsidR="00DC041D" w:rsidRPr="001F72D0" w:rsidRDefault="00DC041D" w:rsidP="00A4101E">
            <w:pPr>
              <w:rPr>
                <w:sz w:val="16"/>
                <w:szCs w:val="16"/>
              </w:rPr>
            </w:pPr>
            <w:r w:rsidRPr="001F72D0">
              <w:rPr>
                <w:sz w:val="16"/>
                <w:szCs w:val="16"/>
              </w:rPr>
              <w:t>1,506</w:t>
            </w:r>
          </w:p>
        </w:tc>
        <w:tc>
          <w:tcPr>
            <w:tcW w:w="348" w:type="pct"/>
            <w:hideMark/>
          </w:tcPr>
          <w:p w14:paraId="1E87B4CD" w14:textId="015F1D39" w:rsidR="00DC041D" w:rsidRPr="001F72D0" w:rsidRDefault="00DC041D" w:rsidP="00A4101E">
            <w:pPr>
              <w:rPr>
                <w:sz w:val="16"/>
                <w:szCs w:val="16"/>
              </w:rPr>
            </w:pPr>
            <w:r w:rsidRPr="001F72D0">
              <w:rPr>
                <w:sz w:val="16"/>
                <w:szCs w:val="16"/>
              </w:rPr>
              <w:t>35.5</w:t>
            </w:r>
          </w:p>
        </w:tc>
        <w:tc>
          <w:tcPr>
            <w:tcW w:w="286" w:type="pct"/>
            <w:hideMark/>
          </w:tcPr>
          <w:p w14:paraId="572FD172" w14:textId="77777777" w:rsidR="00DC041D" w:rsidRPr="001F72D0" w:rsidRDefault="00DC041D" w:rsidP="00A4101E">
            <w:pPr>
              <w:rPr>
                <w:sz w:val="16"/>
                <w:szCs w:val="16"/>
              </w:rPr>
            </w:pPr>
            <w:r w:rsidRPr="001F72D0">
              <w:rPr>
                <w:sz w:val="16"/>
                <w:szCs w:val="16"/>
              </w:rPr>
              <w:t>2,599</w:t>
            </w:r>
          </w:p>
        </w:tc>
        <w:tc>
          <w:tcPr>
            <w:tcW w:w="348" w:type="pct"/>
            <w:hideMark/>
          </w:tcPr>
          <w:p w14:paraId="6082EC5C" w14:textId="38F0B4AD" w:rsidR="00DC041D" w:rsidRPr="001F72D0" w:rsidRDefault="00DC041D" w:rsidP="00A4101E">
            <w:pPr>
              <w:rPr>
                <w:sz w:val="16"/>
                <w:szCs w:val="16"/>
              </w:rPr>
            </w:pPr>
            <w:r w:rsidRPr="001F72D0">
              <w:rPr>
                <w:sz w:val="16"/>
                <w:szCs w:val="16"/>
              </w:rPr>
              <w:t>39.8</w:t>
            </w:r>
          </w:p>
        </w:tc>
        <w:tc>
          <w:tcPr>
            <w:tcW w:w="286" w:type="pct"/>
            <w:hideMark/>
          </w:tcPr>
          <w:p w14:paraId="19B27F7C" w14:textId="77777777" w:rsidR="00DC041D" w:rsidRPr="001F72D0" w:rsidRDefault="00DC041D" w:rsidP="00A4101E">
            <w:pPr>
              <w:rPr>
                <w:sz w:val="16"/>
                <w:szCs w:val="16"/>
              </w:rPr>
            </w:pPr>
            <w:r w:rsidRPr="001F72D0">
              <w:rPr>
                <w:sz w:val="16"/>
                <w:szCs w:val="16"/>
              </w:rPr>
              <w:t>3,178</w:t>
            </w:r>
          </w:p>
        </w:tc>
        <w:tc>
          <w:tcPr>
            <w:tcW w:w="348" w:type="pct"/>
            <w:hideMark/>
          </w:tcPr>
          <w:p w14:paraId="6FD16766" w14:textId="055027B2" w:rsidR="00DC041D" w:rsidRPr="001F72D0" w:rsidRDefault="00DC041D" w:rsidP="00A4101E">
            <w:pPr>
              <w:rPr>
                <w:sz w:val="16"/>
                <w:szCs w:val="16"/>
              </w:rPr>
            </w:pPr>
            <w:r w:rsidRPr="001F72D0">
              <w:rPr>
                <w:sz w:val="16"/>
                <w:szCs w:val="16"/>
              </w:rPr>
              <w:t>41.3</w:t>
            </w:r>
          </w:p>
        </w:tc>
        <w:tc>
          <w:tcPr>
            <w:tcW w:w="286" w:type="pct"/>
            <w:hideMark/>
          </w:tcPr>
          <w:p w14:paraId="4F78AC77" w14:textId="77777777" w:rsidR="00DC041D" w:rsidRPr="001F72D0" w:rsidRDefault="00DC041D" w:rsidP="00A4101E">
            <w:pPr>
              <w:rPr>
                <w:sz w:val="16"/>
                <w:szCs w:val="16"/>
              </w:rPr>
            </w:pPr>
            <w:r w:rsidRPr="001F72D0">
              <w:rPr>
                <w:sz w:val="16"/>
                <w:szCs w:val="16"/>
              </w:rPr>
              <w:t>3,336</w:t>
            </w:r>
          </w:p>
        </w:tc>
        <w:tc>
          <w:tcPr>
            <w:tcW w:w="348" w:type="pct"/>
            <w:hideMark/>
          </w:tcPr>
          <w:p w14:paraId="637D272C" w14:textId="6F0F843E" w:rsidR="00DC041D" w:rsidRPr="001F72D0" w:rsidRDefault="00DC041D" w:rsidP="00A4101E">
            <w:pPr>
              <w:rPr>
                <w:sz w:val="16"/>
                <w:szCs w:val="16"/>
              </w:rPr>
            </w:pPr>
            <w:r w:rsidRPr="001F72D0">
              <w:rPr>
                <w:sz w:val="16"/>
                <w:szCs w:val="16"/>
              </w:rPr>
              <w:t>41.2</w:t>
            </w:r>
          </w:p>
        </w:tc>
        <w:tc>
          <w:tcPr>
            <w:tcW w:w="286" w:type="pct"/>
            <w:hideMark/>
          </w:tcPr>
          <w:p w14:paraId="5354A9EF" w14:textId="77777777" w:rsidR="00DC041D" w:rsidRPr="001F72D0" w:rsidRDefault="00DC041D" w:rsidP="00A4101E">
            <w:pPr>
              <w:rPr>
                <w:sz w:val="16"/>
                <w:szCs w:val="16"/>
              </w:rPr>
            </w:pPr>
            <w:r w:rsidRPr="001F72D0">
              <w:rPr>
                <w:sz w:val="16"/>
                <w:szCs w:val="16"/>
              </w:rPr>
              <w:t>2,847</w:t>
            </w:r>
          </w:p>
        </w:tc>
        <w:tc>
          <w:tcPr>
            <w:tcW w:w="348" w:type="pct"/>
            <w:hideMark/>
          </w:tcPr>
          <w:p w14:paraId="720825B0" w14:textId="415141A6" w:rsidR="00DC041D" w:rsidRPr="001F72D0" w:rsidRDefault="00DC041D" w:rsidP="00A4101E">
            <w:pPr>
              <w:rPr>
                <w:sz w:val="16"/>
                <w:szCs w:val="16"/>
              </w:rPr>
            </w:pPr>
            <w:r w:rsidRPr="001F72D0">
              <w:rPr>
                <w:sz w:val="16"/>
                <w:szCs w:val="16"/>
              </w:rPr>
              <w:t>42.9</w:t>
            </w:r>
          </w:p>
        </w:tc>
        <w:tc>
          <w:tcPr>
            <w:tcW w:w="286" w:type="pct"/>
            <w:hideMark/>
          </w:tcPr>
          <w:p w14:paraId="3D9AD869" w14:textId="77777777" w:rsidR="00DC041D" w:rsidRPr="001F72D0" w:rsidRDefault="00DC041D" w:rsidP="00A4101E">
            <w:pPr>
              <w:rPr>
                <w:sz w:val="16"/>
                <w:szCs w:val="16"/>
              </w:rPr>
            </w:pPr>
            <w:r w:rsidRPr="001F72D0">
              <w:rPr>
                <w:sz w:val="16"/>
                <w:szCs w:val="16"/>
              </w:rPr>
              <w:t>2,485</w:t>
            </w:r>
          </w:p>
        </w:tc>
        <w:tc>
          <w:tcPr>
            <w:tcW w:w="348" w:type="pct"/>
            <w:hideMark/>
          </w:tcPr>
          <w:p w14:paraId="786CF734" w14:textId="65505259" w:rsidR="00DC041D" w:rsidRPr="001F72D0" w:rsidRDefault="00DC041D" w:rsidP="00A4101E">
            <w:pPr>
              <w:rPr>
                <w:sz w:val="16"/>
                <w:szCs w:val="16"/>
              </w:rPr>
            </w:pPr>
            <w:r w:rsidRPr="001F72D0">
              <w:rPr>
                <w:sz w:val="16"/>
                <w:szCs w:val="16"/>
              </w:rPr>
              <w:t>41.1</w:t>
            </w:r>
          </w:p>
        </w:tc>
        <w:tc>
          <w:tcPr>
            <w:tcW w:w="286" w:type="pct"/>
            <w:hideMark/>
          </w:tcPr>
          <w:p w14:paraId="0754758A" w14:textId="77777777" w:rsidR="00DC041D" w:rsidRPr="001F72D0" w:rsidRDefault="00DC041D" w:rsidP="00A4101E">
            <w:pPr>
              <w:rPr>
                <w:sz w:val="16"/>
                <w:szCs w:val="16"/>
              </w:rPr>
            </w:pPr>
            <w:r w:rsidRPr="001F72D0">
              <w:rPr>
                <w:sz w:val="16"/>
                <w:szCs w:val="16"/>
              </w:rPr>
              <w:t>2,528</w:t>
            </w:r>
          </w:p>
        </w:tc>
        <w:tc>
          <w:tcPr>
            <w:tcW w:w="348" w:type="pct"/>
            <w:hideMark/>
          </w:tcPr>
          <w:p w14:paraId="4E2DD51F" w14:textId="55740064" w:rsidR="00DC041D" w:rsidRPr="001F72D0" w:rsidRDefault="00DC041D" w:rsidP="00A4101E">
            <w:pPr>
              <w:rPr>
                <w:sz w:val="16"/>
                <w:szCs w:val="16"/>
              </w:rPr>
            </w:pPr>
            <w:r w:rsidRPr="001F72D0">
              <w:rPr>
                <w:sz w:val="16"/>
                <w:szCs w:val="16"/>
              </w:rPr>
              <w:t>40.5</w:t>
            </w:r>
          </w:p>
        </w:tc>
      </w:tr>
      <w:tr w:rsidR="00254912" w:rsidRPr="001F72D0" w14:paraId="3B753E4F" w14:textId="77777777" w:rsidTr="008D67F5">
        <w:trPr>
          <w:trHeight w:val="270"/>
        </w:trPr>
        <w:tc>
          <w:tcPr>
            <w:tcW w:w="558" w:type="pct"/>
            <w:hideMark/>
          </w:tcPr>
          <w:p w14:paraId="2D0A310A" w14:textId="77777777" w:rsidR="00DC041D" w:rsidRPr="001F72D0" w:rsidRDefault="00DC041D" w:rsidP="00A4101E">
            <w:pPr>
              <w:rPr>
                <w:sz w:val="16"/>
                <w:szCs w:val="16"/>
              </w:rPr>
            </w:pPr>
            <w:r w:rsidRPr="001F72D0">
              <w:rPr>
                <w:sz w:val="16"/>
                <w:szCs w:val="16"/>
              </w:rPr>
              <w:t>Homeless</w:t>
            </w:r>
          </w:p>
        </w:tc>
        <w:tc>
          <w:tcPr>
            <w:tcW w:w="286" w:type="pct"/>
            <w:hideMark/>
          </w:tcPr>
          <w:p w14:paraId="7B082425" w14:textId="77777777" w:rsidR="00DC041D" w:rsidRPr="001F72D0" w:rsidRDefault="00DC041D" w:rsidP="00A4101E">
            <w:pPr>
              <w:rPr>
                <w:sz w:val="16"/>
                <w:szCs w:val="16"/>
              </w:rPr>
            </w:pPr>
            <w:r w:rsidRPr="001F72D0">
              <w:rPr>
                <w:sz w:val="16"/>
                <w:szCs w:val="16"/>
              </w:rPr>
              <w:t>2,735</w:t>
            </w:r>
          </w:p>
        </w:tc>
        <w:tc>
          <w:tcPr>
            <w:tcW w:w="348" w:type="pct"/>
            <w:hideMark/>
          </w:tcPr>
          <w:p w14:paraId="025FA5A4" w14:textId="13BA9AC8" w:rsidR="00DC041D" w:rsidRPr="001F72D0" w:rsidRDefault="00DC041D" w:rsidP="00A4101E">
            <w:pPr>
              <w:rPr>
                <w:sz w:val="16"/>
                <w:szCs w:val="16"/>
              </w:rPr>
            </w:pPr>
            <w:r w:rsidRPr="001F72D0">
              <w:rPr>
                <w:sz w:val="16"/>
                <w:szCs w:val="16"/>
              </w:rPr>
              <w:t>64.5</w:t>
            </w:r>
          </w:p>
        </w:tc>
        <w:tc>
          <w:tcPr>
            <w:tcW w:w="286" w:type="pct"/>
            <w:hideMark/>
          </w:tcPr>
          <w:p w14:paraId="2A624458" w14:textId="77777777" w:rsidR="00DC041D" w:rsidRPr="001F72D0" w:rsidRDefault="00DC041D" w:rsidP="00A4101E">
            <w:pPr>
              <w:rPr>
                <w:sz w:val="16"/>
                <w:szCs w:val="16"/>
              </w:rPr>
            </w:pPr>
            <w:r w:rsidRPr="001F72D0">
              <w:rPr>
                <w:sz w:val="16"/>
                <w:szCs w:val="16"/>
              </w:rPr>
              <w:t>3,926</w:t>
            </w:r>
          </w:p>
        </w:tc>
        <w:tc>
          <w:tcPr>
            <w:tcW w:w="348" w:type="pct"/>
            <w:hideMark/>
          </w:tcPr>
          <w:p w14:paraId="16E4AD8E" w14:textId="33118C21" w:rsidR="00DC041D" w:rsidRPr="001F72D0" w:rsidRDefault="00DC041D" w:rsidP="00A4101E">
            <w:pPr>
              <w:rPr>
                <w:sz w:val="16"/>
                <w:szCs w:val="16"/>
              </w:rPr>
            </w:pPr>
            <w:r w:rsidRPr="001F72D0">
              <w:rPr>
                <w:sz w:val="16"/>
                <w:szCs w:val="16"/>
              </w:rPr>
              <w:t>60.2</w:t>
            </w:r>
          </w:p>
        </w:tc>
        <w:tc>
          <w:tcPr>
            <w:tcW w:w="286" w:type="pct"/>
            <w:hideMark/>
          </w:tcPr>
          <w:p w14:paraId="5DE2D2F0" w14:textId="77777777" w:rsidR="00DC041D" w:rsidRPr="001F72D0" w:rsidRDefault="00DC041D" w:rsidP="00A4101E">
            <w:pPr>
              <w:rPr>
                <w:sz w:val="16"/>
                <w:szCs w:val="16"/>
              </w:rPr>
            </w:pPr>
            <w:r w:rsidRPr="001F72D0">
              <w:rPr>
                <w:sz w:val="16"/>
                <w:szCs w:val="16"/>
              </w:rPr>
              <w:t>4,517</w:t>
            </w:r>
          </w:p>
        </w:tc>
        <w:tc>
          <w:tcPr>
            <w:tcW w:w="348" w:type="pct"/>
            <w:hideMark/>
          </w:tcPr>
          <w:p w14:paraId="61C31D6C" w14:textId="099404B7" w:rsidR="00DC041D" w:rsidRPr="001F72D0" w:rsidRDefault="00DC041D" w:rsidP="00A4101E">
            <w:pPr>
              <w:rPr>
                <w:sz w:val="16"/>
                <w:szCs w:val="16"/>
              </w:rPr>
            </w:pPr>
            <w:r w:rsidRPr="001F72D0">
              <w:rPr>
                <w:sz w:val="16"/>
                <w:szCs w:val="16"/>
              </w:rPr>
              <w:t>58.7</w:t>
            </w:r>
          </w:p>
        </w:tc>
        <w:tc>
          <w:tcPr>
            <w:tcW w:w="286" w:type="pct"/>
            <w:hideMark/>
          </w:tcPr>
          <w:p w14:paraId="154CA914" w14:textId="77777777" w:rsidR="00DC041D" w:rsidRPr="001F72D0" w:rsidRDefault="00DC041D" w:rsidP="00A4101E">
            <w:pPr>
              <w:rPr>
                <w:sz w:val="16"/>
                <w:szCs w:val="16"/>
              </w:rPr>
            </w:pPr>
            <w:r w:rsidRPr="001F72D0">
              <w:rPr>
                <w:sz w:val="16"/>
                <w:szCs w:val="16"/>
              </w:rPr>
              <w:t>4,769</w:t>
            </w:r>
          </w:p>
        </w:tc>
        <w:tc>
          <w:tcPr>
            <w:tcW w:w="348" w:type="pct"/>
            <w:hideMark/>
          </w:tcPr>
          <w:p w14:paraId="38FF2CDF" w14:textId="1BA6E635" w:rsidR="00DC041D" w:rsidRPr="001F72D0" w:rsidRDefault="00DC041D" w:rsidP="00A4101E">
            <w:pPr>
              <w:rPr>
                <w:sz w:val="16"/>
                <w:szCs w:val="16"/>
              </w:rPr>
            </w:pPr>
            <w:r w:rsidRPr="001F72D0">
              <w:rPr>
                <w:sz w:val="16"/>
                <w:szCs w:val="16"/>
              </w:rPr>
              <w:t>58.8</w:t>
            </w:r>
          </w:p>
        </w:tc>
        <w:tc>
          <w:tcPr>
            <w:tcW w:w="286" w:type="pct"/>
            <w:hideMark/>
          </w:tcPr>
          <w:p w14:paraId="3069413A" w14:textId="77777777" w:rsidR="00DC041D" w:rsidRPr="001F72D0" w:rsidRDefault="00DC041D" w:rsidP="00A4101E">
            <w:pPr>
              <w:rPr>
                <w:sz w:val="16"/>
                <w:szCs w:val="16"/>
              </w:rPr>
            </w:pPr>
            <w:r w:rsidRPr="001F72D0">
              <w:rPr>
                <w:sz w:val="16"/>
                <w:szCs w:val="16"/>
              </w:rPr>
              <w:t>3,783</w:t>
            </w:r>
          </w:p>
        </w:tc>
        <w:tc>
          <w:tcPr>
            <w:tcW w:w="348" w:type="pct"/>
            <w:hideMark/>
          </w:tcPr>
          <w:p w14:paraId="50F81C38" w14:textId="443F0C35" w:rsidR="00DC041D" w:rsidRPr="001F72D0" w:rsidRDefault="00DC041D" w:rsidP="00A4101E">
            <w:pPr>
              <w:rPr>
                <w:sz w:val="16"/>
                <w:szCs w:val="16"/>
              </w:rPr>
            </w:pPr>
            <w:r w:rsidRPr="001F72D0">
              <w:rPr>
                <w:sz w:val="16"/>
                <w:szCs w:val="16"/>
              </w:rPr>
              <w:t>57.1</w:t>
            </w:r>
          </w:p>
        </w:tc>
        <w:tc>
          <w:tcPr>
            <w:tcW w:w="286" w:type="pct"/>
            <w:hideMark/>
          </w:tcPr>
          <w:p w14:paraId="595F7B7D" w14:textId="77777777" w:rsidR="00DC041D" w:rsidRPr="001F72D0" w:rsidRDefault="00DC041D" w:rsidP="00A4101E">
            <w:pPr>
              <w:rPr>
                <w:sz w:val="16"/>
                <w:szCs w:val="16"/>
              </w:rPr>
            </w:pPr>
            <w:r w:rsidRPr="001F72D0">
              <w:rPr>
                <w:sz w:val="16"/>
                <w:szCs w:val="16"/>
              </w:rPr>
              <w:t>3,563</w:t>
            </w:r>
          </w:p>
        </w:tc>
        <w:tc>
          <w:tcPr>
            <w:tcW w:w="348" w:type="pct"/>
            <w:hideMark/>
          </w:tcPr>
          <w:p w14:paraId="3F1160DF" w14:textId="41135BB9" w:rsidR="00DC041D" w:rsidRPr="001F72D0" w:rsidRDefault="00DC041D" w:rsidP="00A4101E">
            <w:pPr>
              <w:rPr>
                <w:sz w:val="16"/>
                <w:szCs w:val="16"/>
              </w:rPr>
            </w:pPr>
            <w:r w:rsidRPr="001F72D0">
              <w:rPr>
                <w:sz w:val="16"/>
                <w:szCs w:val="16"/>
              </w:rPr>
              <w:t>58.9</w:t>
            </w:r>
          </w:p>
        </w:tc>
        <w:tc>
          <w:tcPr>
            <w:tcW w:w="286" w:type="pct"/>
            <w:hideMark/>
          </w:tcPr>
          <w:p w14:paraId="18BE2B86" w14:textId="77777777" w:rsidR="00DC041D" w:rsidRPr="001F72D0" w:rsidRDefault="00DC041D" w:rsidP="00A4101E">
            <w:pPr>
              <w:rPr>
                <w:sz w:val="16"/>
                <w:szCs w:val="16"/>
              </w:rPr>
            </w:pPr>
            <w:r w:rsidRPr="001F72D0">
              <w:rPr>
                <w:sz w:val="16"/>
                <w:szCs w:val="16"/>
              </w:rPr>
              <w:t>3,708</w:t>
            </w:r>
          </w:p>
        </w:tc>
        <w:tc>
          <w:tcPr>
            <w:tcW w:w="348" w:type="pct"/>
            <w:hideMark/>
          </w:tcPr>
          <w:p w14:paraId="5298655B" w14:textId="3006431B" w:rsidR="00DC041D" w:rsidRPr="001F72D0" w:rsidRDefault="00DC041D" w:rsidP="00A4101E">
            <w:pPr>
              <w:rPr>
                <w:sz w:val="16"/>
                <w:szCs w:val="16"/>
              </w:rPr>
            </w:pPr>
            <w:r w:rsidRPr="001F72D0">
              <w:rPr>
                <w:sz w:val="16"/>
                <w:szCs w:val="16"/>
              </w:rPr>
              <w:t>59.5</w:t>
            </w:r>
          </w:p>
        </w:tc>
      </w:tr>
      <w:tr w:rsidR="00254912" w:rsidRPr="001F72D0" w14:paraId="2207672E" w14:textId="77777777" w:rsidTr="008D67F5">
        <w:trPr>
          <w:trHeight w:val="270"/>
        </w:trPr>
        <w:tc>
          <w:tcPr>
            <w:tcW w:w="558" w:type="pct"/>
            <w:hideMark/>
          </w:tcPr>
          <w:p w14:paraId="1BE425E8" w14:textId="77777777" w:rsidR="00DC041D" w:rsidRPr="001F72D0" w:rsidRDefault="00DC041D" w:rsidP="00A4101E">
            <w:pPr>
              <w:rPr>
                <w:sz w:val="16"/>
                <w:szCs w:val="16"/>
              </w:rPr>
            </w:pPr>
            <w:r w:rsidRPr="001F72D0">
              <w:rPr>
                <w:b/>
                <w:bCs/>
                <w:sz w:val="16"/>
                <w:szCs w:val="16"/>
              </w:rPr>
              <w:t>Total</w:t>
            </w:r>
          </w:p>
        </w:tc>
        <w:tc>
          <w:tcPr>
            <w:tcW w:w="286" w:type="pct"/>
            <w:hideMark/>
          </w:tcPr>
          <w:p w14:paraId="1A8EFA85" w14:textId="77777777" w:rsidR="00DC041D" w:rsidRPr="001F72D0" w:rsidRDefault="00DC041D" w:rsidP="00A4101E">
            <w:pPr>
              <w:rPr>
                <w:sz w:val="16"/>
                <w:szCs w:val="16"/>
              </w:rPr>
            </w:pPr>
            <w:r w:rsidRPr="001F72D0">
              <w:rPr>
                <w:b/>
                <w:bCs/>
                <w:sz w:val="16"/>
                <w:szCs w:val="16"/>
              </w:rPr>
              <w:t>4,241</w:t>
            </w:r>
          </w:p>
        </w:tc>
        <w:tc>
          <w:tcPr>
            <w:tcW w:w="348" w:type="pct"/>
            <w:hideMark/>
          </w:tcPr>
          <w:p w14:paraId="7A2D6D7F" w14:textId="4339994B" w:rsidR="00DC041D" w:rsidRPr="001F72D0" w:rsidRDefault="00DC041D" w:rsidP="00A4101E">
            <w:pPr>
              <w:rPr>
                <w:sz w:val="16"/>
                <w:szCs w:val="16"/>
              </w:rPr>
            </w:pPr>
            <w:r w:rsidRPr="001F72D0">
              <w:rPr>
                <w:b/>
                <w:bCs/>
                <w:sz w:val="16"/>
                <w:szCs w:val="16"/>
              </w:rPr>
              <w:t>100.0</w:t>
            </w:r>
          </w:p>
        </w:tc>
        <w:tc>
          <w:tcPr>
            <w:tcW w:w="286" w:type="pct"/>
            <w:hideMark/>
          </w:tcPr>
          <w:p w14:paraId="3BCE8F48" w14:textId="77777777" w:rsidR="00DC041D" w:rsidRPr="001F72D0" w:rsidRDefault="00DC041D" w:rsidP="00A4101E">
            <w:pPr>
              <w:rPr>
                <w:sz w:val="16"/>
                <w:szCs w:val="16"/>
              </w:rPr>
            </w:pPr>
            <w:r w:rsidRPr="001F72D0">
              <w:rPr>
                <w:b/>
                <w:bCs/>
                <w:sz w:val="16"/>
                <w:szCs w:val="16"/>
              </w:rPr>
              <w:t>6,525</w:t>
            </w:r>
          </w:p>
        </w:tc>
        <w:tc>
          <w:tcPr>
            <w:tcW w:w="348" w:type="pct"/>
            <w:hideMark/>
          </w:tcPr>
          <w:p w14:paraId="7E5B9797" w14:textId="0E85837A" w:rsidR="00DC041D" w:rsidRPr="001F72D0" w:rsidRDefault="00DC041D" w:rsidP="00A4101E">
            <w:pPr>
              <w:rPr>
                <w:sz w:val="16"/>
                <w:szCs w:val="16"/>
              </w:rPr>
            </w:pPr>
            <w:r w:rsidRPr="001F72D0">
              <w:rPr>
                <w:b/>
                <w:bCs/>
                <w:sz w:val="16"/>
                <w:szCs w:val="16"/>
              </w:rPr>
              <w:t>100.0</w:t>
            </w:r>
          </w:p>
        </w:tc>
        <w:tc>
          <w:tcPr>
            <w:tcW w:w="286" w:type="pct"/>
            <w:hideMark/>
          </w:tcPr>
          <w:p w14:paraId="1AD38547" w14:textId="77777777" w:rsidR="00DC041D" w:rsidRPr="001F72D0" w:rsidRDefault="00DC041D" w:rsidP="00A4101E">
            <w:pPr>
              <w:rPr>
                <w:sz w:val="16"/>
                <w:szCs w:val="16"/>
              </w:rPr>
            </w:pPr>
            <w:r w:rsidRPr="001F72D0">
              <w:rPr>
                <w:b/>
                <w:bCs/>
                <w:sz w:val="16"/>
                <w:szCs w:val="16"/>
              </w:rPr>
              <w:t>7,695</w:t>
            </w:r>
          </w:p>
        </w:tc>
        <w:tc>
          <w:tcPr>
            <w:tcW w:w="348" w:type="pct"/>
            <w:hideMark/>
          </w:tcPr>
          <w:p w14:paraId="3FACAD5D" w14:textId="6CDA30EE" w:rsidR="00DC041D" w:rsidRPr="001F72D0" w:rsidRDefault="00DC041D" w:rsidP="00A4101E">
            <w:pPr>
              <w:rPr>
                <w:sz w:val="16"/>
                <w:szCs w:val="16"/>
              </w:rPr>
            </w:pPr>
            <w:r w:rsidRPr="001F72D0">
              <w:rPr>
                <w:b/>
                <w:bCs/>
                <w:sz w:val="16"/>
                <w:szCs w:val="16"/>
              </w:rPr>
              <w:t>100.0</w:t>
            </w:r>
          </w:p>
        </w:tc>
        <w:tc>
          <w:tcPr>
            <w:tcW w:w="286" w:type="pct"/>
            <w:hideMark/>
          </w:tcPr>
          <w:p w14:paraId="5E83A7F1" w14:textId="77777777" w:rsidR="00DC041D" w:rsidRPr="001F72D0" w:rsidRDefault="00DC041D" w:rsidP="00A4101E">
            <w:pPr>
              <w:rPr>
                <w:sz w:val="16"/>
                <w:szCs w:val="16"/>
              </w:rPr>
            </w:pPr>
            <w:r w:rsidRPr="001F72D0">
              <w:rPr>
                <w:b/>
                <w:bCs/>
                <w:sz w:val="16"/>
                <w:szCs w:val="16"/>
              </w:rPr>
              <w:t>8,106</w:t>
            </w:r>
          </w:p>
        </w:tc>
        <w:tc>
          <w:tcPr>
            <w:tcW w:w="348" w:type="pct"/>
            <w:hideMark/>
          </w:tcPr>
          <w:p w14:paraId="7BCEBC9D" w14:textId="41C41D5A" w:rsidR="00DC041D" w:rsidRPr="001F72D0" w:rsidRDefault="00DC041D" w:rsidP="00A4101E">
            <w:pPr>
              <w:rPr>
                <w:sz w:val="16"/>
                <w:szCs w:val="16"/>
              </w:rPr>
            </w:pPr>
            <w:r w:rsidRPr="001F72D0">
              <w:rPr>
                <w:b/>
                <w:bCs/>
                <w:sz w:val="16"/>
                <w:szCs w:val="16"/>
              </w:rPr>
              <w:t>100.0</w:t>
            </w:r>
          </w:p>
        </w:tc>
        <w:tc>
          <w:tcPr>
            <w:tcW w:w="286" w:type="pct"/>
            <w:hideMark/>
          </w:tcPr>
          <w:p w14:paraId="4526BABC" w14:textId="77777777" w:rsidR="00DC041D" w:rsidRPr="001F72D0" w:rsidRDefault="00DC041D" w:rsidP="00A4101E">
            <w:pPr>
              <w:rPr>
                <w:sz w:val="16"/>
                <w:szCs w:val="16"/>
              </w:rPr>
            </w:pPr>
            <w:r w:rsidRPr="001F72D0">
              <w:rPr>
                <w:b/>
                <w:bCs/>
                <w:sz w:val="16"/>
                <w:szCs w:val="16"/>
              </w:rPr>
              <w:t>6,630</w:t>
            </w:r>
          </w:p>
        </w:tc>
        <w:tc>
          <w:tcPr>
            <w:tcW w:w="348" w:type="pct"/>
            <w:hideMark/>
          </w:tcPr>
          <w:p w14:paraId="79D6A71E" w14:textId="1EB2965C" w:rsidR="00DC041D" w:rsidRPr="001F72D0" w:rsidRDefault="00DC041D" w:rsidP="00A4101E">
            <w:pPr>
              <w:rPr>
                <w:sz w:val="16"/>
                <w:szCs w:val="16"/>
              </w:rPr>
            </w:pPr>
            <w:r w:rsidRPr="001F72D0">
              <w:rPr>
                <w:b/>
                <w:bCs/>
                <w:sz w:val="16"/>
                <w:szCs w:val="16"/>
              </w:rPr>
              <w:t>100.0</w:t>
            </w:r>
          </w:p>
        </w:tc>
        <w:tc>
          <w:tcPr>
            <w:tcW w:w="286" w:type="pct"/>
            <w:hideMark/>
          </w:tcPr>
          <w:p w14:paraId="3AD62E86" w14:textId="77777777" w:rsidR="00DC041D" w:rsidRPr="001F72D0" w:rsidRDefault="00DC041D" w:rsidP="00A4101E">
            <w:pPr>
              <w:rPr>
                <w:sz w:val="16"/>
                <w:szCs w:val="16"/>
              </w:rPr>
            </w:pPr>
            <w:r w:rsidRPr="001F72D0">
              <w:rPr>
                <w:b/>
                <w:bCs/>
                <w:sz w:val="16"/>
                <w:szCs w:val="16"/>
              </w:rPr>
              <w:t>6,048</w:t>
            </w:r>
          </w:p>
        </w:tc>
        <w:tc>
          <w:tcPr>
            <w:tcW w:w="348" w:type="pct"/>
            <w:hideMark/>
          </w:tcPr>
          <w:p w14:paraId="45C391A3" w14:textId="7B492B69" w:rsidR="00DC041D" w:rsidRPr="001F72D0" w:rsidRDefault="00DC041D" w:rsidP="00A4101E">
            <w:pPr>
              <w:rPr>
                <w:sz w:val="16"/>
                <w:szCs w:val="16"/>
              </w:rPr>
            </w:pPr>
            <w:r w:rsidRPr="001F72D0">
              <w:rPr>
                <w:b/>
                <w:bCs/>
                <w:sz w:val="16"/>
                <w:szCs w:val="16"/>
              </w:rPr>
              <w:t>100.0</w:t>
            </w:r>
          </w:p>
        </w:tc>
        <w:tc>
          <w:tcPr>
            <w:tcW w:w="286" w:type="pct"/>
            <w:hideMark/>
          </w:tcPr>
          <w:p w14:paraId="7AB6F493" w14:textId="77777777" w:rsidR="00DC041D" w:rsidRPr="001F72D0" w:rsidRDefault="00DC041D" w:rsidP="00A4101E">
            <w:pPr>
              <w:rPr>
                <w:sz w:val="16"/>
                <w:szCs w:val="16"/>
              </w:rPr>
            </w:pPr>
            <w:r w:rsidRPr="001F72D0">
              <w:rPr>
                <w:b/>
                <w:bCs/>
                <w:sz w:val="16"/>
                <w:szCs w:val="16"/>
              </w:rPr>
              <w:t>6,236</w:t>
            </w:r>
          </w:p>
        </w:tc>
        <w:tc>
          <w:tcPr>
            <w:tcW w:w="348" w:type="pct"/>
            <w:hideMark/>
          </w:tcPr>
          <w:p w14:paraId="57D1ADDA" w14:textId="5482911F" w:rsidR="00DC041D" w:rsidRPr="001F72D0" w:rsidRDefault="00DC041D" w:rsidP="00A4101E">
            <w:pPr>
              <w:rPr>
                <w:sz w:val="16"/>
                <w:szCs w:val="16"/>
              </w:rPr>
            </w:pPr>
            <w:r w:rsidRPr="001F72D0">
              <w:rPr>
                <w:b/>
                <w:bCs/>
                <w:sz w:val="16"/>
                <w:szCs w:val="16"/>
              </w:rPr>
              <w:t>100.0</w:t>
            </w:r>
          </w:p>
        </w:tc>
      </w:tr>
    </w:tbl>
    <w:p w14:paraId="640AD434" w14:textId="6C3B1D0D" w:rsidR="00531754" w:rsidRPr="00531754" w:rsidRDefault="00531754" w:rsidP="00CB5348">
      <w:r w:rsidRPr="00531754">
        <w:t>Note: N denotes number of client beneficiaries. Source: ABS (2022)</w:t>
      </w:r>
    </w:p>
    <w:p w14:paraId="3B76F39C" w14:textId="77777777" w:rsidR="002B350E" w:rsidRDefault="00531754" w:rsidP="002B350E">
      <w:r w:rsidRPr="00531754">
        <w:t xml:space="preserve">Better service referral mechanisms and service integrations/service alignment may improve the overall level of homelessness. Further funding for Tier 2 services should improve outcomes markedly, but only if there is continuity of investment. It is critical that people living with a disability are afforded critical information in a timely manner and that providers can adequately triage and viably refer service users to the most suited services to ensure better outcomes. </w:t>
      </w:r>
      <w:bookmarkStart w:id="101" w:name="_Toc130567644"/>
    </w:p>
    <w:p w14:paraId="0AA5BF62" w14:textId="555F135E" w:rsidR="00531754" w:rsidRPr="00531754" w:rsidRDefault="00531754" w:rsidP="002B350E">
      <w:pPr>
        <w:pStyle w:val="Heading2"/>
      </w:pPr>
      <w:bookmarkStart w:id="102" w:name="_Toc130942939"/>
      <w:r w:rsidRPr="00531754">
        <w:lastRenderedPageBreak/>
        <w:t>Recommendation 1: Additional transitional investment in the short term</w:t>
      </w:r>
      <w:bookmarkEnd w:id="101"/>
      <w:bookmarkEnd w:id="102"/>
    </w:p>
    <w:p w14:paraId="3D905952" w14:textId="137F56FE" w:rsidR="00531754" w:rsidRPr="00531754" w:rsidRDefault="00531754" w:rsidP="00CB5348">
      <w:r w:rsidRPr="00531754">
        <w:t xml:space="preserve">Better transitional funding initiatives are required to ensure the continuity of existing and recently (plausibly defunded/underfunded) Tier 2-like programs and initiatives previously funded through state-based agreements, to ensure continuity of service and to ensure that the social capital generated though longstanding programs is not lost.  </w:t>
      </w:r>
    </w:p>
    <w:p w14:paraId="65BF74E1" w14:textId="77777777" w:rsidR="00531754" w:rsidRPr="00531754" w:rsidRDefault="00531754" w:rsidP="00DE3A9B">
      <w:pPr>
        <w:pStyle w:val="Heading2"/>
      </w:pPr>
      <w:bookmarkStart w:id="103" w:name="_Toc130567645"/>
      <w:bookmarkStart w:id="104" w:name="_Toc130942940"/>
      <w:r w:rsidRPr="00531754">
        <w:t>Recommendation 2: Scale investment to achieve scheme objectives in the medium term</w:t>
      </w:r>
      <w:bookmarkEnd w:id="103"/>
      <w:bookmarkEnd w:id="104"/>
    </w:p>
    <w:p w14:paraId="309771C1" w14:textId="17390756" w:rsidR="00531754" w:rsidRPr="00531754" w:rsidRDefault="00531754" w:rsidP="00613350">
      <w:r w:rsidRPr="00531754">
        <w:t xml:space="preserve">All stakeholders in the NDIS must be able to determine the appropriate strategy to viably increase their investment in Tier 2 service provisions, beyond transitional funding alone. This investment must acknowledge the pre-existing initiatives that have been underfunded/defunded and the purpose of the NDIS. Viable investment to scale Tier 2 activities to sufficient levels commensurate with the scheme is critical. The provision of greater Tier 2 investment may reduce the transition of some parties to Tier 3 supports.  </w:t>
      </w:r>
    </w:p>
    <w:p w14:paraId="3CF3B4AF" w14:textId="77777777" w:rsidR="00531754" w:rsidRPr="007822EF" w:rsidRDefault="00531754" w:rsidP="00DE3A9B">
      <w:pPr>
        <w:pStyle w:val="Heading2"/>
      </w:pPr>
      <w:bookmarkStart w:id="105" w:name="_Toc130567646"/>
      <w:bookmarkStart w:id="106" w:name="_Toc130942941"/>
      <w:r w:rsidRPr="007822EF">
        <w:t>Recommendation 3: Robust data capture process pertaining to Tier 2</w:t>
      </w:r>
      <w:bookmarkEnd w:id="105"/>
      <w:bookmarkEnd w:id="106"/>
    </w:p>
    <w:p w14:paraId="5CBE4495" w14:textId="0E4728A6" w:rsidR="00531754" w:rsidRPr="002B350E" w:rsidRDefault="00531754" w:rsidP="002B350E">
      <w:r w:rsidRPr="00531754">
        <w:t xml:space="preserve">We recommend a strong data capture and disclosure process pertaining to Tier 2 funding that links expenditures to annual intervals at a minimum. While current public data include funding block values and recipients, data pertaining to the aligned year of investment and investment outcomes is essential. Data disaggregation is critical to understanding long term (Tier 2) investment trends and consequently capturing and analysing investments in Tier 2 are critical. The annual expenditures on Tier 2-like activities administered previously by the NDIA and currently administered by the DSS is critical to determining the effectiveness of Tier 2 activities, and to identifying areas of omission. </w:t>
      </w:r>
      <w:bookmarkStart w:id="107" w:name="_Toc119966546"/>
      <w:bookmarkStart w:id="108" w:name="_Toc120266200"/>
      <w:bookmarkStart w:id="109" w:name="_Toc120266235"/>
      <w:bookmarkStart w:id="110" w:name="_Toc120266355"/>
    </w:p>
    <w:p w14:paraId="0A59F3E1" w14:textId="0243E835" w:rsidR="00531754" w:rsidRPr="00531754" w:rsidRDefault="00531754" w:rsidP="00917ED0">
      <w:pPr>
        <w:pStyle w:val="Heading1"/>
      </w:pPr>
      <w:bookmarkStart w:id="111" w:name="_Toc120268923"/>
      <w:bookmarkStart w:id="112" w:name="_Toc130942942"/>
      <w:r w:rsidRPr="00531754">
        <w:t>Analysing the impacts of sector employment, donor revenue and volunteerism on Tier 2 activity types</w:t>
      </w:r>
      <w:bookmarkEnd w:id="107"/>
      <w:bookmarkEnd w:id="108"/>
      <w:bookmarkEnd w:id="109"/>
      <w:bookmarkEnd w:id="110"/>
      <w:bookmarkEnd w:id="111"/>
      <w:bookmarkEnd w:id="112"/>
    </w:p>
    <w:p w14:paraId="37EDB9DC" w14:textId="77777777" w:rsidR="00531754" w:rsidRPr="00531754" w:rsidRDefault="00531754" w:rsidP="00613350">
      <w:r w:rsidRPr="00531754">
        <w:t>In this section, we analyse patters of volunteerism, staffing and expenditure associated with disability-focused NFP entities, focused on the provision of supports within one or more Australian jurisdictions. The purpose of these analyses was to establish trends in Tier 1 and Tier 2 supports associated with the delivery of care services.   </w:t>
      </w:r>
    </w:p>
    <w:p w14:paraId="35FFEC76" w14:textId="77777777" w:rsidR="00531754" w:rsidRPr="00531754" w:rsidRDefault="00531754" w:rsidP="00DE3A9B">
      <w:pPr>
        <w:pStyle w:val="Heading2"/>
      </w:pPr>
      <w:bookmarkStart w:id="113" w:name="_Toc119966548"/>
      <w:bookmarkStart w:id="114" w:name="_Toc120266202"/>
      <w:bookmarkStart w:id="115" w:name="_Toc120266237"/>
      <w:bookmarkStart w:id="116" w:name="_Toc120266357"/>
      <w:bookmarkStart w:id="117" w:name="_Toc120268925"/>
      <w:bookmarkStart w:id="118" w:name="_Toc130942943"/>
      <w:r w:rsidRPr="00531754">
        <w:lastRenderedPageBreak/>
        <w:t>Formal volunteerism in the disability sector</w:t>
      </w:r>
      <w:bookmarkEnd w:id="113"/>
      <w:bookmarkEnd w:id="114"/>
      <w:bookmarkEnd w:id="115"/>
      <w:bookmarkEnd w:id="116"/>
      <w:bookmarkEnd w:id="117"/>
      <w:bookmarkEnd w:id="118"/>
      <w:r w:rsidRPr="00531754">
        <w:t> </w:t>
      </w:r>
    </w:p>
    <w:p w14:paraId="1E9B643F" w14:textId="59953ADE" w:rsidR="007822EF" w:rsidRDefault="007822EF" w:rsidP="00613350">
      <w:r>
        <w:t>Volunteering has always been a significant resource to support people with disabilities, particularly in community-based and non-government organisations that provide Tier 2 like supports such as transport, information exchange and social activities. Despite the huge increase in formal, paid support provided through the NDIS, volunteers will continue to be a big part of the disability community, delivering many of the social supports provided to people with.</w:t>
      </w:r>
    </w:p>
    <w:p w14:paraId="361F45E8" w14:textId="21300E2D" w:rsidR="00531754" w:rsidRPr="00531754" w:rsidRDefault="00531754" w:rsidP="00613350">
      <w:r w:rsidRPr="00531754">
        <w:t>The overall pattern of volunteeri</w:t>
      </w:r>
      <w:r w:rsidR="007822EF">
        <w:t>ng</w:t>
      </w:r>
      <w:r w:rsidRPr="00531754">
        <w:t xml:space="preserve"> in Australia has fluctuated over time. Between 2006 and 2010, more than 1 in 3 (34</w:t>
      </w:r>
      <w:r w:rsidR="00670A45">
        <w:t xml:space="preserve"> per cent</w:t>
      </w:r>
      <w:r w:rsidRPr="00531754">
        <w:t>–36</w:t>
      </w:r>
      <w:r w:rsidR="00670A45">
        <w:t xml:space="preserve"> per cent</w:t>
      </w:r>
      <w:r w:rsidRPr="00531754">
        <w:t>) people aged 18 and over reported volunteering through an organisation in the previous 12 months (AIHW, 2022). In 2019, this decreased to 29</w:t>
      </w:r>
      <w:r w:rsidR="00670A45">
        <w:t xml:space="preserve"> per cent</w:t>
      </w:r>
      <w:r w:rsidRPr="00531754">
        <w:t>. On the other hand, people providing informal volunteering (unpaid work or support to people living outside their household) in the four weeks prior to the survey increased from 49</w:t>
      </w:r>
      <w:r w:rsidR="00670A45">
        <w:t xml:space="preserve"> per cent</w:t>
      </w:r>
      <w:r w:rsidRPr="00531754">
        <w:t xml:space="preserve"> in 2010 to 53</w:t>
      </w:r>
      <w:r w:rsidR="00670A45">
        <w:t xml:space="preserve"> per cent</w:t>
      </w:r>
      <w:r w:rsidRPr="00531754">
        <w:t xml:space="preserve"> in 2019 (AIHW, 2022).  </w:t>
      </w:r>
    </w:p>
    <w:p w14:paraId="68C9A35B" w14:textId="616DDCD2" w:rsidR="00531754" w:rsidRPr="00531754" w:rsidRDefault="00531754" w:rsidP="00613350">
      <w:r w:rsidRPr="00531754">
        <w:t>The data strongly suggests that there has been a decline in volunteeri</w:t>
      </w:r>
      <w:r w:rsidR="003B0D9F">
        <w:t>ng</w:t>
      </w:r>
      <w:r w:rsidRPr="00531754">
        <w:t xml:space="preserve"> between 2020 and 2021 within the NFP sector</w:t>
      </w:r>
      <w:r w:rsidR="003B0D9F">
        <w:t xml:space="preserve"> of</w:t>
      </w:r>
      <w:r w:rsidRPr="00531754">
        <w:t> approximately 33 percent (ANU, 2021). Research conducted by Biddle and Gray (2021) estimated that the total number of hours of volunteering fell by around 293 million over a 12-month period since COVID. The authors note that this implies that the loss in economic output due to the pandemic would be 16.1 percent higher were losses associated with volunteer reductions</w:t>
      </w:r>
      <w:r w:rsidR="003B0D9F">
        <w:t xml:space="preserve"> included in the analysis,</w:t>
      </w:r>
      <w:r w:rsidRPr="00531754">
        <w:t xml:space="preserve"> rather than paid work alone (Ibid, 2021). </w:t>
      </w:r>
    </w:p>
    <w:p w14:paraId="1A8CBE3E" w14:textId="7BDD8959" w:rsidR="00531754" w:rsidRPr="00531754" w:rsidRDefault="00531754" w:rsidP="00613350">
      <w:r w:rsidRPr="00531754">
        <w:t>It is difficult to establish the extent to which this decline is due to reduced community activity levels associated with lockdowns or other regulatory actions</w:t>
      </w:r>
      <w:r w:rsidR="003B0D9F">
        <w:t xml:space="preserve"> in response to the COVID-19 pandemic</w:t>
      </w:r>
      <w:r w:rsidRPr="00531754">
        <w:t xml:space="preserve">. It is highly plausible that ‘decreased time and opportunity’ (AIHW, 2022, ABS 2022) for </w:t>
      </w:r>
      <w:r w:rsidR="003B0D9F">
        <w:t xml:space="preserve">volunteering </w:t>
      </w:r>
      <w:r w:rsidRPr="00531754">
        <w:t xml:space="preserve">resulted in the decline since 2010, while more recent patterns post 2019 are ascribable to the pandemic.  </w:t>
      </w:r>
    </w:p>
    <w:p w14:paraId="246AFE62" w14:textId="649E0BB4" w:rsidR="00531754" w:rsidRPr="00531754" w:rsidRDefault="003B0D9F" w:rsidP="00613350">
      <w:r>
        <w:t>Despite the overall decline, the</w:t>
      </w:r>
      <w:r w:rsidRPr="00531754">
        <w:t xml:space="preserve"> </w:t>
      </w:r>
      <w:r w:rsidR="00531754" w:rsidRPr="00531754">
        <w:t>level of volunteeri</w:t>
      </w:r>
      <w:r>
        <w:t>ng</w:t>
      </w:r>
      <w:r w:rsidR="00531754" w:rsidRPr="00531754">
        <w:t xml:space="preserve"> in the disability services sector has been stable in recent times (2021-2022)</w:t>
      </w:r>
      <w:r>
        <w:t>; in fact, v</w:t>
      </w:r>
      <w:r w:rsidR="00531754" w:rsidRPr="00531754">
        <w:t>olunteer staff numbers rose within the sector between 2020 and 2021. However, th</w:t>
      </w:r>
      <w:r>
        <w:t>is was largely attributable to a</w:t>
      </w:r>
      <w:r w:rsidR="00531754" w:rsidRPr="00531754">
        <w:t xml:space="preserve"> rise in volunteering</w:t>
      </w:r>
      <w:r>
        <w:t xml:space="preserve"> by staff employed in the disability sector, which</w:t>
      </w:r>
      <w:r w:rsidR="00531754" w:rsidRPr="00531754">
        <w:t xml:space="preserve"> </w:t>
      </w:r>
      <w:r>
        <w:t xml:space="preserve">occurred at the same time as the loss of </w:t>
      </w:r>
      <w:r w:rsidR="00531754" w:rsidRPr="00531754">
        <w:t xml:space="preserve">casual and ongoing staff. </w:t>
      </w:r>
      <w:r>
        <w:t xml:space="preserve">Therefore, it is reasonable to conclude that the disability sector lost a similar proportion of non-staff volunteers as did the broader economy, </w:t>
      </w:r>
      <w:r>
        <w:lastRenderedPageBreak/>
        <w:t>and the relative stability of volunteering in the sector actually</w:t>
      </w:r>
      <w:r w:rsidR="00531754" w:rsidRPr="00531754">
        <w:t xml:space="preserve"> reflect</w:t>
      </w:r>
      <w:r>
        <w:t>s</w:t>
      </w:r>
      <w:r w:rsidR="00531754" w:rsidRPr="00531754">
        <w:t xml:space="preserve"> </w:t>
      </w:r>
      <w:r>
        <w:t xml:space="preserve">significant </w:t>
      </w:r>
      <w:r w:rsidR="00531754" w:rsidRPr="00531754">
        <w:t>pressure</w:t>
      </w:r>
      <w:r>
        <w:t xml:space="preserve"> on </w:t>
      </w:r>
      <w:r w:rsidR="00967214">
        <w:t xml:space="preserve">volunteers performing the duties of staff. </w:t>
      </w:r>
    </w:p>
    <w:p w14:paraId="37ADAF5F" w14:textId="6B924840" w:rsidR="00531754" w:rsidRPr="00531754" w:rsidRDefault="00531754" w:rsidP="00613350">
      <w:r w:rsidRPr="00531754">
        <w:t xml:space="preserve">While </w:t>
      </w:r>
      <w:r w:rsidR="003B0D9F">
        <w:t xml:space="preserve">staff </w:t>
      </w:r>
      <w:r w:rsidRPr="00531754">
        <w:t>volunteeri</w:t>
      </w:r>
      <w:r w:rsidR="003B0D9F">
        <w:t>ng</w:t>
      </w:r>
      <w:r w:rsidRPr="00531754">
        <w:t xml:space="preserve"> is admirable it should not serve as an alternative to ongoing</w:t>
      </w:r>
      <w:r w:rsidR="003B0D9F">
        <w:t>,</w:t>
      </w:r>
      <w:r w:rsidRPr="00531754">
        <w:t xml:space="preserve"> </w:t>
      </w:r>
      <w:r w:rsidR="003B0D9F">
        <w:t>paid</w:t>
      </w:r>
      <w:r w:rsidRPr="00531754">
        <w:t xml:space="preserve"> employees </w:t>
      </w:r>
      <w:r w:rsidR="003B0D9F">
        <w:t>who</w:t>
      </w:r>
      <w:r w:rsidR="003B0D9F" w:rsidRPr="00531754">
        <w:t xml:space="preserve"> </w:t>
      </w:r>
      <w:r w:rsidRPr="00531754">
        <w:t xml:space="preserve">ensure the continuity of process and programs, and who are trained to achieve the best outcomes for recipients of support. </w:t>
      </w:r>
    </w:p>
    <w:p w14:paraId="1D2DAB14" w14:textId="2E1CB8D1" w:rsidR="00531754" w:rsidRPr="00531754" w:rsidRDefault="00531754" w:rsidP="00613350">
      <w:r w:rsidRPr="00531754">
        <w:t xml:space="preserve">The net loss to the sector in employee terms during the pandemic interval was between 276,000 and 527,000 employees, noting that some employment recovered thereafter. It is </w:t>
      </w:r>
      <w:r w:rsidR="003B0D9F">
        <w:t xml:space="preserve">likely, </w:t>
      </w:r>
      <w:r w:rsidRPr="00531754">
        <w:t xml:space="preserve">given the pre-pandemic </w:t>
      </w:r>
      <w:r w:rsidR="003B0D9F">
        <w:t>decline</w:t>
      </w:r>
      <w:r w:rsidR="003B0D9F" w:rsidRPr="00531754">
        <w:t xml:space="preserve"> </w:t>
      </w:r>
      <w:r w:rsidRPr="00531754">
        <w:t>in volunteeri</w:t>
      </w:r>
      <w:r w:rsidR="003B0D9F">
        <w:t>ng,</w:t>
      </w:r>
      <w:r w:rsidRPr="00531754">
        <w:t xml:space="preserve"> that NFPs will find it increasingly hard to recruit and retain volunteer</w:t>
      </w:r>
      <w:r w:rsidR="003B0D9F">
        <w:t>s</w:t>
      </w:r>
      <w:r w:rsidRPr="00531754">
        <w:t>, putting at risk the provision of many Tier 2 supports or other disability services.  </w:t>
      </w:r>
    </w:p>
    <w:p w14:paraId="7C08D064" w14:textId="17B4712D" w:rsidR="00531754" w:rsidRPr="00531754" w:rsidRDefault="00531754" w:rsidP="00613350">
      <w:r w:rsidRPr="00531754">
        <w:t>Biddle and Gray (2021) note that while</w:t>
      </w:r>
      <w:r w:rsidR="003B0D9F" w:rsidRPr="00531754" w:rsidDel="003B0D9F">
        <w:t xml:space="preserve"> </w:t>
      </w:r>
      <w:r w:rsidRPr="00531754">
        <w:t xml:space="preserve">lockdown and social distancing restrictions had eased across Australia by April 2021, many of those who had previously volunteered but had stopped doing so had not returned to volunteering. This may have significant consequences for Tier 2-like programs and activities. The COVID pandemic </w:t>
      </w:r>
      <w:r w:rsidR="003B0D9F">
        <w:t>caused a large e</w:t>
      </w:r>
      <w:r w:rsidRPr="00531754">
        <w:t>conomic shock</w:t>
      </w:r>
      <w:r w:rsidR="003B0D9F">
        <w:t xml:space="preserve"> affecting Australian households,</w:t>
      </w:r>
      <w:r w:rsidRPr="00531754">
        <w:t xml:space="preserve"> </w:t>
      </w:r>
      <w:r w:rsidR="003B0D9F">
        <w:t>and previous patterns of volunteering may not be re-established for some time, if ever.</w:t>
      </w:r>
    </w:p>
    <w:p w14:paraId="2D690F06" w14:textId="51805F64" w:rsidR="00531754" w:rsidRPr="00531754" w:rsidRDefault="00531754" w:rsidP="00613350">
      <w:r w:rsidRPr="00531754">
        <w:t xml:space="preserve">Data presented by Volunteering Australia indicates that </w:t>
      </w:r>
      <w:r w:rsidR="003B0D9F">
        <w:t xml:space="preserve">no </w:t>
      </w:r>
      <w:r w:rsidRPr="00531754">
        <w:t xml:space="preserve">forms of formal volunteering are ‘snapping back’ </w:t>
      </w:r>
      <w:r w:rsidR="003B0D9F">
        <w:t xml:space="preserve">after the </w:t>
      </w:r>
      <w:r w:rsidRPr="00531754">
        <w:t>lifting of COVID restrictions, with nearly three quarters (72</w:t>
      </w:r>
      <w:r w:rsidR="00670A45">
        <w:t xml:space="preserve"> per cent</w:t>
      </w:r>
      <w:r w:rsidRPr="00531754">
        <w:t>) of survey respondents saying their volunteer programs were not operational in the manner they were previously. This is critical, suggesting that Tier 2-aligned programs are not operational in their pre-COVID form. Indeed, General Social Survey (GSS) trend data suggest that the capacity for individuals to volunteer in the future is only going to become more difficult, given both time and opportunity, as Australians work amongst the most hours per week on average within the OECD, and are declaring less time for recreation.  </w:t>
      </w:r>
      <w:r w:rsidR="0092261B" w:rsidRPr="00531754">
        <w:t>Per Capita also anticipates some very modest shifts from pure volunteerism to Tier 3 supports, or a shift to paid employment. </w:t>
      </w:r>
    </w:p>
    <w:p w14:paraId="327220BD" w14:textId="779FE26E" w:rsidR="00531754" w:rsidRPr="00613350" w:rsidRDefault="00531754" w:rsidP="00613350">
      <w:pPr>
        <w:rPr>
          <w:b/>
          <w:bCs/>
        </w:rPr>
      </w:pPr>
      <w:r w:rsidRPr="00613350">
        <w:rPr>
          <w:b/>
          <w:bCs/>
        </w:rPr>
        <w:t>Figure 1</w:t>
      </w:r>
      <w:r w:rsidR="003B0D9F" w:rsidRPr="00613350">
        <w:rPr>
          <w:b/>
          <w:bCs/>
        </w:rPr>
        <w:t>4</w:t>
      </w:r>
    </w:p>
    <w:p w14:paraId="4FC75F7A" w14:textId="57033F53" w:rsidR="00531754" w:rsidRPr="002045D2" w:rsidRDefault="00531754" w:rsidP="002045D2">
      <w:pPr>
        <w:rPr>
          <w:b/>
          <w:bCs/>
        </w:rPr>
      </w:pPr>
      <w:r w:rsidRPr="00613350">
        <w:rPr>
          <w:b/>
          <w:bCs/>
        </w:rPr>
        <w:t>Adults engaged in voluntary work formally 2006 to 2020</w:t>
      </w:r>
    </w:p>
    <w:tbl>
      <w:tblPr>
        <w:tblStyle w:val="TableGrid"/>
        <w:tblW w:w="0" w:type="auto"/>
        <w:tblLook w:val="04A0" w:firstRow="1" w:lastRow="0" w:firstColumn="1" w:lastColumn="0" w:noHBand="0" w:noVBand="1"/>
        <w:tblCaption w:val="Adults engaged in voluntary work formally 2006 to 2020"/>
      </w:tblPr>
      <w:tblGrid>
        <w:gridCol w:w="2432"/>
        <w:gridCol w:w="2432"/>
        <w:gridCol w:w="2433"/>
        <w:gridCol w:w="2433"/>
      </w:tblGrid>
      <w:tr w:rsidR="00F9271B" w14:paraId="5CFF03F0" w14:textId="77777777" w:rsidTr="00F9271B">
        <w:tc>
          <w:tcPr>
            <w:tcW w:w="2432" w:type="dxa"/>
          </w:tcPr>
          <w:p w14:paraId="11A5D852" w14:textId="7EA2D34F" w:rsidR="00F9271B" w:rsidRPr="002045D2" w:rsidRDefault="00F9271B" w:rsidP="00613350">
            <w:pPr>
              <w:rPr>
                <w:b/>
                <w:bCs/>
              </w:rPr>
            </w:pPr>
            <w:r w:rsidRPr="002045D2">
              <w:rPr>
                <w:b/>
                <w:bCs/>
              </w:rPr>
              <w:t>Year</w:t>
            </w:r>
          </w:p>
        </w:tc>
        <w:tc>
          <w:tcPr>
            <w:tcW w:w="2432" w:type="dxa"/>
          </w:tcPr>
          <w:p w14:paraId="2268805B" w14:textId="03127952" w:rsidR="00F9271B" w:rsidRPr="002045D2" w:rsidRDefault="00F9271B" w:rsidP="00613350">
            <w:pPr>
              <w:rPr>
                <w:b/>
                <w:bCs/>
              </w:rPr>
            </w:pPr>
            <w:r w:rsidRPr="002045D2">
              <w:rPr>
                <w:b/>
                <w:bCs/>
              </w:rPr>
              <w:t>Male</w:t>
            </w:r>
          </w:p>
        </w:tc>
        <w:tc>
          <w:tcPr>
            <w:tcW w:w="2433" w:type="dxa"/>
          </w:tcPr>
          <w:p w14:paraId="1E10F03D" w14:textId="4EBD5B15" w:rsidR="00F9271B" w:rsidRPr="002045D2" w:rsidRDefault="00F9271B" w:rsidP="00613350">
            <w:pPr>
              <w:rPr>
                <w:b/>
                <w:bCs/>
              </w:rPr>
            </w:pPr>
            <w:r w:rsidRPr="002045D2">
              <w:rPr>
                <w:b/>
                <w:bCs/>
              </w:rPr>
              <w:t>Female</w:t>
            </w:r>
          </w:p>
        </w:tc>
        <w:tc>
          <w:tcPr>
            <w:tcW w:w="2433" w:type="dxa"/>
          </w:tcPr>
          <w:p w14:paraId="0ADD0B16" w14:textId="453A1C2F" w:rsidR="00F9271B" w:rsidRPr="002045D2" w:rsidRDefault="00F9271B" w:rsidP="00613350">
            <w:pPr>
              <w:rPr>
                <w:b/>
                <w:bCs/>
              </w:rPr>
            </w:pPr>
            <w:r w:rsidRPr="002045D2">
              <w:rPr>
                <w:b/>
                <w:bCs/>
              </w:rPr>
              <w:t>Persons</w:t>
            </w:r>
          </w:p>
        </w:tc>
      </w:tr>
      <w:tr w:rsidR="00F9271B" w14:paraId="4B06BE45" w14:textId="77777777" w:rsidTr="00F9271B">
        <w:tc>
          <w:tcPr>
            <w:tcW w:w="2432" w:type="dxa"/>
          </w:tcPr>
          <w:p w14:paraId="3E46E9D3" w14:textId="2B3D3BF6" w:rsidR="00F9271B" w:rsidRDefault="00E240E6" w:rsidP="00613350">
            <w:r>
              <w:t>2006</w:t>
            </w:r>
          </w:p>
        </w:tc>
        <w:tc>
          <w:tcPr>
            <w:tcW w:w="2432" w:type="dxa"/>
          </w:tcPr>
          <w:p w14:paraId="4185231C" w14:textId="3A66803E" w:rsidR="00F9271B" w:rsidRDefault="00FB4798" w:rsidP="00613350">
            <w:r>
              <w:t>31.8</w:t>
            </w:r>
          </w:p>
        </w:tc>
        <w:tc>
          <w:tcPr>
            <w:tcW w:w="2433" w:type="dxa"/>
          </w:tcPr>
          <w:p w14:paraId="2BA0D2BF" w14:textId="503AC711" w:rsidR="00F9271B" w:rsidRDefault="002A570A" w:rsidP="00613350">
            <w:r>
              <w:t>3</w:t>
            </w:r>
            <w:r w:rsidR="002A4968">
              <w:t>6.4</w:t>
            </w:r>
          </w:p>
        </w:tc>
        <w:tc>
          <w:tcPr>
            <w:tcW w:w="2433" w:type="dxa"/>
          </w:tcPr>
          <w:p w14:paraId="53C1C09A" w14:textId="62CE71DA" w:rsidR="00F9271B" w:rsidRDefault="005E4D0D" w:rsidP="00613350">
            <w:r>
              <w:t>3</w:t>
            </w:r>
            <w:r w:rsidR="00BE4F44">
              <w:t>4.1</w:t>
            </w:r>
          </w:p>
        </w:tc>
      </w:tr>
      <w:tr w:rsidR="00F9271B" w14:paraId="19A9F382" w14:textId="77777777" w:rsidTr="00F9271B">
        <w:tc>
          <w:tcPr>
            <w:tcW w:w="2432" w:type="dxa"/>
          </w:tcPr>
          <w:p w14:paraId="5CBE2D3D" w14:textId="772BD5E9" w:rsidR="00F9271B" w:rsidRDefault="0046568E" w:rsidP="00613350">
            <w:r>
              <w:lastRenderedPageBreak/>
              <w:t>2010</w:t>
            </w:r>
          </w:p>
        </w:tc>
        <w:tc>
          <w:tcPr>
            <w:tcW w:w="2432" w:type="dxa"/>
          </w:tcPr>
          <w:p w14:paraId="06DA64A4" w14:textId="7ED5DB65" w:rsidR="00F9271B" w:rsidRDefault="00A02678" w:rsidP="00613350">
            <w:r>
              <w:t>34.4</w:t>
            </w:r>
          </w:p>
        </w:tc>
        <w:tc>
          <w:tcPr>
            <w:tcW w:w="2433" w:type="dxa"/>
          </w:tcPr>
          <w:p w14:paraId="03539523" w14:textId="247086C3" w:rsidR="00F9271B" w:rsidRDefault="002A4968" w:rsidP="00613350">
            <w:r>
              <w:t>38.1</w:t>
            </w:r>
          </w:p>
        </w:tc>
        <w:tc>
          <w:tcPr>
            <w:tcW w:w="2433" w:type="dxa"/>
          </w:tcPr>
          <w:p w14:paraId="388D23FA" w14:textId="2864F53F" w:rsidR="00F9271B" w:rsidRDefault="00BE4F44" w:rsidP="00613350">
            <w:r>
              <w:t>36.2</w:t>
            </w:r>
          </w:p>
        </w:tc>
      </w:tr>
      <w:tr w:rsidR="00F9271B" w14:paraId="7AB120E8" w14:textId="77777777" w:rsidTr="00F9271B">
        <w:tc>
          <w:tcPr>
            <w:tcW w:w="2432" w:type="dxa"/>
          </w:tcPr>
          <w:p w14:paraId="27EF89DC" w14:textId="1EA25C3A" w:rsidR="00F9271B" w:rsidRDefault="005126D8" w:rsidP="00613350">
            <w:r>
              <w:t>2014</w:t>
            </w:r>
          </w:p>
        </w:tc>
        <w:tc>
          <w:tcPr>
            <w:tcW w:w="2432" w:type="dxa"/>
          </w:tcPr>
          <w:p w14:paraId="2B888946" w14:textId="3ABB886A" w:rsidR="00F9271B" w:rsidRDefault="005B3C79" w:rsidP="00613350">
            <w:r>
              <w:t>28.6</w:t>
            </w:r>
          </w:p>
        </w:tc>
        <w:tc>
          <w:tcPr>
            <w:tcW w:w="2433" w:type="dxa"/>
          </w:tcPr>
          <w:p w14:paraId="30071FCB" w14:textId="2D396C61" w:rsidR="00F9271B" w:rsidRDefault="002045D2" w:rsidP="00613350">
            <w:r>
              <w:t>33</w:t>
            </w:r>
          </w:p>
        </w:tc>
        <w:tc>
          <w:tcPr>
            <w:tcW w:w="2433" w:type="dxa"/>
          </w:tcPr>
          <w:p w14:paraId="1C5B6EAA" w14:textId="778B8A34" w:rsidR="00F9271B" w:rsidRDefault="009E32C3" w:rsidP="00613350">
            <w:r>
              <w:t>30.9</w:t>
            </w:r>
          </w:p>
        </w:tc>
      </w:tr>
      <w:tr w:rsidR="00F9271B" w14:paraId="6532438B" w14:textId="77777777" w:rsidTr="00F9271B">
        <w:tc>
          <w:tcPr>
            <w:tcW w:w="2432" w:type="dxa"/>
          </w:tcPr>
          <w:p w14:paraId="78486A7A" w14:textId="15B8C1CE" w:rsidR="00F9271B" w:rsidRDefault="005126D8" w:rsidP="00613350">
            <w:r>
              <w:t>2019</w:t>
            </w:r>
          </w:p>
        </w:tc>
        <w:tc>
          <w:tcPr>
            <w:tcW w:w="2432" w:type="dxa"/>
          </w:tcPr>
          <w:p w14:paraId="0D29B073" w14:textId="141AC5B1" w:rsidR="00F9271B" w:rsidRDefault="00D51EE2" w:rsidP="00613350">
            <w:r>
              <w:t>29.4</w:t>
            </w:r>
          </w:p>
        </w:tc>
        <w:tc>
          <w:tcPr>
            <w:tcW w:w="2433" w:type="dxa"/>
          </w:tcPr>
          <w:p w14:paraId="1362F56F" w14:textId="155E31C4" w:rsidR="00F9271B" w:rsidRDefault="004269D6" w:rsidP="00613350">
            <w:r>
              <w:t>28.1</w:t>
            </w:r>
          </w:p>
        </w:tc>
        <w:tc>
          <w:tcPr>
            <w:tcW w:w="2433" w:type="dxa"/>
          </w:tcPr>
          <w:p w14:paraId="566E6C01" w14:textId="6A09D3FD" w:rsidR="00F9271B" w:rsidRDefault="009C179A" w:rsidP="00613350">
            <w:r>
              <w:t>28.8</w:t>
            </w:r>
          </w:p>
        </w:tc>
      </w:tr>
    </w:tbl>
    <w:p w14:paraId="2EA6B139" w14:textId="23C6ADD0" w:rsidR="00531754" w:rsidRPr="00531754" w:rsidRDefault="00531754" w:rsidP="00613350">
      <w:r w:rsidRPr="00531754">
        <w:t>Source: ABS (2020), AIHW (2020)</w:t>
      </w:r>
    </w:p>
    <w:p w14:paraId="7F9C1693" w14:textId="465A64C8" w:rsidR="00531754" w:rsidRPr="00531754" w:rsidRDefault="00531754" w:rsidP="00102765">
      <w:r w:rsidRPr="00531754">
        <w:t>While some shift from volunteeri</w:t>
      </w:r>
      <w:r w:rsidR="0092261B">
        <w:t>ng</w:t>
      </w:r>
      <w:r w:rsidRPr="00531754">
        <w:t xml:space="preserve"> to paid employment may be anticipated, and indeed beneficial</w:t>
      </w:r>
      <w:r w:rsidR="0092261B">
        <w:t>,</w:t>
      </w:r>
      <w:r w:rsidRPr="00531754">
        <w:t xml:space="preserve"> a vibrant level of volunteeri</w:t>
      </w:r>
      <w:r w:rsidR="0092261B">
        <w:t>ng</w:t>
      </w:r>
      <w:r w:rsidRPr="00531754">
        <w:t xml:space="preserve"> is essential to community, and </w:t>
      </w:r>
      <w:r w:rsidR="0092261B">
        <w:t>the loss of</w:t>
      </w:r>
      <w:r w:rsidRPr="00531754">
        <w:t xml:space="preserve"> social capital created through volunteeri</w:t>
      </w:r>
      <w:r w:rsidR="0092261B">
        <w:t>ng</w:t>
      </w:r>
      <w:r w:rsidRPr="00531754">
        <w:t xml:space="preserve"> would have </w:t>
      </w:r>
      <w:r w:rsidR="0092261B">
        <w:t>negative</w:t>
      </w:r>
      <w:r w:rsidR="0092261B" w:rsidRPr="00531754">
        <w:t xml:space="preserve"> </w:t>
      </w:r>
      <w:r w:rsidRPr="00531754">
        <w:t xml:space="preserve">consequences for </w:t>
      </w:r>
      <w:r w:rsidR="0092261B">
        <w:t xml:space="preserve">many people who </w:t>
      </w:r>
      <w:r w:rsidRPr="00531754">
        <w:t xml:space="preserve">benefit from engagement with the services provided by </w:t>
      </w:r>
      <w:r w:rsidR="0092261B">
        <w:t>volunteers</w:t>
      </w:r>
      <w:r w:rsidR="0092261B" w:rsidRPr="00531754">
        <w:t xml:space="preserve"> </w:t>
      </w:r>
      <w:r w:rsidR="0092261B">
        <w:t xml:space="preserve">in the </w:t>
      </w:r>
      <w:r w:rsidRPr="00531754">
        <w:t>not for profit</w:t>
      </w:r>
      <w:r w:rsidR="0092261B">
        <w:t xml:space="preserve"> sector</w:t>
      </w:r>
      <w:r w:rsidRPr="00531754">
        <w:t>.</w:t>
      </w:r>
    </w:p>
    <w:p w14:paraId="221B0BE7" w14:textId="23F01A8A" w:rsidR="00531754" w:rsidRPr="00531754" w:rsidRDefault="00531754" w:rsidP="00102765">
      <w:r w:rsidRPr="00531754">
        <w:t>It is critical</w:t>
      </w:r>
      <w:r w:rsidR="0092261B">
        <w:t>,</w:t>
      </w:r>
      <w:r w:rsidRPr="00531754">
        <w:t xml:space="preserve"> </w:t>
      </w:r>
      <w:r w:rsidR="0092261B">
        <w:t>though</w:t>
      </w:r>
      <w:r w:rsidRPr="00531754">
        <w:t>, that volunteeri</w:t>
      </w:r>
      <w:r w:rsidR="0092261B">
        <w:t>ng</w:t>
      </w:r>
      <w:r w:rsidRPr="00531754">
        <w:t xml:space="preserve"> is not seen as a substitute for funded Tier 2 activities delivered by </w:t>
      </w:r>
      <w:r w:rsidR="0092261B">
        <w:t xml:space="preserve">professional </w:t>
      </w:r>
      <w:r w:rsidRPr="00531754">
        <w:t xml:space="preserve">organisations </w:t>
      </w:r>
      <w:r w:rsidR="0092261B">
        <w:t xml:space="preserve">and paid staff </w:t>
      </w:r>
      <w:r w:rsidRPr="00531754">
        <w:t xml:space="preserve">that possess the requisite skills, experience and capabilities to </w:t>
      </w:r>
      <w:r w:rsidR="0092261B">
        <w:t>deliver core support services</w:t>
      </w:r>
      <w:r w:rsidRPr="00531754">
        <w:t>.</w:t>
      </w:r>
      <w:r w:rsidR="002B350E">
        <w:rPr>
          <w:rFonts w:ascii="Avenir Book" w:hAnsi="Avenir Book"/>
        </w:rPr>
        <w:t xml:space="preserve"> (</w:t>
      </w:r>
      <w:r w:rsidR="002B350E" w:rsidRPr="00577A43">
        <w:t>Overall, acknowledging the shift in volunteerism and its impact on Tier 2 is pertinent. Volunteerism has decreased markedly in recent years, and the decline predates the advent of the NDIS. Declines also reflect a reduction in time and opportunity available for recreation and pleasure, social and community interaction. While recent patterns of volunteerism in disability service staff volunteerism evidence greater resilience in category specific volunteerism in comparison to broader volunteerism trends, the longstanding trend across the NFP sector suggests that maintaining adequate volunteer cohorts may be increasingly difficult given both economic and time pressures faced by volunteers. The resultant service shortages may necessitate funding for both a co-ordinated response and to ensure the viable provision of key Tier 2 supports.</w:t>
      </w:r>
      <w:r w:rsidR="002B350E">
        <w:t>)</w:t>
      </w:r>
    </w:p>
    <w:p w14:paraId="03272A8F" w14:textId="30BB45C7" w:rsidR="00531754" w:rsidRPr="002B350E" w:rsidRDefault="00531754" w:rsidP="002B350E">
      <w:pPr>
        <w:pStyle w:val="Heading2"/>
        <w:rPr>
          <w:rFonts w:ascii="Avenir Book" w:hAnsi="Avenir Book"/>
        </w:rPr>
      </w:pPr>
      <w:r w:rsidRPr="00531754">
        <w:rPr>
          <w:rFonts w:ascii="Avenir Book" w:hAnsi="Avenir Book"/>
        </w:rPr>
        <w:t> </w:t>
      </w:r>
      <w:bookmarkStart w:id="119" w:name="_Toc120268927"/>
      <w:bookmarkStart w:id="120" w:name="_Toc130942944"/>
      <w:r w:rsidRPr="00531754">
        <w:t>Permanent employment with not-for-profit organisations supporting the needs of individuals with disabilities</w:t>
      </w:r>
      <w:bookmarkEnd w:id="119"/>
      <w:bookmarkEnd w:id="120"/>
      <w:r w:rsidRPr="00531754">
        <w:t> </w:t>
      </w:r>
    </w:p>
    <w:p w14:paraId="10985172" w14:textId="230A5C7A" w:rsidR="00531754" w:rsidRPr="00531754" w:rsidRDefault="00531754" w:rsidP="00D13FDC">
      <w:r w:rsidRPr="00531754">
        <w:t xml:space="preserve">Employment levels within the NFP sector showed a decline during 2020, though this may be largely attributable to the COVID pandemic. It is assumed that employment levels will return to pre-pandemic levels. Notably the modest increase in category (disability) specific volunteerism, was more than offset by declines in category specific employment and casual employment suggesting that the sector remains in a </w:t>
      </w:r>
      <w:r w:rsidR="0092261B">
        <w:t>state</w:t>
      </w:r>
      <w:r w:rsidR="0092261B" w:rsidRPr="00531754">
        <w:t xml:space="preserve"> </w:t>
      </w:r>
      <w:r w:rsidRPr="00531754">
        <w:t>of recovery post</w:t>
      </w:r>
      <w:r w:rsidR="0092261B">
        <w:t>-</w:t>
      </w:r>
      <w:r w:rsidRPr="00531754">
        <w:t>pandemic.  </w:t>
      </w:r>
    </w:p>
    <w:p w14:paraId="4C31E7B3" w14:textId="1991767C" w:rsidR="00531754" w:rsidRPr="002B350E" w:rsidRDefault="00531754" w:rsidP="002B350E">
      <w:r w:rsidRPr="00531754">
        <w:lastRenderedPageBreak/>
        <w:t xml:space="preserve">Notably, it is difficult to ascertain the extent to which the employment losses pertain to Tier 2 supports, though it is </w:t>
      </w:r>
      <w:r w:rsidR="0092261B">
        <w:t>likely</w:t>
      </w:r>
      <w:r w:rsidRPr="00531754">
        <w:t xml:space="preserve"> a significant proportion</w:t>
      </w:r>
      <w:r w:rsidR="0092261B">
        <w:t xml:space="preserve">, </w:t>
      </w:r>
      <w:r w:rsidRPr="00531754">
        <w:t>given the underlying funding that is provided through the NDIS for Tier 3 supports. Consequently, there may be a service shortfall associated with Tier 2, unless sector providers employ gain</w:t>
      </w:r>
      <w:r w:rsidR="0092261B">
        <w:t>s</w:t>
      </w:r>
      <w:r w:rsidRPr="00531754">
        <w:t xml:space="preserve"> generated from Tier 3 </w:t>
      </w:r>
      <w:r w:rsidR="0092261B">
        <w:t>funding</w:t>
      </w:r>
      <w:r w:rsidR="0092261B" w:rsidRPr="00531754">
        <w:t xml:space="preserve"> </w:t>
      </w:r>
      <w:r w:rsidRPr="00531754">
        <w:t>to supply Tier 2 supports, or such supports are sufficiently funded by relevant state and federal agencies. A further analysis of funding sources and apportionment is a subsequent segment of the report.     </w:t>
      </w:r>
    </w:p>
    <w:p w14:paraId="31929C5D" w14:textId="77777777" w:rsidR="00531754" w:rsidRPr="00531754" w:rsidRDefault="00531754" w:rsidP="00DE3A9B">
      <w:pPr>
        <w:pStyle w:val="Heading2"/>
      </w:pPr>
      <w:bookmarkStart w:id="121" w:name="_Toc120268928"/>
      <w:bookmarkStart w:id="122" w:name="_Toc130942945"/>
      <w:r w:rsidRPr="00531754">
        <w:t>Casual employment with not-for-profit organisations supporting the needs of individuals with disabilities</w:t>
      </w:r>
      <w:bookmarkEnd w:id="121"/>
      <w:bookmarkEnd w:id="122"/>
      <w:r w:rsidRPr="00531754">
        <w:t> </w:t>
      </w:r>
    </w:p>
    <w:p w14:paraId="6085698F" w14:textId="555BB297" w:rsidR="00531754" w:rsidRPr="00531754" w:rsidRDefault="00531754" w:rsidP="00D13FDC">
      <w:r w:rsidRPr="00531754">
        <w:t xml:space="preserve">Trends in casual employment between 2019 and 2020 suggest a decline in employment, </w:t>
      </w:r>
      <w:r w:rsidR="0092261B">
        <w:t>al</w:t>
      </w:r>
      <w:r w:rsidRPr="00531754">
        <w:t xml:space="preserve">though further ACNC and ABS data </w:t>
      </w:r>
      <w:r w:rsidR="0092261B">
        <w:t xml:space="preserve">is </w:t>
      </w:r>
      <w:r w:rsidRPr="00531754">
        <w:t>needed to better understand whether the decline is transient or reflects a shift in sector employment that is more en</w:t>
      </w:r>
      <w:r w:rsidR="0092261B">
        <w:t>d</w:t>
      </w:r>
      <w:r w:rsidRPr="00531754">
        <w:t>uring.   </w:t>
      </w:r>
    </w:p>
    <w:p w14:paraId="2E8C6F1A" w14:textId="3D5D05D7" w:rsidR="00531754" w:rsidRPr="002B350E" w:rsidRDefault="00531754" w:rsidP="002B350E">
      <w:r w:rsidRPr="00531754">
        <w:t>Temporary sector specific employment decreased markedly between 2019 and 2020 based on analysis of ACNC data, reflecting similar declines across the entire NFP sector. The total number of casual staff has fallen by 6.27</w:t>
      </w:r>
      <w:r w:rsidR="00670A45">
        <w:t xml:space="preserve"> per cent</w:t>
      </w:r>
      <w:r w:rsidRPr="00531754">
        <w:t xml:space="preserve"> since 2020. These casual employees play a critical role in the provision of Tier 2 and Tier 3 supports, and it is </w:t>
      </w:r>
      <w:r w:rsidR="0092261B">
        <w:t>likely</w:t>
      </w:r>
      <w:r w:rsidRPr="00531754">
        <w:t xml:space="preserve"> that these declines have resulted in lower levels of support for many.  </w:t>
      </w:r>
    </w:p>
    <w:p w14:paraId="5C8F1714" w14:textId="77777777" w:rsidR="00531754" w:rsidRPr="00531754" w:rsidRDefault="00531754" w:rsidP="00B316DE">
      <w:pPr>
        <w:pStyle w:val="Heading3"/>
      </w:pPr>
      <w:bookmarkStart w:id="123" w:name="_Toc120268929"/>
      <w:bookmarkStart w:id="124" w:name="_Toc130942946"/>
      <w:r w:rsidRPr="00531754">
        <w:t>Patterns in informal volunteering within the community</w:t>
      </w:r>
      <w:bookmarkEnd w:id="123"/>
      <w:bookmarkEnd w:id="124"/>
      <w:r w:rsidRPr="00531754">
        <w:t>  </w:t>
      </w:r>
    </w:p>
    <w:p w14:paraId="2CA4CD15" w14:textId="7A07D173" w:rsidR="005345A6" w:rsidRPr="002B350E" w:rsidRDefault="00531754" w:rsidP="002B350E">
      <w:r w:rsidRPr="00531754">
        <w:t>Examining patterns of behaviour associated with informal volunteering is instructive because informal volunteering supplements or potentially seeks to respond to a dearth in paid or formal volunteer procured services. Informal volunteering for non-familial associates is a significant activity for many Australians. Notably informal volunteering patterns have changed markedly in recent years. Prior to the COVID pandemic there was an apparent decline in informal volunteering to non-familiar associates. However, this has changed somewhat in recent years. </w:t>
      </w:r>
    </w:p>
    <w:p w14:paraId="3C80AC14" w14:textId="7EDAD831" w:rsidR="00531754" w:rsidRPr="0077289A" w:rsidRDefault="00531754" w:rsidP="0077289A">
      <w:pPr>
        <w:rPr>
          <w:b/>
          <w:bCs/>
        </w:rPr>
      </w:pPr>
      <w:r w:rsidRPr="0077289A">
        <w:rPr>
          <w:b/>
          <w:bCs/>
        </w:rPr>
        <w:t>Figure 1</w:t>
      </w:r>
      <w:r w:rsidR="0092261B" w:rsidRPr="0077289A">
        <w:rPr>
          <w:b/>
          <w:bCs/>
        </w:rPr>
        <w:t>5</w:t>
      </w:r>
    </w:p>
    <w:p w14:paraId="6B9B5D5C" w14:textId="77777777" w:rsidR="0092261B" w:rsidRPr="0077289A" w:rsidRDefault="00531754" w:rsidP="0077289A">
      <w:pPr>
        <w:rPr>
          <w:b/>
          <w:bCs/>
        </w:rPr>
      </w:pPr>
      <w:r w:rsidRPr="0077289A">
        <w:rPr>
          <w:b/>
          <w:bCs/>
        </w:rPr>
        <w:t xml:space="preserve">Proportion of people aged 15+ engaging in some voluntary work </w:t>
      </w:r>
    </w:p>
    <w:p w14:paraId="1DB2A27E" w14:textId="0EA242B5" w:rsidR="00531754" w:rsidRPr="00DE3797" w:rsidRDefault="00531754" w:rsidP="00DE3797">
      <w:pPr>
        <w:rPr>
          <w:b/>
          <w:bCs/>
        </w:rPr>
      </w:pPr>
      <w:r w:rsidRPr="0077289A">
        <w:rPr>
          <w:b/>
          <w:bCs/>
        </w:rPr>
        <w:t>(formal or informal) in the last 12 months (2019)</w:t>
      </w:r>
    </w:p>
    <w:tbl>
      <w:tblPr>
        <w:tblStyle w:val="TableGrid"/>
        <w:tblW w:w="0" w:type="auto"/>
        <w:tblLook w:val="04A0" w:firstRow="1" w:lastRow="0" w:firstColumn="1" w:lastColumn="0" w:noHBand="0" w:noVBand="1"/>
        <w:tblCaption w:val="Proportion of people aged 15+ engaging in some voluntary work "/>
      </w:tblPr>
      <w:tblGrid>
        <w:gridCol w:w="921"/>
        <w:gridCol w:w="1420"/>
        <w:gridCol w:w="1571"/>
        <w:gridCol w:w="1659"/>
        <w:gridCol w:w="1229"/>
        <w:gridCol w:w="1415"/>
        <w:gridCol w:w="1515"/>
      </w:tblGrid>
      <w:tr w:rsidR="005D2BB9" w:rsidRPr="001B27DA" w14:paraId="745BA8CE" w14:textId="6C8E69FD" w:rsidTr="00DA02D5">
        <w:tc>
          <w:tcPr>
            <w:tcW w:w="0" w:type="auto"/>
          </w:tcPr>
          <w:p w14:paraId="476477FB" w14:textId="77777777" w:rsidR="001B27DA" w:rsidRPr="001B27DA" w:rsidRDefault="001B27DA" w:rsidP="004C62E0">
            <w:pPr>
              <w:rPr>
                <w:b/>
                <w:bCs/>
                <w:sz w:val="20"/>
                <w:szCs w:val="20"/>
              </w:rPr>
            </w:pPr>
            <w:r w:rsidRPr="001B27DA">
              <w:rPr>
                <w:b/>
                <w:bCs/>
                <w:sz w:val="20"/>
                <w:szCs w:val="20"/>
              </w:rPr>
              <w:lastRenderedPageBreak/>
              <w:t>Age</w:t>
            </w:r>
          </w:p>
        </w:tc>
        <w:tc>
          <w:tcPr>
            <w:tcW w:w="0" w:type="auto"/>
          </w:tcPr>
          <w:p w14:paraId="3FD39223" w14:textId="3AFAD8E1" w:rsidR="001B27DA" w:rsidRPr="001B27DA" w:rsidRDefault="001B27DA" w:rsidP="004C62E0">
            <w:pPr>
              <w:rPr>
                <w:b/>
                <w:bCs/>
                <w:sz w:val="20"/>
                <w:szCs w:val="20"/>
              </w:rPr>
            </w:pPr>
            <w:r w:rsidRPr="001B27DA">
              <w:rPr>
                <w:b/>
                <w:bCs/>
                <w:sz w:val="20"/>
                <w:szCs w:val="20"/>
              </w:rPr>
              <w:t>Male 12 months</w:t>
            </w:r>
          </w:p>
        </w:tc>
        <w:tc>
          <w:tcPr>
            <w:tcW w:w="0" w:type="auto"/>
          </w:tcPr>
          <w:p w14:paraId="07B94FA3" w14:textId="31C9FE6A" w:rsidR="001B27DA" w:rsidRPr="001B27DA" w:rsidRDefault="001B27DA" w:rsidP="004C62E0">
            <w:pPr>
              <w:rPr>
                <w:b/>
                <w:bCs/>
                <w:sz w:val="20"/>
                <w:szCs w:val="20"/>
              </w:rPr>
            </w:pPr>
            <w:r w:rsidRPr="001B27DA">
              <w:rPr>
                <w:b/>
                <w:bCs/>
                <w:sz w:val="20"/>
                <w:szCs w:val="20"/>
              </w:rPr>
              <w:t>Female 12 months</w:t>
            </w:r>
          </w:p>
        </w:tc>
        <w:tc>
          <w:tcPr>
            <w:tcW w:w="0" w:type="auto"/>
          </w:tcPr>
          <w:p w14:paraId="163998F5" w14:textId="0DC3512E" w:rsidR="001B27DA" w:rsidRPr="001B27DA" w:rsidRDefault="001B27DA" w:rsidP="004C62E0">
            <w:pPr>
              <w:rPr>
                <w:b/>
                <w:bCs/>
                <w:sz w:val="20"/>
                <w:szCs w:val="20"/>
              </w:rPr>
            </w:pPr>
            <w:r w:rsidRPr="001B27DA">
              <w:rPr>
                <w:b/>
                <w:bCs/>
                <w:sz w:val="20"/>
                <w:szCs w:val="20"/>
              </w:rPr>
              <w:t>Persons 12 months</w:t>
            </w:r>
          </w:p>
        </w:tc>
        <w:tc>
          <w:tcPr>
            <w:tcW w:w="0" w:type="auto"/>
          </w:tcPr>
          <w:p w14:paraId="620CB9DD" w14:textId="5F47D1BA" w:rsidR="001B27DA" w:rsidRPr="001B27DA" w:rsidRDefault="005D2BB9" w:rsidP="004C62E0">
            <w:pPr>
              <w:rPr>
                <w:b/>
                <w:bCs/>
                <w:sz w:val="20"/>
                <w:szCs w:val="20"/>
              </w:rPr>
            </w:pPr>
            <w:r>
              <w:rPr>
                <w:b/>
                <w:bCs/>
                <w:sz w:val="20"/>
                <w:szCs w:val="20"/>
              </w:rPr>
              <w:t>Male 4 weeks</w:t>
            </w:r>
          </w:p>
        </w:tc>
        <w:tc>
          <w:tcPr>
            <w:tcW w:w="0" w:type="auto"/>
          </w:tcPr>
          <w:p w14:paraId="34A9DDA3" w14:textId="6DF27EF5" w:rsidR="001B27DA" w:rsidRPr="001B27DA" w:rsidRDefault="005D2BB9" w:rsidP="004C62E0">
            <w:pPr>
              <w:rPr>
                <w:b/>
                <w:bCs/>
                <w:sz w:val="20"/>
                <w:szCs w:val="20"/>
              </w:rPr>
            </w:pPr>
            <w:r>
              <w:rPr>
                <w:b/>
                <w:bCs/>
                <w:sz w:val="20"/>
                <w:szCs w:val="20"/>
              </w:rPr>
              <w:t>Female 4 weeks</w:t>
            </w:r>
          </w:p>
        </w:tc>
        <w:tc>
          <w:tcPr>
            <w:tcW w:w="0" w:type="auto"/>
          </w:tcPr>
          <w:p w14:paraId="2E8511F6" w14:textId="442BA273" w:rsidR="001B27DA" w:rsidRPr="001B27DA" w:rsidRDefault="005D2BB9" w:rsidP="004C62E0">
            <w:pPr>
              <w:rPr>
                <w:b/>
                <w:bCs/>
                <w:sz w:val="20"/>
                <w:szCs w:val="20"/>
              </w:rPr>
            </w:pPr>
            <w:r>
              <w:rPr>
                <w:b/>
                <w:bCs/>
                <w:sz w:val="20"/>
                <w:szCs w:val="20"/>
              </w:rPr>
              <w:t>Persons 4 weeks</w:t>
            </w:r>
          </w:p>
        </w:tc>
      </w:tr>
      <w:tr w:rsidR="005D2BB9" w:rsidRPr="001B27DA" w14:paraId="58E6E11B" w14:textId="6F1680C3" w:rsidTr="00DA02D5">
        <w:tc>
          <w:tcPr>
            <w:tcW w:w="0" w:type="auto"/>
          </w:tcPr>
          <w:p w14:paraId="7B67D1C1" w14:textId="77777777" w:rsidR="001B27DA" w:rsidRPr="001B27DA" w:rsidRDefault="001B27DA" w:rsidP="004C62E0">
            <w:pPr>
              <w:rPr>
                <w:sz w:val="20"/>
                <w:szCs w:val="20"/>
              </w:rPr>
            </w:pPr>
            <w:r w:rsidRPr="001B27DA">
              <w:rPr>
                <w:sz w:val="20"/>
                <w:szCs w:val="20"/>
              </w:rPr>
              <w:t>70 or over</w:t>
            </w:r>
          </w:p>
        </w:tc>
        <w:tc>
          <w:tcPr>
            <w:tcW w:w="0" w:type="auto"/>
          </w:tcPr>
          <w:p w14:paraId="38396D76" w14:textId="2E90EFD2" w:rsidR="001B27DA" w:rsidRPr="001B27DA" w:rsidRDefault="00395F67" w:rsidP="004C62E0">
            <w:pPr>
              <w:rPr>
                <w:sz w:val="20"/>
                <w:szCs w:val="20"/>
              </w:rPr>
            </w:pPr>
            <w:r>
              <w:rPr>
                <w:sz w:val="20"/>
                <w:szCs w:val="20"/>
              </w:rPr>
              <w:t>23.3</w:t>
            </w:r>
          </w:p>
        </w:tc>
        <w:tc>
          <w:tcPr>
            <w:tcW w:w="0" w:type="auto"/>
          </w:tcPr>
          <w:p w14:paraId="6BAFA7A4" w14:textId="1C615F13" w:rsidR="001B27DA" w:rsidRPr="001B27DA" w:rsidRDefault="00081F78" w:rsidP="004C62E0">
            <w:pPr>
              <w:rPr>
                <w:sz w:val="20"/>
                <w:szCs w:val="20"/>
              </w:rPr>
            </w:pPr>
            <w:r>
              <w:rPr>
                <w:sz w:val="20"/>
                <w:szCs w:val="20"/>
              </w:rPr>
              <w:t>25.6</w:t>
            </w:r>
          </w:p>
        </w:tc>
        <w:tc>
          <w:tcPr>
            <w:tcW w:w="0" w:type="auto"/>
          </w:tcPr>
          <w:p w14:paraId="3AA115EC" w14:textId="095D5F23" w:rsidR="001B27DA" w:rsidRPr="001B27DA" w:rsidRDefault="003054F5" w:rsidP="004C62E0">
            <w:pPr>
              <w:rPr>
                <w:sz w:val="20"/>
                <w:szCs w:val="20"/>
              </w:rPr>
            </w:pPr>
            <w:r>
              <w:rPr>
                <w:sz w:val="20"/>
                <w:szCs w:val="20"/>
              </w:rPr>
              <w:t>24.5</w:t>
            </w:r>
          </w:p>
        </w:tc>
        <w:tc>
          <w:tcPr>
            <w:tcW w:w="0" w:type="auto"/>
          </w:tcPr>
          <w:p w14:paraId="33B6ED8A" w14:textId="36E9E7DC" w:rsidR="001B27DA" w:rsidRPr="001B27DA" w:rsidRDefault="00AF78A6" w:rsidP="004C62E0">
            <w:pPr>
              <w:rPr>
                <w:sz w:val="20"/>
                <w:szCs w:val="20"/>
              </w:rPr>
            </w:pPr>
            <w:r>
              <w:rPr>
                <w:sz w:val="20"/>
                <w:szCs w:val="20"/>
              </w:rPr>
              <w:t>27.1</w:t>
            </w:r>
          </w:p>
        </w:tc>
        <w:tc>
          <w:tcPr>
            <w:tcW w:w="0" w:type="auto"/>
          </w:tcPr>
          <w:p w14:paraId="3B2FA4E8" w14:textId="31B46354" w:rsidR="001B27DA" w:rsidRPr="001B27DA" w:rsidRDefault="001A3669" w:rsidP="004C62E0">
            <w:pPr>
              <w:rPr>
                <w:sz w:val="20"/>
                <w:szCs w:val="20"/>
              </w:rPr>
            </w:pPr>
            <w:r>
              <w:rPr>
                <w:sz w:val="20"/>
                <w:szCs w:val="20"/>
              </w:rPr>
              <w:t>28</w:t>
            </w:r>
          </w:p>
        </w:tc>
        <w:tc>
          <w:tcPr>
            <w:tcW w:w="0" w:type="auto"/>
          </w:tcPr>
          <w:p w14:paraId="4D569899" w14:textId="19DE11DD" w:rsidR="001B27DA" w:rsidRPr="001B27DA" w:rsidRDefault="00DA02D5" w:rsidP="004C62E0">
            <w:pPr>
              <w:rPr>
                <w:sz w:val="20"/>
                <w:szCs w:val="20"/>
              </w:rPr>
            </w:pPr>
            <w:r>
              <w:rPr>
                <w:sz w:val="20"/>
                <w:szCs w:val="20"/>
              </w:rPr>
              <w:t>26.9</w:t>
            </w:r>
          </w:p>
        </w:tc>
      </w:tr>
      <w:tr w:rsidR="005D2BB9" w:rsidRPr="001B27DA" w14:paraId="1692DEF9" w14:textId="69F99CCC" w:rsidTr="00DA02D5">
        <w:tc>
          <w:tcPr>
            <w:tcW w:w="0" w:type="auto"/>
          </w:tcPr>
          <w:p w14:paraId="2C56BCB9" w14:textId="77777777" w:rsidR="001B27DA" w:rsidRPr="001B27DA" w:rsidRDefault="001B27DA" w:rsidP="004C62E0">
            <w:pPr>
              <w:rPr>
                <w:sz w:val="20"/>
                <w:szCs w:val="20"/>
              </w:rPr>
            </w:pPr>
            <w:r w:rsidRPr="001B27DA">
              <w:rPr>
                <w:sz w:val="20"/>
                <w:szCs w:val="20"/>
              </w:rPr>
              <w:t>55 to 69</w:t>
            </w:r>
          </w:p>
        </w:tc>
        <w:tc>
          <w:tcPr>
            <w:tcW w:w="0" w:type="auto"/>
          </w:tcPr>
          <w:p w14:paraId="149D150F" w14:textId="5FBC9D8E" w:rsidR="001B27DA" w:rsidRPr="001B27DA" w:rsidRDefault="00395F67" w:rsidP="004C62E0">
            <w:pPr>
              <w:rPr>
                <w:sz w:val="20"/>
                <w:szCs w:val="20"/>
              </w:rPr>
            </w:pPr>
            <w:r>
              <w:rPr>
                <w:sz w:val="20"/>
                <w:szCs w:val="20"/>
              </w:rPr>
              <w:t>31.5</w:t>
            </w:r>
          </w:p>
        </w:tc>
        <w:tc>
          <w:tcPr>
            <w:tcW w:w="0" w:type="auto"/>
          </w:tcPr>
          <w:p w14:paraId="5ADC4159" w14:textId="4409C3A1" w:rsidR="001B27DA" w:rsidRPr="001B27DA" w:rsidRDefault="00081F78" w:rsidP="004C62E0">
            <w:pPr>
              <w:rPr>
                <w:sz w:val="20"/>
                <w:szCs w:val="20"/>
              </w:rPr>
            </w:pPr>
            <w:r>
              <w:rPr>
                <w:sz w:val="20"/>
                <w:szCs w:val="20"/>
              </w:rPr>
              <w:t>27.7</w:t>
            </w:r>
          </w:p>
        </w:tc>
        <w:tc>
          <w:tcPr>
            <w:tcW w:w="0" w:type="auto"/>
          </w:tcPr>
          <w:p w14:paraId="0445C71F" w14:textId="43767BCD" w:rsidR="001B27DA" w:rsidRPr="001B27DA" w:rsidRDefault="003054F5" w:rsidP="004C62E0">
            <w:pPr>
              <w:rPr>
                <w:sz w:val="20"/>
                <w:szCs w:val="20"/>
              </w:rPr>
            </w:pPr>
            <w:r>
              <w:rPr>
                <w:sz w:val="20"/>
                <w:szCs w:val="20"/>
              </w:rPr>
              <w:t>29</w:t>
            </w:r>
          </w:p>
        </w:tc>
        <w:tc>
          <w:tcPr>
            <w:tcW w:w="0" w:type="auto"/>
          </w:tcPr>
          <w:p w14:paraId="71759B81" w14:textId="6F1D0F51" w:rsidR="001B27DA" w:rsidRPr="001B27DA" w:rsidRDefault="00A20AB8" w:rsidP="004C62E0">
            <w:pPr>
              <w:rPr>
                <w:sz w:val="20"/>
                <w:szCs w:val="20"/>
              </w:rPr>
            </w:pPr>
            <w:r>
              <w:rPr>
                <w:sz w:val="20"/>
                <w:szCs w:val="20"/>
              </w:rPr>
              <w:t>25.7</w:t>
            </w:r>
          </w:p>
        </w:tc>
        <w:tc>
          <w:tcPr>
            <w:tcW w:w="0" w:type="auto"/>
          </w:tcPr>
          <w:p w14:paraId="5A292EFA" w14:textId="47C37353" w:rsidR="001B27DA" w:rsidRPr="001B27DA" w:rsidRDefault="001A3669" w:rsidP="004C62E0">
            <w:pPr>
              <w:rPr>
                <w:sz w:val="20"/>
                <w:szCs w:val="20"/>
              </w:rPr>
            </w:pPr>
            <w:r>
              <w:rPr>
                <w:sz w:val="20"/>
                <w:szCs w:val="20"/>
              </w:rPr>
              <w:t>28.6</w:t>
            </w:r>
          </w:p>
        </w:tc>
        <w:tc>
          <w:tcPr>
            <w:tcW w:w="0" w:type="auto"/>
          </w:tcPr>
          <w:p w14:paraId="2801274F" w14:textId="73B17FEA" w:rsidR="001B27DA" w:rsidRPr="001B27DA" w:rsidRDefault="00DA02D5" w:rsidP="004C62E0">
            <w:pPr>
              <w:rPr>
                <w:sz w:val="20"/>
                <w:szCs w:val="20"/>
              </w:rPr>
            </w:pPr>
            <w:r>
              <w:rPr>
                <w:sz w:val="20"/>
                <w:szCs w:val="20"/>
              </w:rPr>
              <w:t>27.3</w:t>
            </w:r>
          </w:p>
        </w:tc>
      </w:tr>
      <w:tr w:rsidR="005D2BB9" w:rsidRPr="001B27DA" w14:paraId="357F1F68" w14:textId="3E4DC4EA" w:rsidTr="00DA02D5">
        <w:tc>
          <w:tcPr>
            <w:tcW w:w="0" w:type="auto"/>
          </w:tcPr>
          <w:p w14:paraId="1B80C12A" w14:textId="77777777" w:rsidR="001B27DA" w:rsidRPr="001B27DA" w:rsidRDefault="001B27DA" w:rsidP="004C62E0">
            <w:pPr>
              <w:rPr>
                <w:sz w:val="20"/>
                <w:szCs w:val="20"/>
              </w:rPr>
            </w:pPr>
            <w:r w:rsidRPr="001B27DA">
              <w:rPr>
                <w:sz w:val="20"/>
                <w:szCs w:val="20"/>
              </w:rPr>
              <w:t>40 – 54</w:t>
            </w:r>
          </w:p>
        </w:tc>
        <w:tc>
          <w:tcPr>
            <w:tcW w:w="0" w:type="auto"/>
          </w:tcPr>
          <w:p w14:paraId="72E884F1" w14:textId="561EB479" w:rsidR="001B27DA" w:rsidRPr="001B27DA" w:rsidRDefault="00395F67" w:rsidP="004C62E0">
            <w:pPr>
              <w:rPr>
                <w:sz w:val="20"/>
                <w:szCs w:val="20"/>
              </w:rPr>
            </w:pPr>
            <w:r>
              <w:rPr>
                <w:sz w:val="20"/>
                <w:szCs w:val="20"/>
              </w:rPr>
              <w:t>36.8</w:t>
            </w:r>
          </w:p>
        </w:tc>
        <w:tc>
          <w:tcPr>
            <w:tcW w:w="0" w:type="auto"/>
          </w:tcPr>
          <w:p w14:paraId="5858197F" w14:textId="46A1ACBA" w:rsidR="001B27DA" w:rsidRPr="001B27DA" w:rsidRDefault="003054F5" w:rsidP="004C62E0">
            <w:pPr>
              <w:rPr>
                <w:sz w:val="20"/>
                <w:szCs w:val="20"/>
              </w:rPr>
            </w:pPr>
            <w:r>
              <w:rPr>
                <w:sz w:val="20"/>
                <w:szCs w:val="20"/>
              </w:rPr>
              <w:t>36.4</w:t>
            </w:r>
          </w:p>
        </w:tc>
        <w:tc>
          <w:tcPr>
            <w:tcW w:w="0" w:type="auto"/>
          </w:tcPr>
          <w:p w14:paraId="54D9E675" w14:textId="2008CD91" w:rsidR="001B27DA" w:rsidRPr="001B27DA" w:rsidRDefault="00DE3797" w:rsidP="004C62E0">
            <w:pPr>
              <w:rPr>
                <w:sz w:val="20"/>
                <w:szCs w:val="20"/>
              </w:rPr>
            </w:pPr>
            <w:r>
              <w:rPr>
                <w:sz w:val="20"/>
                <w:szCs w:val="20"/>
              </w:rPr>
              <w:t>32.6</w:t>
            </w:r>
          </w:p>
        </w:tc>
        <w:tc>
          <w:tcPr>
            <w:tcW w:w="0" w:type="auto"/>
          </w:tcPr>
          <w:p w14:paraId="64A714C5" w14:textId="3547B349" w:rsidR="001B27DA" w:rsidRPr="001B27DA" w:rsidRDefault="00A20AB8" w:rsidP="004C62E0">
            <w:pPr>
              <w:rPr>
                <w:sz w:val="20"/>
                <w:szCs w:val="20"/>
              </w:rPr>
            </w:pPr>
            <w:r>
              <w:rPr>
                <w:sz w:val="20"/>
                <w:szCs w:val="20"/>
              </w:rPr>
              <w:t>33.9</w:t>
            </w:r>
          </w:p>
        </w:tc>
        <w:tc>
          <w:tcPr>
            <w:tcW w:w="0" w:type="auto"/>
          </w:tcPr>
          <w:p w14:paraId="150BD4DE" w14:textId="4F97B2D9" w:rsidR="001B27DA" w:rsidRPr="001B27DA" w:rsidRDefault="001A3669" w:rsidP="004C62E0">
            <w:pPr>
              <w:rPr>
                <w:sz w:val="20"/>
                <w:szCs w:val="20"/>
              </w:rPr>
            </w:pPr>
            <w:r>
              <w:rPr>
                <w:sz w:val="20"/>
                <w:szCs w:val="20"/>
              </w:rPr>
              <w:t>33.9</w:t>
            </w:r>
          </w:p>
        </w:tc>
        <w:tc>
          <w:tcPr>
            <w:tcW w:w="0" w:type="auto"/>
          </w:tcPr>
          <w:p w14:paraId="488817CE" w14:textId="3C5F7956" w:rsidR="001B27DA" w:rsidRPr="001B27DA" w:rsidRDefault="00DA02D5" w:rsidP="004C62E0">
            <w:pPr>
              <w:rPr>
                <w:sz w:val="20"/>
                <w:szCs w:val="20"/>
              </w:rPr>
            </w:pPr>
            <w:r>
              <w:rPr>
                <w:sz w:val="20"/>
                <w:szCs w:val="20"/>
              </w:rPr>
              <w:t>34</w:t>
            </w:r>
          </w:p>
        </w:tc>
      </w:tr>
      <w:tr w:rsidR="005D2BB9" w:rsidRPr="001B27DA" w14:paraId="26D96421" w14:textId="7BC4EAC6" w:rsidTr="00DA02D5">
        <w:tc>
          <w:tcPr>
            <w:tcW w:w="0" w:type="auto"/>
          </w:tcPr>
          <w:p w14:paraId="68E4A6A1" w14:textId="77777777" w:rsidR="001B27DA" w:rsidRPr="001B27DA" w:rsidRDefault="001B27DA" w:rsidP="004C62E0">
            <w:pPr>
              <w:rPr>
                <w:sz w:val="20"/>
                <w:szCs w:val="20"/>
              </w:rPr>
            </w:pPr>
            <w:r w:rsidRPr="001B27DA">
              <w:rPr>
                <w:sz w:val="20"/>
                <w:szCs w:val="20"/>
              </w:rPr>
              <w:t>25 – 39</w:t>
            </w:r>
          </w:p>
        </w:tc>
        <w:tc>
          <w:tcPr>
            <w:tcW w:w="0" w:type="auto"/>
          </w:tcPr>
          <w:p w14:paraId="1161A2D8" w14:textId="7C16E4FA" w:rsidR="001B27DA" w:rsidRPr="001B27DA" w:rsidRDefault="00395F67" w:rsidP="004C62E0">
            <w:pPr>
              <w:rPr>
                <w:sz w:val="20"/>
                <w:szCs w:val="20"/>
              </w:rPr>
            </w:pPr>
            <w:r>
              <w:rPr>
                <w:sz w:val="20"/>
                <w:szCs w:val="20"/>
              </w:rPr>
              <w:t>27.6</w:t>
            </w:r>
          </w:p>
        </w:tc>
        <w:tc>
          <w:tcPr>
            <w:tcW w:w="0" w:type="auto"/>
          </w:tcPr>
          <w:p w14:paraId="5246E42E" w14:textId="191F5D4A" w:rsidR="001B27DA" w:rsidRPr="001B27DA" w:rsidRDefault="003054F5" w:rsidP="004C62E0">
            <w:pPr>
              <w:rPr>
                <w:sz w:val="20"/>
                <w:szCs w:val="20"/>
              </w:rPr>
            </w:pPr>
            <w:r>
              <w:rPr>
                <w:sz w:val="20"/>
                <w:szCs w:val="20"/>
              </w:rPr>
              <w:t>23.7</w:t>
            </w:r>
          </w:p>
        </w:tc>
        <w:tc>
          <w:tcPr>
            <w:tcW w:w="0" w:type="auto"/>
          </w:tcPr>
          <w:p w14:paraId="466BE1FC" w14:textId="39AD1975" w:rsidR="001B27DA" w:rsidRPr="001B27DA" w:rsidRDefault="00DE3797" w:rsidP="004C62E0">
            <w:pPr>
              <w:rPr>
                <w:sz w:val="20"/>
                <w:szCs w:val="20"/>
              </w:rPr>
            </w:pPr>
            <w:r>
              <w:rPr>
                <w:sz w:val="20"/>
                <w:szCs w:val="20"/>
              </w:rPr>
              <w:t>25.7</w:t>
            </w:r>
          </w:p>
        </w:tc>
        <w:tc>
          <w:tcPr>
            <w:tcW w:w="0" w:type="auto"/>
          </w:tcPr>
          <w:p w14:paraId="5B324361" w14:textId="62A765C3" w:rsidR="001B27DA" w:rsidRPr="001B27DA" w:rsidRDefault="001A3669" w:rsidP="004C62E0">
            <w:pPr>
              <w:rPr>
                <w:sz w:val="20"/>
                <w:szCs w:val="20"/>
              </w:rPr>
            </w:pPr>
            <w:r>
              <w:rPr>
                <w:sz w:val="20"/>
                <w:szCs w:val="20"/>
              </w:rPr>
              <w:t>37.1</w:t>
            </w:r>
          </w:p>
        </w:tc>
        <w:tc>
          <w:tcPr>
            <w:tcW w:w="0" w:type="auto"/>
          </w:tcPr>
          <w:p w14:paraId="7EEBF257" w14:textId="70FAB26F" w:rsidR="001B27DA" w:rsidRPr="001B27DA" w:rsidRDefault="00DA02D5" w:rsidP="004C62E0">
            <w:pPr>
              <w:rPr>
                <w:sz w:val="20"/>
                <w:szCs w:val="20"/>
              </w:rPr>
            </w:pPr>
            <w:r>
              <w:rPr>
                <w:sz w:val="20"/>
                <w:szCs w:val="20"/>
              </w:rPr>
              <w:t>37.1</w:t>
            </w:r>
          </w:p>
        </w:tc>
        <w:tc>
          <w:tcPr>
            <w:tcW w:w="0" w:type="auto"/>
          </w:tcPr>
          <w:p w14:paraId="4C6FB82C" w14:textId="1ED53E75" w:rsidR="001B27DA" w:rsidRPr="001B27DA" w:rsidRDefault="00DA02D5" w:rsidP="004C62E0">
            <w:pPr>
              <w:rPr>
                <w:sz w:val="20"/>
                <w:szCs w:val="20"/>
              </w:rPr>
            </w:pPr>
            <w:r>
              <w:rPr>
                <w:sz w:val="20"/>
                <w:szCs w:val="20"/>
              </w:rPr>
              <w:t>38.8</w:t>
            </w:r>
          </w:p>
        </w:tc>
      </w:tr>
      <w:tr w:rsidR="005D2BB9" w:rsidRPr="001B27DA" w14:paraId="2B8BD044" w14:textId="5AA49753" w:rsidTr="00DA02D5">
        <w:tc>
          <w:tcPr>
            <w:tcW w:w="0" w:type="auto"/>
          </w:tcPr>
          <w:p w14:paraId="7CE30034" w14:textId="77777777" w:rsidR="001B27DA" w:rsidRPr="001B27DA" w:rsidRDefault="001B27DA" w:rsidP="004C62E0">
            <w:pPr>
              <w:rPr>
                <w:sz w:val="20"/>
                <w:szCs w:val="20"/>
              </w:rPr>
            </w:pPr>
            <w:r w:rsidRPr="001B27DA">
              <w:rPr>
                <w:sz w:val="20"/>
                <w:szCs w:val="20"/>
              </w:rPr>
              <w:t>15 - 24</w:t>
            </w:r>
          </w:p>
        </w:tc>
        <w:tc>
          <w:tcPr>
            <w:tcW w:w="0" w:type="auto"/>
          </w:tcPr>
          <w:p w14:paraId="166071DB" w14:textId="26636D04" w:rsidR="001B27DA" w:rsidRPr="001B27DA" w:rsidRDefault="00395F67" w:rsidP="004C62E0">
            <w:pPr>
              <w:rPr>
                <w:sz w:val="20"/>
                <w:szCs w:val="20"/>
              </w:rPr>
            </w:pPr>
            <w:r>
              <w:rPr>
                <w:sz w:val="20"/>
                <w:szCs w:val="20"/>
              </w:rPr>
              <w:t>34.2</w:t>
            </w:r>
          </w:p>
        </w:tc>
        <w:tc>
          <w:tcPr>
            <w:tcW w:w="0" w:type="auto"/>
          </w:tcPr>
          <w:p w14:paraId="6656DCAF" w14:textId="4C67764A" w:rsidR="001B27DA" w:rsidRPr="001B27DA" w:rsidRDefault="003054F5" w:rsidP="004C62E0">
            <w:pPr>
              <w:rPr>
                <w:sz w:val="20"/>
                <w:szCs w:val="20"/>
              </w:rPr>
            </w:pPr>
            <w:r>
              <w:rPr>
                <w:sz w:val="20"/>
                <w:szCs w:val="20"/>
              </w:rPr>
              <w:t>30.1</w:t>
            </w:r>
          </w:p>
        </w:tc>
        <w:tc>
          <w:tcPr>
            <w:tcW w:w="0" w:type="auto"/>
          </w:tcPr>
          <w:p w14:paraId="234995DC" w14:textId="4DF6BA7A" w:rsidR="001B27DA" w:rsidRPr="001B27DA" w:rsidRDefault="00DE3797" w:rsidP="004C62E0">
            <w:pPr>
              <w:rPr>
                <w:sz w:val="20"/>
                <w:szCs w:val="20"/>
              </w:rPr>
            </w:pPr>
            <w:r>
              <w:rPr>
                <w:sz w:val="20"/>
                <w:szCs w:val="20"/>
              </w:rPr>
              <w:t>28.8</w:t>
            </w:r>
          </w:p>
        </w:tc>
        <w:tc>
          <w:tcPr>
            <w:tcW w:w="0" w:type="auto"/>
          </w:tcPr>
          <w:p w14:paraId="6EEFAE94" w14:textId="210EB9DF" w:rsidR="001B27DA" w:rsidRPr="001B27DA" w:rsidRDefault="001A3669" w:rsidP="004C62E0">
            <w:pPr>
              <w:rPr>
                <w:sz w:val="20"/>
                <w:szCs w:val="20"/>
              </w:rPr>
            </w:pPr>
            <w:r>
              <w:rPr>
                <w:sz w:val="20"/>
                <w:szCs w:val="20"/>
              </w:rPr>
              <w:t>39</w:t>
            </w:r>
          </w:p>
        </w:tc>
        <w:tc>
          <w:tcPr>
            <w:tcW w:w="0" w:type="auto"/>
          </w:tcPr>
          <w:p w14:paraId="4E0501C0" w14:textId="71A9BA60" w:rsidR="001B27DA" w:rsidRPr="001B27DA" w:rsidRDefault="00DA02D5" w:rsidP="004C62E0">
            <w:pPr>
              <w:rPr>
                <w:sz w:val="20"/>
                <w:szCs w:val="20"/>
              </w:rPr>
            </w:pPr>
            <w:r>
              <w:rPr>
                <w:sz w:val="20"/>
                <w:szCs w:val="20"/>
              </w:rPr>
              <w:t>39</w:t>
            </w:r>
          </w:p>
        </w:tc>
        <w:tc>
          <w:tcPr>
            <w:tcW w:w="0" w:type="auto"/>
          </w:tcPr>
          <w:p w14:paraId="774E321A" w14:textId="4C1F9B5D" w:rsidR="001B27DA" w:rsidRPr="001B27DA" w:rsidRDefault="00DA02D5" w:rsidP="004C62E0">
            <w:pPr>
              <w:rPr>
                <w:sz w:val="20"/>
                <w:szCs w:val="20"/>
              </w:rPr>
            </w:pPr>
            <w:r>
              <w:rPr>
                <w:sz w:val="20"/>
                <w:szCs w:val="20"/>
              </w:rPr>
              <w:t>36.5</w:t>
            </w:r>
          </w:p>
        </w:tc>
      </w:tr>
    </w:tbl>
    <w:p w14:paraId="69107B76" w14:textId="77777777" w:rsidR="00531754" w:rsidRPr="00531754" w:rsidRDefault="00531754" w:rsidP="00154184">
      <w:r w:rsidRPr="00531754">
        <w:t>Source: ABS 2020, AIHW 2020</w:t>
      </w:r>
    </w:p>
    <w:p w14:paraId="5CBEB1DB" w14:textId="085B4ADA" w:rsidR="0092261B" w:rsidRDefault="0092261B" w:rsidP="0077289A">
      <w:r w:rsidRPr="00531754">
        <w:t>Informal volunteering increased between 2020 and 2021, coinciding with a decline in traditional volunteeri</w:t>
      </w:r>
      <w:r>
        <w:t>ng</w:t>
      </w:r>
      <w:r w:rsidRPr="00531754">
        <w:t>. The increase in informal volunteering is broad but may reflect some reduction in access to state and federal supports associated with Tier 2 supports, necessitating informal support. The increase in informal volunteering does predate recent shifts in Tier 2 expenditure, although the shift may be partially attributable to the COVID pandemic.  While informal volunteering is beneficial and shows some degree of social capital formation and social connectivity, where such volunteeri</w:t>
      </w:r>
      <w:r>
        <w:t>ng</w:t>
      </w:r>
      <w:r w:rsidRPr="00531754">
        <w:t xml:space="preserve"> is at the expense of formal volunteeri</w:t>
      </w:r>
      <w:r>
        <w:t>ng</w:t>
      </w:r>
      <w:r w:rsidRPr="00531754">
        <w:t xml:space="preserve"> or insufficient to offset the reduction in formal volunteeri</w:t>
      </w:r>
      <w:r>
        <w:t>ng</w:t>
      </w:r>
      <w:r w:rsidRPr="00531754">
        <w:t xml:space="preserve"> there may be adverse consequences for recipients of support from formal institutions. Moreover, informal volunteeri</w:t>
      </w:r>
      <w:r>
        <w:t>ng</w:t>
      </w:r>
      <w:r w:rsidRPr="00531754">
        <w:t xml:space="preserve"> is not a viable or logical alterative to dedicated service provision and block funded Tier 2-like activities, given the benefits associated with such activities.  </w:t>
      </w:r>
      <w:r>
        <w:br w:type="page"/>
      </w:r>
    </w:p>
    <w:p w14:paraId="05C078E8" w14:textId="77777777" w:rsidR="00531754" w:rsidRPr="000F51F6" w:rsidRDefault="00531754" w:rsidP="000F51F6">
      <w:pPr>
        <w:rPr>
          <w:b/>
          <w:bCs/>
        </w:rPr>
      </w:pPr>
      <w:r w:rsidRPr="000F51F6">
        <w:rPr>
          <w:b/>
          <w:bCs/>
        </w:rPr>
        <w:lastRenderedPageBreak/>
        <w:t>Figure 14</w:t>
      </w:r>
    </w:p>
    <w:p w14:paraId="4F74EBDC" w14:textId="1CB936FA" w:rsidR="004949DF" w:rsidRPr="006A4C76" w:rsidRDefault="00531754" w:rsidP="005345A6">
      <w:pPr>
        <w:rPr>
          <w:b/>
          <w:bCs/>
        </w:rPr>
      </w:pPr>
      <w:r w:rsidRPr="000F51F6">
        <w:rPr>
          <w:b/>
          <w:bCs/>
        </w:rPr>
        <w:t>Proportion of people aged 18 and above engaging in voluntary work 2006 to 2019</w:t>
      </w:r>
    </w:p>
    <w:tbl>
      <w:tblPr>
        <w:tblStyle w:val="TableGrid"/>
        <w:tblW w:w="0" w:type="auto"/>
        <w:tblLook w:val="04A0" w:firstRow="1" w:lastRow="0" w:firstColumn="1" w:lastColumn="0" w:noHBand="0" w:noVBand="1"/>
        <w:tblCaption w:val="Proportion of people aged 18 and above engaging in voluntary work 2006 to 2019"/>
      </w:tblPr>
      <w:tblGrid>
        <w:gridCol w:w="2740"/>
        <w:gridCol w:w="2330"/>
        <w:gridCol w:w="2330"/>
        <w:gridCol w:w="2330"/>
      </w:tblGrid>
      <w:tr w:rsidR="00CD1B99" w:rsidRPr="004949DF" w14:paraId="58EE0BD9" w14:textId="2C231607" w:rsidTr="00CD1B99">
        <w:tc>
          <w:tcPr>
            <w:tcW w:w="2740" w:type="dxa"/>
          </w:tcPr>
          <w:p w14:paraId="4F3C574D" w14:textId="77777777" w:rsidR="00CD1B99" w:rsidRPr="006A4C76" w:rsidRDefault="00CD1B99" w:rsidP="003F3086">
            <w:pPr>
              <w:rPr>
                <w:b/>
                <w:bCs/>
              </w:rPr>
            </w:pPr>
            <w:r w:rsidRPr="006A4C76">
              <w:rPr>
                <w:b/>
                <w:bCs/>
              </w:rPr>
              <w:t>Year</w:t>
            </w:r>
          </w:p>
        </w:tc>
        <w:tc>
          <w:tcPr>
            <w:tcW w:w="2330" w:type="dxa"/>
          </w:tcPr>
          <w:p w14:paraId="11B55B88" w14:textId="1DEE18EF" w:rsidR="00CD1B99" w:rsidRPr="006A4C76" w:rsidRDefault="00CD1B99" w:rsidP="003F3086">
            <w:pPr>
              <w:rPr>
                <w:b/>
                <w:bCs/>
              </w:rPr>
            </w:pPr>
            <w:r w:rsidRPr="006A4C76">
              <w:rPr>
                <w:b/>
                <w:bCs/>
              </w:rPr>
              <w:t>Male</w:t>
            </w:r>
          </w:p>
        </w:tc>
        <w:tc>
          <w:tcPr>
            <w:tcW w:w="2330" w:type="dxa"/>
          </w:tcPr>
          <w:p w14:paraId="48E2E265" w14:textId="421B1626" w:rsidR="00CD1B99" w:rsidRPr="006A4C76" w:rsidRDefault="00CD1B99" w:rsidP="003F3086">
            <w:pPr>
              <w:rPr>
                <w:b/>
                <w:bCs/>
              </w:rPr>
            </w:pPr>
            <w:r w:rsidRPr="006A4C76">
              <w:rPr>
                <w:b/>
                <w:bCs/>
              </w:rPr>
              <w:t>Female</w:t>
            </w:r>
          </w:p>
        </w:tc>
        <w:tc>
          <w:tcPr>
            <w:tcW w:w="2330" w:type="dxa"/>
          </w:tcPr>
          <w:p w14:paraId="5910CFDA" w14:textId="71F066F6" w:rsidR="00CD1B99" w:rsidRPr="006A4C76" w:rsidRDefault="00CD1B99" w:rsidP="003F3086">
            <w:pPr>
              <w:rPr>
                <w:b/>
                <w:bCs/>
              </w:rPr>
            </w:pPr>
            <w:r w:rsidRPr="006A4C76">
              <w:rPr>
                <w:b/>
                <w:bCs/>
              </w:rPr>
              <w:t>Persons</w:t>
            </w:r>
          </w:p>
        </w:tc>
      </w:tr>
      <w:tr w:rsidR="00CD1B99" w:rsidRPr="004949DF" w14:paraId="7EDD2729" w14:textId="13066A09" w:rsidTr="00CD1B99">
        <w:tc>
          <w:tcPr>
            <w:tcW w:w="2740" w:type="dxa"/>
          </w:tcPr>
          <w:p w14:paraId="3F496CBB" w14:textId="77777777" w:rsidR="00CD1B99" w:rsidRPr="004949DF" w:rsidRDefault="00CD1B99" w:rsidP="003F3086">
            <w:r w:rsidRPr="004949DF">
              <w:t>2006</w:t>
            </w:r>
          </w:p>
        </w:tc>
        <w:tc>
          <w:tcPr>
            <w:tcW w:w="2330" w:type="dxa"/>
          </w:tcPr>
          <w:p w14:paraId="6B7DC060" w14:textId="4C26362F" w:rsidR="00CD1B99" w:rsidRPr="004949DF" w:rsidRDefault="00F614B1" w:rsidP="003F3086">
            <w:r>
              <w:t>44.9</w:t>
            </w:r>
          </w:p>
        </w:tc>
        <w:tc>
          <w:tcPr>
            <w:tcW w:w="2330" w:type="dxa"/>
          </w:tcPr>
          <w:p w14:paraId="24310988" w14:textId="77777777" w:rsidR="00CD1B99" w:rsidRPr="004949DF" w:rsidRDefault="00CD1B99" w:rsidP="003F3086"/>
        </w:tc>
        <w:tc>
          <w:tcPr>
            <w:tcW w:w="2330" w:type="dxa"/>
          </w:tcPr>
          <w:p w14:paraId="781E8D78" w14:textId="44F0525A" w:rsidR="00CD1B99" w:rsidRPr="004949DF" w:rsidRDefault="00D17560" w:rsidP="003F3086">
            <w:r>
              <w:t>48.9</w:t>
            </w:r>
          </w:p>
        </w:tc>
      </w:tr>
      <w:tr w:rsidR="00CD1B99" w:rsidRPr="004949DF" w14:paraId="55B03D87" w14:textId="7CFA0481" w:rsidTr="00CD1B99">
        <w:tc>
          <w:tcPr>
            <w:tcW w:w="2740" w:type="dxa"/>
          </w:tcPr>
          <w:p w14:paraId="38C0C0C6" w14:textId="77777777" w:rsidR="00CD1B99" w:rsidRPr="004949DF" w:rsidRDefault="00CD1B99" w:rsidP="003F3086">
            <w:r w:rsidRPr="004949DF">
              <w:t>2010</w:t>
            </w:r>
          </w:p>
        </w:tc>
        <w:tc>
          <w:tcPr>
            <w:tcW w:w="2330" w:type="dxa"/>
          </w:tcPr>
          <w:p w14:paraId="1B02B7B8" w14:textId="2DF3802C" w:rsidR="00CD1B99" w:rsidRPr="004949DF" w:rsidRDefault="00A72191" w:rsidP="003F3086">
            <w:r>
              <w:t>44.9</w:t>
            </w:r>
          </w:p>
        </w:tc>
        <w:tc>
          <w:tcPr>
            <w:tcW w:w="2330" w:type="dxa"/>
          </w:tcPr>
          <w:p w14:paraId="386E0430" w14:textId="77777777" w:rsidR="00CD1B99" w:rsidRPr="004949DF" w:rsidRDefault="00CD1B99" w:rsidP="003F3086"/>
        </w:tc>
        <w:tc>
          <w:tcPr>
            <w:tcW w:w="2330" w:type="dxa"/>
          </w:tcPr>
          <w:p w14:paraId="1E8BB0F1" w14:textId="1D805D70" w:rsidR="00CD1B99" w:rsidRPr="004949DF" w:rsidRDefault="00100B6B" w:rsidP="003F3086">
            <w:r>
              <w:t>52.8</w:t>
            </w:r>
          </w:p>
        </w:tc>
      </w:tr>
      <w:tr w:rsidR="00CD1B99" w:rsidRPr="004949DF" w14:paraId="3159FF6E" w14:textId="56449978" w:rsidTr="00CD1B99">
        <w:tc>
          <w:tcPr>
            <w:tcW w:w="2740" w:type="dxa"/>
          </w:tcPr>
          <w:p w14:paraId="75B16419" w14:textId="77777777" w:rsidR="00CD1B99" w:rsidRPr="004949DF" w:rsidRDefault="00CD1B99" w:rsidP="003F3086">
            <w:r w:rsidRPr="004949DF">
              <w:t>2014</w:t>
            </w:r>
          </w:p>
        </w:tc>
        <w:tc>
          <w:tcPr>
            <w:tcW w:w="2330" w:type="dxa"/>
          </w:tcPr>
          <w:p w14:paraId="686B5FA9" w14:textId="2E56384A" w:rsidR="00CD1B99" w:rsidRPr="004949DF" w:rsidRDefault="00A72191" w:rsidP="003F3086">
            <w:r>
              <w:t>43.2</w:t>
            </w:r>
          </w:p>
        </w:tc>
        <w:tc>
          <w:tcPr>
            <w:tcW w:w="2330" w:type="dxa"/>
          </w:tcPr>
          <w:p w14:paraId="080EC6A6" w14:textId="77777777" w:rsidR="00CD1B99" w:rsidRPr="004949DF" w:rsidRDefault="00CD1B99" w:rsidP="003F3086"/>
        </w:tc>
        <w:tc>
          <w:tcPr>
            <w:tcW w:w="2330" w:type="dxa"/>
          </w:tcPr>
          <w:p w14:paraId="20C083B0" w14:textId="7FC26314" w:rsidR="00CD1B99" w:rsidRPr="004949DF" w:rsidRDefault="00100B6B" w:rsidP="003F3086">
            <w:r>
              <w:t>49.4</w:t>
            </w:r>
          </w:p>
        </w:tc>
      </w:tr>
      <w:tr w:rsidR="00AD1C22" w:rsidRPr="004949DF" w14:paraId="266945F7" w14:textId="77777777" w:rsidTr="00CD1B99">
        <w:tc>
          <w:tcPr>
            <w:tcW w:w="2740" w:type="dxa"/>
          </w:tcPr>
          <w:p w14:paraId="4F0CDB55" w14:textId="45BD9F58" w:rsidR="00AD1C22" w:rsidRDefault="00AD1C22" w:rsidP="003F3086">
            <w:r>
              <w:t>2019</w:t>
            </w:r>
          </w:p>
        </w:tc>
        <w:tc>
          <w:tcPr>
            <w:tcW w:w="2330" w:type="dxa"/>
          </w:tcPr>
          <w:p w14:paraId="3B4724E5" w14:textId="07D168D2" w:rsidR="00AD1C22" w:rsidRPr="004949DF" w:rsidRDefault="0055497C" w:rsidP="003F3086">
            <w:r>
              <w:t>48.9</w:t>
            </w:r>
          </w:p>
        </w:tc>
        <w:tc>
          <w:tcPr>
            <w:tcW w:w="2330" w:type="dxa"/>
          </w:tcPr>
          <w:p w14:paraId="335F36F0" w14:textId="77777777" w:rsidR="00AD1C22" w:rsidRPr="004949DF" w:rsidRDefault="00AD1C22" w:rsidP="003F3086"/>
        </w:tc>
        <w:tc>
          <w:tcPr>
            <w:tcW w:w="2330" w:type="dxa"/>
          </w:tcPr>
          <w:p w14:paraId="66CB758B" w14:textId="3611163D" w:rsidR="00AD1C22" w:rsidRPr="004949DF" w:rsidRDefault="006A4C76" w:rsidP="003F3086">
            <w:r>
              <w:t>56.3</w:t>
            </w:r>
          </w:p>
        </w:tc>
      </w:tr>
    </w:tbl>
    <w:p w14:paraId="38E57853" w14:textId="5AAC430C" w:rsidR="00531754" w:rsidRPr="00531754" w:rsidRDefault="00531754" w:rsidP="005345A6">
      <w:pPr>
        <w:rPr>
          <w:rFonts w:ascii="Avenir Book" w:hAnsi="Avenir Book"/>
        </w:rPr>
      </w:pPr>
      <w:r w:rsidRPr="000F51F6">
        <w:t xml:space="preserve">Note: The chart </w:t>
      </w:r>
      <w:r w:rsidR="0092261B" w:rsidRPr="000F51F6">
        <w:t xml:space="preserve">shows </w:t>
      </w:r>
      <w:r w:rsidRPr="000F51F6">
        <w:t>the rise in informal volunteeri</w:t>
      </w:r>
      <w:r w:rsidR="0092261B" w:rsidRPr="000F51F6">
        <w:t>ng</w:t>
      </w:r>
      <w:r w:rsidRPr="000F51F6">
        <w:t>, which has occurred post 2014 has coincided with a significant decline in formal volunteerism. Source: AIHW (2022)</w:t>
      </w:r>
    </w:p>
    <w:p w14:paraId="524C1B53" w14:textId="201AF0A2" w:rsidR="00531754" w:rsidRPr="00531754" w:rsidRDefault="00531754" w:rsidP="00DE3A9B">
      <w:pPr>
        <w:pStyle w:val="Heading2"/>
      </w:pPr>
      <w:bookmarkStart w:id="125" w:name="_Toc130942947"/>
      <w:r w:rsidRPr="00531754">
        <w:t>Overall impact of permanent and casual employment, changing patterns of volunteeri</w:t>
      </w:r>
      <w:r w:rsidR="0092261B">
        <w:t>ng</w:t>
      </w:r>
      <w:bookmarkEnd w:id="125"/>
    </w:p>
    <w:p w14:paraId="26CBDB3E" w14:textId="4DA8AAC6" w:rsidR="00531754" w:rsidRPr="00200772" w:rsidRDefault="00531754" w:rsidP="00200772">
      <w:r w:rsidRPr="00531754">
        <w:t>The overall patterns of change in employment and volunteeri</w:t>
      </w:r>
      <w:r w:rsidR="0092261B">
        <w:t>ng</w:t>
      </w:r>
      <w:r w:rsidRPr="00531754">
        <w:t xml:space="preserve"> suggest that the disability services sector is facing significant headwinds, with volatility in casual and full-time employees. The modest improvement in volunteerism in staff/line roles does not offset the decline in traditional formal volunteerism. The net loss to the sector in employee terms during the pandemic interval was between 276,000 and 527,000 employees. However, some employment has recovered thereafter. Concerningly, the decline in both casual staff, NFP sector formal volunteerism, and the concurrent decline in donation levels (discussed subsequently) is highly concerning for Tier 2 program delivery, given the reliance of Tier 2 supports on donor funds and transient employees, and formal volunteers.  </w:t>
      </w:r>
      <w:r w:rsidRPr="00531754">
        <w:rPr>
          <w:rFonts w:ascii="Avenir Book" w:hAnsi="Avenir Book"/>
        </w:rPr>
        <w:t> </w:t>
      </w:r>
    </w:p>
    <w:p w14:paraId="75A68F65" w14:textId="03E182ED" w:rsidR="00531754" w:rsidRPr="0092261B" w:rsidRDefault="00531754" w:rsidP="00DE3A9B">
      <w:pPr>
        <w:pStyle w:val="Heading2"/>
      </w:pPr>
      <w:bookmarkStart w:id="126" w:name="_Toc130567653"/>
      <w:bookmarkStart w:id="127" w:name="_Toc130942948"/>
      <w:r w:rsidRPr="0092261B">
        <w:t>Recommendation 4: Additional funding for volunteer facilitation</w:t>
      </w:r>
      <w:bookmarkEnd w:id="126"/>
      <w:bookmarkEnd w:id="127"/>
    </w:p>
    <w:p w14:paraId="277F7E87" w14:textId="2A0D4FB9" w:rsidR="00531754" w:rsidRPr="00531754" w:rsidRDefault="00531754" w:rsidP="000F51F6">
      <w:r w:rsidRPr="00531754">
        <w:t>NFP organisations must be funded to provide the necessary supports to volunteers and to involve volunteers in Tier 2 activities. Further funding of Tier 2 supports may be necessary to accommodate the decline in volunteer</w:t>
      </w:r>
      <w:r w:rsidR="0092261B">
        <w:t>-</w:t>
      </w:r>
      <w:r w:rsidRPr="00531754">
        <w:t xml:space="preserve">led Tier 2 </w:t>
      </w:r>
      <w:r w:rsidR="0092261B">
        <w:t>activities</w:t>
      </w:r>
      <w:r w:rsidRPr="00531754">
        <w:t>, and to facilitate greater participation. The funding of volunteer activity and activity supports should not be at the expense of core Tier 2 funding.    </w:t>
      </w:r>
    </w:p>
    <w:p w14:paraId="6125C2D4" w14:textId="77777777" w:rsidR="00531754" w:rsidRPr="00531754" w:rsidRDefault="00531754" w:rsidP="00DE3A9B">
      <w:pPr>
        <w:pStyle w:val="Heading2"/>
      </w:pPr>
      <w:bookmarkStart w:id="128" w:name="_Toc130567654"/>
      <w:bookmarkStart w:id="129" w:name="_Toc130942949"/>
      <w:r w:rsidRPr="00531754">
        <w:lastRenderedPageBreak/>
        <w:t>Recommendation 5: Capacity replacement investment in the short term</w:t>
      </w:r>
      <w:bookmarkEnd w:id="128"/>
      <w:bookmarkEnd w:id="129"/>
    </w:p>
    <w:p w14:paraId="23E2B91B" w14:textId="34225FD8" w:rsidR="001E0E84" w:rsidRDefault="00531754" w:rsidP="000F51F6">
      <w:r w:rsidRPr="00531754">
        <w:t>Beyond funding implicit within Recommendation 1 (Transition) and Recommendation 2 (Scaling), additional capacity replacement funding may be necessary. Given the decline in volunteeri</w:t>
      </w:r>
      <w:r w:rsidR="001E0E84">
        <w:t>ng</w:t>
      </w:r>
      <w:r w:rsidRPr="00531754">
        <w:t xml:space="preserve"> and donor funding, as well as the adjustments in both casual and ongoing employment plausibly aligned to Tier 2, many critical Tier 2 supports and associated community connections are in jeopardy. </w:t>
      </w:r>
    </w:p>
    <w:p w14:paraId="01797B6C" w14:textId="604EDEDF" w:rsidR="00531754" w:rsidRPr="00531754" w:rsidRDefault="00531754" w:rsidP="000F51F6">
      <w:r w:rsidRPr="00531754">
        <w:t xml:space="preserve">Additional investment in ILC activities through the expansion of the DSS administered grants program is essential to bring stability to service delivery and maintain valued social supports, and </w:t>
      </w:r>
      <w:r w:rsidR="001E0E84">
        <w:t xml:space="preserve">to </w:t>
      </w:r>
      <w:r w:rsidRPr="00531754">
        <w:t xml:space="preserve">provide sufficient capacity to the sector after the impact of COVID and </w:t>
      </w:r>
      <w:r w:rsidR="001E0E84">
        <w:t xml:space="preserve">recent </w:t>
      </w:r>
      <w:r w:rsidRPr="00531754">
        <w:t>significant cost of living pressures.  </w:t>
      </w:r>
    </w:p>
    <w:p w14:paraId="2C8080EE" w14:textId="77777777" w:rsidR="00531754" w:rsidRPr="001E0E84" w:rsidRDefault="00531754" w:rsidP="00DE3A9B">
      <w:pPr>
        <w:pStyle w:val="Heading2"/>
      </w:pPr>
      <w:bookmarkStart w:id="130" w:name="_Toc130567655"/>
      <w:bookmarkStart w:id="131" w:name="_Toc130942950"/>
      <w:r w:rsidRPr="001E0E84">
        <w:t>Recommendation 6: Stabilisation of funding provision</w:t>
      </w:r>
      <w:bookmarkEnd w:id="130"/>
      <w:bookmarkEnd w:id="131"/>
      <w:r w:rsidRPr="001E0E84">
        <w:t xml:space="preserve"> </w:t>
      </w:r>
    </w:p>
    <w:p w14:paraId="174322A4" w14:textId="4764E469" w:rsidR="00531754" w:rsidRPr="00C31809" w:rsidRDefault="00531754" w:rsidP="00C31809">
      <w:r w:rsidRPr="00531754">
        <w:t xml:space="preserve">Noting the need for additional funding pursuant to Recommendation 1 (Transition), Recommendation 2 (Scaling) and Recommendation 3 (Capacity replacement) it is recommended that increased investment in Tier </w:t>
      </w:r>
      <w:r w:rsidR="001E0E84" w:rsidRPr="00531754">
        <w:t xml:space="preserve">2 </w:t>
      </w:r>
      <w:r w:rsidR="001E0E84">
        <w:t>is</w:t>
      </w:r>
      <w:r w:rsidRPr="00531754">
        <w:t xml:space="preserve"> made in a </w:t>
      </w:r>
      <w:r w:rsidR="001E0E84">
        <w:t>stable and consistent</w:t>
      </w:r>
      <w:r w:rsidR="001E0E84" w:rsidRPr="00531754">
        <w:t xml:space="preserve"> </w:t>
      </w:r>
      <w:r w:rsidRPr="00531754">
        <w:t>manner to reduce the volatility that varied and piecemeal investment in service delivery introduces to provider enterprises and balance sheets. Volatile arrangements erode goodwill, and social capital is often lost as programs that implement effective Tier 2 supports see their investment withdrawn, affecting workers and recipients of care.  </w:t>
      </w:r>
    </w:p>
    <w:p w14:paraId="60938848" w14:textId="5AD64574" w:rsidR="001E0E84" w:rsidRDefault="00531754" w:rsidP="00917ED0">
      <w:pPr>
        <w:pStyle w:val="Heading1"/>
      </w:pPr>
      <w:bookmarkStart w:id="132" w:name="_Toc120268931"/>
      <w:bookmarkStart w:id="133" w:name="_Toc130942951"/>
      <w:r w:rsidRPr="00531754">
        <w:t>Data Adequacy, National Disability Research and the National Disability Data Asset</w:t>
      </w:r>
      <w:bookmarkEnd w:id="132"/>
      <w:bookmarkEnd w:id="133"/>
      <w:r w:rsidRPr="00531754">
        <w:t> </w:t>
      </w:r>
    </w:p>
    <w:p w14:paraId="36295743" w14:textId="563C40EC" w:rsidR="00531754" w:rsidRPr="001E0E84" w:rsidRDefault="00531754" w:rsidP="00DE3A9B">
      <w:pPr>
        <w:pStyle w:val="Heading2"/>
      </w:pPr>
      <w:bookmarkStart w:id="134" w:name="_Toc130942952"/>
      <w:r w:rsidRPr="001E0E84">
        <w:t>Addressing data shortages at state and local level</w:t>
      </w:r>
      <w:bookmarkEnd w:id="134"/>
    </w:p>
    <w:p w14:paraId="7FC7A909" w14:textId="5224532D" w:rsidR="001E0E84" w:rsidRDefault="00531754" w:rsidP="000F51F6">
      <w:r w:rsidRPr="00531754">
        <w:t xml:space="preserve">As the research has noted, </w:t>
      </w:r>
      <w:r w:rsidR="001E0E84">
        <w:t>data about</w:t>
      </w:r>
      <w:r w:rsidRPr="00531754">
        <w:t xml:space="preserve"> disability investment and outcomes remain</w:t>
      </w:r>
      <w:r w:rsidR="001E0E84">
        <w:t>s</w:t>
      </w:r>
      <w:r w:rsidRPr="00531754">
        <w:t xml:space="preserve"> largely inaccessible due to divergence in practices amongst data capture and reporting at a local and state level. A recent attempt by the Productivity Commission to reconcile disability services investment at a state and federal level </w:t>
      </w:r>
      <w:r w:rsidR="001E0E84">
        <w:t xml:space="preserve">demonstrates </w:t>
      </w:r>
      <w:r w:rsidRPr="00531754">
        <w:t>this fact (see PC, 2023)</w:t>
      </w:r>
      <w:r w:rsidR="002B350E">
        <w:rPr>
          <w:rFonts w:ascii="Avenir Book" w:hAnsi="Avenir Book"/>
        </w:rPr>
        <w:t xml:space="preserve">. </w:t>
      </w:r>
      <w:r w:rsidR="002B350E">
        <w:t xml:space="preserve"> (Note the process to derive a single investment (described as expenditure therein) series (government disability expenditure) involved the use of several unpublished and published sources. Consider the source statement;  </w:t>
      </w:r>
      <w:r w:rsidR="002B350E" w:rsidRPr="0073184B">
        <w:t xml:space="preserve">State and Territory governments (unpublished); Australian Government Department of Social Services (unpublished); Australian Bureau of </w:t>
      </w:r>
      <w:r w:rsidR="002B350E" w:rsidRPr="0073184B">
        <w:lastRenderedPageBreak/>
        <w:t>Statistics (ABS) 2022, 'Table 36: Expenditure on Gross Domestic Product (GDP), Chain volume measures and</w:t>
      </w:r>
      <w:r w:rsidR="002B350E">
        <w:t xml:space="preserve"> </w:t>
      </w:r>
      <w:r w:rsidR="002B350E" w:rsidRPr="0073184B">
        <w:t>Current prices, Annual' [time series spreadsheet], Australian National Accounts: National Income, Expenditure and Product, June 2022, https://www.abs.gov.au/statistics/economy/national-accounts/australian-national-accounts-national-income-expenditure-and-product/jun-2022, accessed 8 September 2022.</w:t>
      </w:r>
      <w:r w:rsidR="002B350E">
        <w:t>)</w:t>
      </w:r>
      <w:r w:rsidRPr="00531754">
        <w:t>Many of the key data items included in the PC estimate set are from unpublished sources (</w:t>
      </w:r>
      <w:r w:rsidR="001E0E84">
        <w:t>most likely</w:t>
      </w:r>
      <w:r w:rsidR="001E0E84" w:rsidRPr="00531754">
        <w:t xml:space="preserve"> </w:t>
      </w:r>
      <w:r w:rsidRPr="00531754">
        <w:t>procured through direct access and requests), and</w:t>
      </w:r>
      <w:r w:rsidR="001E0E84">
        <w:t>/</w:t>
      </w:r>
      <w:r w:rsidRPr="00531754">
        <w:t xml:space="preserve">or estimation techniques. </w:t>
      </w:r>
    </w:p>
    <w:p w14:paraId="01307E8B" w14:textId="03FCE968" w:rsidR="001E0E84" w:rsidRDefault="00531754" w:rsidP="00C31809">
      <w:r w:rsidRPr="00531754">
        <w:t>Per Capita</w:t>
      </w:r>
      <w:r w:rsidR="001E0E84">
        <w:t>,</w:t>
      </w:r>
      <w:r w:rsidRPr="00531754">
        <w:t xml:space="preserve"> in conducting the current research</w:t>
      </w:r>
      <w:r w:rsidR="001E0E84">
        <w:t>,</w:t>
      </w:r>
      <w:r w:rsidRPr="00531754">
        <w:t xml:space="preserve"> note</w:t>
      </w:r>
      <w:r w:rsidR="001E0E84">
        <w:t>s</w:t>
      </w:r>
      <w:r w:rsidRPr="00531754">
        <w:t xml:space="preserve"> that there are several key data items that remain largely unreported, or reported without sufficient consistency and </w:t>
      </w:r>
      <w:r w:rsidR="001E0E84">
        <w:t>detail</w:t>
      </w:r>
      <w:r w:rsidRPr="00531754">
        <w:t xml:space="preserve">. Currently, there is limited time series data presenting Tier 2 funding items at a local (council) and state level. </w:t>
      </w:r>
      <w:r w:rsidRPr="00531754">
        <w:br/>
      </w:r>
      <w:r w:rsidRPr="00531754">
        <w:br/>
        <w:t xml:space="preserve">The efforts of the NDIA, DSS and ABS are laudable, presenting significant and highly relevant data pertaining to Tier 2 investment. State governments and local councils </w:t>
      </w:r>
      <w:r w:rsidR="001E0E84">
        <w:t>should</w:t>
      </w:r>
      <w:r w:rsidR="001E0E84" w:rsidRPr="00531754">
        <w:t xml:space="preserve"> </w:t>
      </w:r>
      <w:r w:rsidRPr="00531754">
        <w:t xml:space="preserve">improve their disclosure practices to ensure the formulation of more informed policy. While the NDDA presents a significant opportunity to capture meaningful </w:t>
      </w:r>
      <w:r w:rsidR="001E0E84">
        <w:t xml:space="preserve">data </w:t>
      </w:r>
      <w:r w:rsidRPr="00531754">
        <w:t xml:space="preserve">to inform policy, and genuinely </w:t>
      </w:r>
      <w:r w:rsidR="001E0E84">
        <w:t>improve</w:t>
      </w:r>
      <w:r w:rsidR="001E0E84" w:rsidRPr="00531754">
        <w:t xml:space="preserve"> </w:t>
      </w:r>
      <w:r w:rsidRPr="00531754">
        <w:t xml:space="preserve">the experiences of individuals living with disability, key data pertaining to local and state expenditure on disability services, with sufficient granularity to engage in local level analysis is equally </w:t>
      </w:r>
      <w:r w:rsidR="001E0E84">
        <w:t>important</w:t>
      </w:r>
      <w:r w:rsidRPr="00531754">
        <w:t xml:space="preserve">.  </w:t>
      </w:r>
    </w:p>
    <w:p w14:paraId="29D3E894" w14:textId="00CADA97" w:rsidR="00531754" w:rsidRPr="00531754" w:rsidRDefault="00531754" w:rsidP="00DE3A9B">
      <w:pPr>
        <w:pStyle w:val="Heading2"/>
      </w:pPr>
      <w:bookmarkStart w:id="135" w:name="_Toc130942953"/>
      <w:r w:rsidRPr="00531754">
        <w:t>The Key Role of the National Disability Data Asset</w:t>
      </w:r>
      <w:bookmarkEnd w:id="135"/>
      <w:r w:rsidRPr="00531754">
        <w:t xml:space="preserve"> </w:t>
      </w:r>
    </w:p>
    <w:p w14:paraId="418E38C0" w14:textId="2885DE46" w:rsidR="00531754" w:rsidRPr="00531754" w:rsidRDefault="00531754" w:rsidP="000F51F6">
      <w:r w:rsidRPr="00531754">
        <w:t xml:space="preserve">The emergence of the National Disability Data Asset (NDDA) is </w:t>
      </w:r>
      <w:r w:rsidR="001E0E84">
        <w:t>encouraging,</w:t>
      </w:r>
      <w:r w:rsidR="001E0E84" w:rsidRPr="00531754">
        <w:t xml:space="preserve"> </w:t>
      </w:r>
      <w:r w:rsidRPr="00531754">
        <w:t xml:space="preserve">given the benefits of the future data for policy and service design. </w:t>
      </w:r>
      <w:r w:rsidR="001E0E84">
        <w:t>S</w:t>
      </w:r>
      <w:r w:rsidRPr="00531754">
        <w:t xml:space="preserve">tate and </w:t>
      </w:r>
      <w:r w:rsidR="001E0E84">
        <w:t>T</w:t>
      </w:r>
      <w:r w:rsidRPr="00531754">
        <w:t>erritory government</w:t>
      </w:r>
      <w:r w:rsidR="001E0E84">
        <w:t>s</w:t>
      </w:r>
      <w:r w:rsidRPr="00531754">
        <w:t xml:space="preserve"> are working closely with the Commonwealth to develop the NDDA. The NDDA seeks to change the approach take to data </w:t>
      </w:r>
      <w:r w:rsidR="001E0E84" w:rsidRPr="00531754">
        <w:t xml:space="preserve">consolidation </w:t>
      </w:r>
      <w:r w:rsidR="001E0E84">
        <w:t>by</w:t>
      </w:r>
      <w:r w:rsidRPr="00531754">
        <w:t xml:space="preserve"> improving </w:t>
      </w:r>
      <w:r w:rsidR="001E0E84">
        <w:t>data sharing practices</w:t>
      </w:r>
      <w:r w:rsidRPr="00531754">
        <w:t xml:space="preserve"> </w:t>
      </w:r>
      <w:r w:rsidR="001E0E84">
        <w:t xml:space="preserve">for </w:t>
      </w:r>
      <w:r w:rsidRPr="00531754">
        <w:t xml:space="preserve">disability relevant data. </w:t>
      </w:r>
    </w:p>
    <w:p w14:paraId="0824066E" w14:textId="2DB17D74" w:rsidR="00531754" w:rsidRPr="00531754" w:rsidRDefault="00531754" w:rsidP="000F51F6">
      <w:r w:rsidRPr="00531754">
        <w:t xml:space="preserve">The most heartening aspect of the NDDA is its highly collaborative approach to design, including </w:t>
      </w:r>
      <w:r w:rsidR="001E0E84">
        <w:t xml:space="preserve">in the co-design process </w:t>
      </w:r>
      <w:r w:rsidRPr="00531754">
        <w:t xml:space="preserve">service providers, researchers and </w:t>
      </w:r>
      <w:r w:rsidR="001E0E84">
        <w:t>people</w:t>
      </w:r>
      <w:r w:rsidR="001E0E84" w:rsidRPr="00531754">
        <w:t xml:space="preserve"> </w:t>
      </w:r>
      <w:r w:rsidRPr="00531754">
        <w:t xml:space="preserve">with lived experience of the challenges </w:t>
      </w:r>
      <w:r w:rsidR="001E0E84">
        <w:t xml:space="preserve">of </w:t>
      </w:r>
      <w:r w:rsidRPr="00531754">
        <w:t xml:space="preserve">navigating support systems. </w:t>
      </w:r>
    </w:p>
    <w:p w14:paraId="691753EB" w14:textId="67B20347" w:rsidR="00531754" w:rsidRPr="00531754" w:rsidRDefault="00531754" w:rsidP="000F51F6">
      <w:r w:rsidRPr="00531754">
        <w:t xml:space="preserve">The </w:t>
      </w:r>
      <w:r w:rsidR="00695FF4">
        <w:t>Disability Advisory Committee (</w:t>
      </w:r>
      <w:r w:rsidRPr="00531754">
        <w:t>D</w:t>
      </w:r>
      <w:r w:rsidR="00695FF4">
        <w:t>A</w:t>
      </w:r>
      <w:r w:rsidRPr="00531754">
        <w:t>C</w:t>
      </w:r>
      <w:r w:rsidR="00695FF4">
        <w:t>)</w:t>
      </w:r>
      <w:r w:rsidRPr="00531754">
        <w:t xml:space="preserve"> is also a key representative body, representing the Commonwealth, states and territories, supporting the overall direction of the NDDA.  The value of the asset is immense, providing the most comprehensive picture of services, experiences and outcomes of people with disabilities. The asset will support benchmarking, </w:t>
      </w:r>
      <w:r w:rsidRPr="00531754">
        <w:lastRenderedPageBreak/>
        <w:t xml:space="preserve">monitoring and the evaluation of service effectiveness. Critically, the data will support the analysis of factors that enable individuals to contribute to society and live their life to the fullest. </w:t>
      </w:r>
    </w:p>
    <w:p w14:paraId="4ACA11B2" w14:textId="21EB0596" w:rsidR="00531754" w:rsidRPr="00C31809" w:rsidRDefault="00531754" w:rsidP="00C31809">
      <w:r w:rsidRPr="00531754">
        <w:t xml:space="preserve">The current constitution of the NDDA committee is notable, given its breadth, experience and diversity. The composition of the NDDA committee is </w:t>
      </w:r>
      <w:r w:rsidR="001E0E84" w:rsidRPr="00531754">
        <w:t>sound and</w:t>
      </w:r>
      <w:r w:rsidRPr="00531754">
        <w:t xml:space="preserve"> ensures a broad set of critical and representative views pertaining to the role and function of data usage in supporting better learnings, research and insights into the experience individuals living with disabilities. As </w:t>
      </w:r>
      <w:r w:rsidR="001E0E84" w:rsidRPr="00531754">
        <w:t>noted,</w:t>
      </w:r>
      <w:r w:rsidRPr="00531754">
        <w:t xml:space="preserve"> and for emphasis, several key data assets that are highly relevant do not apply to expenditures at an individual level. Capturing these critical data items, pertaining to Local (Council), and </w:t>
      </w:r>
      <w:r w:rsidR="001E0E84">
        <w:t>S</w:t>
      </w:r>
      <w:r w:rsidRPr="00531754">
        <w:t xml:space="preserve">tate investments in information, referral, learning and other </w:t>
      </w:r>
      <w:r w:rsidR="001E0E84" w:rsidRPr="00531754">
        <w:t>group-based</w:t>
      </w:r>
      <w:r w:rsidRPr="00531754">
        <w:t xml:space="preserve"> services </w:t>
      </w:r>
      <w:r w:rsidR="001E0E84">
        <w:t xml:space="preserve">will </w:t>
      </w:r>
      <w:r w:rsidRPr="00531754">
        <w:t xml:space="preserve">inform our understanding of the adequacy of such supports. </w:t>
      </w:r>
    </w:p>
    <w:p w14:paraId="4515C509" w14:textId="7916EF0E" w:rsidR="00531754" w:rsidRPr="00531754" w:rsidRDefault="00531754" w:rsidP="00DE3A9B">
      <w:pPr>
        <w:pStyle w:val="Heading2"/>
      </w:pPr>
      <w:bookmarkStart w:id="136" w:name="_Toc130942954"/>
      <w:r w:rsidRPr="00531754">
        <w:t xml:space="preserve">Role of </w:t>
      </w:r>
      <w:r w:rsidR="001E0E84">
        <w:t>C</w:t>
      </w:r>
      <w:r w:rsidRPr="00531754">
        <w:t>ouncils and the States pertaining to Tier 2 investment data</w:t>
      </w:r>
      <w:bookmarkEnd w:id="136"/>
    </w:p>
    <w:p w14:paraId="6F34CF45" w14:textId="23E21F14" w:rsidR="00531754" w:rsidRPr="00531754" w:rsidRDefault="00531754" w:rsidP="000F51F6">
      <w:r w:rsidRPr="00531754">
        <w:t>State and federal governments have a key role to play in the constitution of the NDDA, and in the provision of data necessary to ensure the program</w:t>
      </w:r>
      <w:r w:rsidR="001E0E84">
        <w:t>’</w:t>
      </w:r>
      <w:r w:rsidRPr="00531754">
        <w:t xml:space="preserve">s success. Presently, </w:t>
      </w:r>
      <w:r w:rsidR="001E0E84" w:rsidRPr="00531754">
        <w:t>several</w:t>
      </w:r>
      <w:r w:rsidRPr="00531754">
        <w:t xml:space="preserve"> critical data items pertaining to investment in Tier 2 like services, and disability expenditure generally are not broadly available to disability sector organisations, and this </w:t>
      </w:r>
      <w:r w:rsidR="001E0E84">
        <w:t>affects</w:t>
      </w:r>
      <w:r w:rsidR="001E0E84" w:rsidRPr="00531754">
        <w:t xml:space="preserve"> </w:t>
      </w:r>
      <w:r w:rsidRPr="00531754">
        <w:t xml:space="preserve">the quality of research and analysis of investment benefits, impact and outcomes. </w:t>
      </w:r>
    </w:p>
    <w:p w14:paraId="58008493" w14:textId="053D0E9A" w:rsidR="00531754" w:rsidRPr="00531754" w:rsidRDefault="00531754" w:rsidP="000F51F6">
      <w:r w:rsidRPr="00531754">
        <w:t xml:space="preserve">Significant progress has been achieved in improving the structure and nature of NDIS reporting, </w:t>
      </w:r>
      <w:r w:rsidR="001E0E84">
        <w:t xml:space="preserve">which </w:t>
      </w:r>
      <w:r w:rsidRPr="00531754">
        <w:t>is laudable, and further data is earmarked for release that will inform critical policy and research. However, while DSS and NDIS reporting has achieved notable progress, State and Local (Council) data on Tier 2 lacks sufficient granularity to assess and quantify utilisation, and ther</w:t>
      </w:r>
      <w:r w:rsidR="001E0E84">
        <w:t>e</w:t>
      </w:r>
      <w:r w:rsidRPr="00531754">
        <w:t xml:space="preserve"> remains little by way of Tier 2 block funding aligned outcomes data (information services, program provisions, Tier 2 aligned activity/participation data) and such data must be collected or released.  </w:t>
      </w:r>
    </w:p>
    <w:p w14:paraId="26EAD4A5" w14:textId="77777777" w:rsidR="00531754" w:rsidRPr="00531754" w:rsidRDefault="00531754" w:rsidP="000F51F6">
      <w:r w:rsidRPr="00531754">
        <w:t xml:space="preserve">Reporting at a local (council) level does not provide data with sufficient granularity to interrogate key sub-category level trends and ascertain the nature and extent of council expenditure of disability associated services and other ancillary benefits programs utilised by individuals that are disabled that are not within the NDIS. Consider the current classification method within Appendix 3. Currently, accessing data on disability expenditure at a local level with sufficient frequency would require the standardisation of reporting associated with all local councils and the capture of data at a more granular level than it is currently presented within the operating statements of council entities. </w:t>
      </w:r>
    </w:p>
    <w:p w14:paraId="3A5726B3" w14:textId="043F7056" w:rsidR="005345A6" w:rsidRDefault="00531754" w:rsidP="00C31809">
      <w:r w:rsidRPr="00531754">
        <w:lastRenderedPageBreak/>
        <w:t xml:space="preserve">At the state and federal level, </w:t>
      </w:r>
      <w:r w:rsidR="001E0E84" w:rsidRPr="00531754">
        <w:t>the NDDA</w:t>
      </w:r>
      <w:r w:rsidRPr="00531754">
        <w:t xml:space="preserve"> is a step in the right direction, with a capable model and committee, and promising preliminary pilot project results. Care must be taken to ensure that any new data capture process adequately accounts for the experiences of the 4 million individuals with a disability that are not within the NDIS. </w:t>
      </w:r>
      <w:bookmarkStart w:id="137" w:name="_Toc130567660"/>
    </w:p>
    <w:p w14:paraId="1F135431" w14:textId="6E25C72E" w:rsidR="00531754" w:rsidRPr="00531754" w:rsidRDefault="00531754" w:rsidP="00DE3A9B">
      <w:pPr>
        <w:pStyle w:val="Heading2"/>
      </w:pPr>
      <w:bookmarkStart w:id="138" w:name="_Toc130942955"/>
      <w:r w:rsidRPr="00531754">
        <w:t>Recommendation 7: More granular data provision at Local (Council) level</w:t>
      </w:r>
      <w:bookmarkEnd w:id="137"/>
      <w:bookmarkEnd w:id="138"/>
    </w:p>
    <w:p w14:paraId="444ED027" w14:textId="5190D22E" w:rsidR="00531754" w:rsidRPr="00531754" w:rsidRDefault="00531754" w:rsidP="000F51F6">
      <w:r w:rsidRPr="00531754">
        <w:t xml:space="preserve">It is essential that council level data in alignment with existing expenditure reporting frameworks be reported with sufficient </w:t>
      </w:r>
      <w:r w:rsidR="001E0E84">
        <w:t>detail</w:t>
      </w:r>
      <w:r w:rsidR="001E0E84" w:rsidRPr="00531754">
        <w:t xml:space="preserve"> </w:t>
      </w:r>
      <w:r w:rsidRPr="00531754">
        <w:t xml:space="preserve">to disentangle high level expenditure categories. Present reporting </w:t>
      </w:r>
      <w:r w:rsidR="001E0E84">
        <w:t>requirements are</w:t>
      </w:r>
      <w:r w:rsidRPr="00531754">
        <w:t xml:space="preserve"> that councils only report to 10 high level categories</w:t>
      </w:r>
      <w:r w:rsidR="005E41A5">
        <w:t>, know as functional purposes, and associated sub-categories</w:t>
      </w:r>
      <w:r w:rsidRPr="00531754">
        <w:t>, making the analysis of category specific expenditure untenable.</w:t>
      </w:r>
      <w:r w:rsidR="002C6390">
        <w:t xml:space="preserve"> (</w:t>
      </w:r>
      <w:r w:rsidR="002C6390" w:rsidRPr="00CB156E">
        <w:t xml:space="preserve">The classification of expenditure in </w:t>
      </w:r>
      <w:r w:rsidR="002C6390">
        <w:t>ABS</w:t>
      </w:r>
      <w:r w:rsidR="002C6390" w:rsidRPr="00CB156E">
        <w:t xml:space="preserve"> publications</w:t>
      </w:r>
      <w:r w:rsidR="002C6390">
        <w:t xml:space="preserve"> and datasets</w:t>
      </w:r>
      <w:r w:rsidR="002C6390" w:rsidRPr="00CB156E">
        <w:t xml:space="preserve"> is based on a system of classification developed by the OECD that splits expenditure by government into 10 functional categories under the “Classifications of the Functions of Government” (COFOG).</w:t>
      </w:r>
      <w:r w:rsidR="002C6390">
        <w:t xml:space="preserve"> The first level of the 10 functional purposes include, General public services, Public order and safety, Economic affairs, Environmental Protection, Housing and community amenities, Health, Recreation, culture and religion, Education, Social Protection, Transport. The category that incorporates disability expenditure is Social protection and is further segregated into 10 sub levels including Sickness and disability, Old age, Survivors, Family and children, Unemployment, Housing, Social exclusion n.e.c., RandD,  social protection, Social protection (including natural disaster relief), Social protection n.e.c. Detailed expenditure on Disability is not reported separately by councils beyond their financial reports and reporting to relevant state departments. State departments responsible for local government data furnish this data to the ABS.)</w:t>
      </w:r>
      <w:r w:rsidRPr="00531754">
        <w:t xml:space="preserve"> Reforms to reporting practices </w:t>
      </w:r>
      <w:r w:rsidR="005468A3">
        <w:t xml:space="preserve">and data sharing rules </w:t>
      </w:r>
      <w:r w:rsidRPr="00531754">
        <w:t>would inform disability and service delivery policy and support probity and transparency.  </w:t>
      </w:r>
    </w:p>
    <w:p w14:paraId="1E943A11" w14:textId="3DD3790F" w:rsidR="00531754" w:rsidRPr="00531754" w:rsidRDefault="00531754" w:rsidP="00DE3A9B">
      <w:pPr>
        <w:pStyle w:val="Heading2"/>
      </w:pPr>
      <w:bookmarkStart w:id="139" w:name="_Toc130567661"/>
      <w:bookmarkStart w:id="140" w:name="_Toc130942956"/>
      <w:r w:rsidRPr="00531754">
        <w:t>Recommendation 8: Provision of State level disability services investment data</w:t>
      </w:r>
      <w:bookmarkEnd w:id="139"/>
      <w:bookmarkEnd w:id="140"/>
      <w:r w:rsidRPr="00531754">
        <w:t xml:space="preserve"> </w:t>
      </w:r>
    </w:p>
    <w:p w14:paraId="72209483" w14:textId="12E092C2" w:rsidR="00531754" w:rsidRPr="00C31809" w:rsidRDefault="00531754" w:rsidP="00C31809">
      <w:r w:rsidRPr="00531754">
        <w:t xml:space="preserve">It is necessary that state agencies report on specific expenditures and investments made </w:t>
      </w:r>
      <w:r w:rsidR="001E0E84">
        <w:t>in</w:t>
      </w:r>
      <w:r w:rsidR="001E0E84" w:rsidRPr="00531754">
        <w:t xml:space="preserve"> </w:t>
      </w:r>
      <w:r w:rsidRPr="00531754">
        <w:t>to Tier 2 supports</w:t>
      </w:r>
      <w:r w:rsidR="001E0E84">
        <w:t>,</w:t>
      </w:r>
      <w:r w:rsidRPr="00531754">
        <w:t xml:space="preserve"> to enable informed assessment and informed policy decision-making in how resources are allocated between the different </w:t>
      </w:r>
      <w:r w:rsidR="001E0E84">
        <w:t>t</w:t>
      </w:r>
      <w:r w:rsidRPr="00531754">
        <w:t xml:space="preserve">iers of the NDIS. More granular program outcomes data is necessary to inform Tier 2 program design and to ensure the viable use of program funding. Both the funding uncertainty, volatile nature of funding and lack of </w:t>
      </w:r>
      <w:r w:rsidRPr="00531754">
        <w:lastRenderedPageBreak/>
        <w:t xml:space="preserve">published outcomes data makes the </w:t>
      </w:r>
      <w:r w:rsidR="001E0E84">
        <w:t>development</w:t>
      </w:r>
      <w:r w:rsidR="001E0E84" w:rsidRPr="00531754">
        <w:t xml:space="preserve"> </w:t>
      </w:r>
      <w:r w:rsidRPr="00531754">
        <w:t>of sound and useful services challenging.  </w:t>
      </w:r>
      <w:bookmarkStart w:id="141" w:name="_Toc119966549"/>
      <w:bookmarkStart w:id="142" w:name="_Toc120266203"/>
      <w:bookmarkStart w:id="143" w:name="_Toc120266238"/>
      <w:bookmarkStart w:id="144" w:name="_Toc120266358"/>
      <w:bookmarkStart w:id="145" w:name="_Toc120268933"/>
    </w:p>
    <w:p w14:paraId="66EE5DFF" w14:textId="77777777" w:rsidR="00531754" w:rsidRPr="00531754" w:rsidRDefault="00531754" w:rsidP="00917ED0">
      <w:pPr>
        <w:pStyle w:val="Heading1"/>
      </w:pPr>
      <w:bookmarkStart w:id="146" w:name="_Toc130942957"/>
      <w:r w:rsidRPr="00531754">
        <w:t>Conclusion</w:t>
      </w:r>
      <w:bookmarkEnd w:id="141"/>
      <w:bookmarkEnd w:id="142"/>
      <w:bookmarkEnd w:id="143"/>
      <w:bookmarkEnd w:id="144"/>
      <w:bookmarkEnd w:id="145"/>
      <w:bookmarkEnd w:id="146"/>
    </w:p>
    <w:p w14:paraId="6198FBF1" w14:textId="61B63E7E" w:rsidR="00531754" w:rsidRPr="00531754" w:rsidRDefault="00531754" w:rsidP="008148C6">
      <w:r w:rsidRPr="00531754">
        <w:t xml:space="preserve">While the NDIS and its benefits are largely discussed in the context of individual </w:t>
      </w:r>
      <w:r w:rsidR="001E0E84">
        <w:t xml:space="preserve">Tier 3 </w:t>
      </w:r>
      <w:r w:rsidRPr="00531754">
        <w:t>funding</w:t>
      </w:r>
      <w:r w:rsidR="001E0E84">
        <w:t xml:space="preserve"> packages</w:t>
      </w:r>
      <w:r w:rsidRPr="00531754">
        <w:t xml:space="preserve">, the role of Tier 2 supports </w:t>
      </w:r>
      <w:r w:rsidR="001E0E84">
        <w:t>must</w:t>
      </w:r>
      <w:r w:rsidR="001E0E84" w:rsidRPr="00531754">
        <w:t xml:space="preserve"> </w:t>
      </w:r>
      <w:r w:rsidRPr="00531754">
        <w:t xml:space="preserve">not be </w:t>
      </w:r>
      <w:r w:rsidR="001E0E84">
        <w:t>undervalued</w:t>
      </w:r>
      <w:r w:rsidRPr="00531754">
        <w:t>.  </w:t>
      </w:r>
    </w:p>
    <w:p w14:paraId="45063381" w14:textId="4A48867E" w:rsidR="00531754" w:rsidRPr="00531754" w:rsidRDefault="00531754" w:rsidP="008148C6">
      <w:r w:rsidRPr="00531754">
        <w:t xml:space="preserve">These supports are essential for building sector and community capacity to support individuals within the NDIS and those that are not within the scheme. Supports are also necessary to ensure that </w:t>
      </w:r>
      <w:r w:rsidR="001E0E84">
        <w:t>people</w:t>
      </w:r>
      <w:r w:rsidR="001E0E84" w:rsidRPr="00531754">
        <w:t xml:space="preserve"> </w:t>
      </w:r>
      <w:r w:rsidRPr="00531754">
        <w:t>living with disabilities can engage fully with the community.  Yet investment in ILC continues to be modest in comparison to LAC investment and individualised funding</w:t>
      </w:r>
      <w:r w:rsidR="001E0E84">
        <w:t>:</w:t>
      </w:r>
      <w:r w:rsidRPr="00531754">
        <w:t xml:space="preserve"> Tier 2 investment constitutes less than one percent of overall program funding, so even a small increase in funding would yield significant benefits.  </w:t>
      </w:r>
    </w:p>
    <w:p w14:paraId="19F2A55F" w14:textId="13AC5C24" w:rsidR="00531754" w:rsidRPr="00531754" w:rsidRDefault="00531754" w:rsidP="008148C6">
      <w:r w:rsidRPr="00531754">
        <w:t xml:space="preserve">It is highly </w:t>
      </w:r>
      <w:r w:rsidR="00ED4BC5">
        <w:t>likely</w:t>
      </w:r>
      <w:r w:rsidR="00ED4BC5" w:rsidRPr="00531754">
        <w:t xml:space="preserve"> </w:t>
      </w:r>
      <w:r w:rsidRPr="00531754">
        <w:t xml:space="preserve">that </w:t>
      </w:r>
      <w:r w:rsidR="00ED4BC5">
        <w:t>sharp</w:t>
      </w:r>
      <w:r w:rsidR="00ED4BC5" w:rsidRPr="00531754">
        <w:t xml:space="preserve"> </w:t>
      </w:r>
      <w:r w:rsidRPr="00531754">
        <w:t>declines in charitable volunteeri</w:t>
      </w:r>
      <w:r w:rsidR="00ED4BC5">
        <w:t>ng</w:t>
      </w:r>
      <w:r w:rsidRPr="00531754">
        <w:t xml:space="preserve"> have resulted in a </w:t>
      </w:r>
      <w:r w:rsidR="00ED4BC5">
        <w:t>reduction</w:t>
      </w:r>
      <w:r w:rsidR="00ED4BC5" w:rsidRPr="00531754">
        <w:t xml:space="preserve"> </w:t>
      </w:r>
      <w:r w:rsidRPr="00531754">
        <w:t>of ILC style activities</w:t>
      </w:r>
      <w:r w:rsidR="00ED4BC5">
        <w:t xml:space="preserve">. These </w:t>
      </w:r>
      <w:r w:rsidRPr="00531754">
        <w:t>declines predat</w:t>
      </w:r>
      <w:r w:rsidR="00ED4BC5">
        <w:t>e</w:t>
      </w:r>
      <w:r w:rsidRPr="00531754">
        <w:t xml:space="preserve"> the recent rounds of ILC investment, meaning that the recent rounds of investment are occurring at a time when the sector </w:t>
      </w:r>
      <w:r w:rsidR="00ED4BC5">
        <w:t>is shedding</w:t>
      </w:r>
      <w:r w:rsidR="00ED4BC5" w:rsidRPr="00531754">
        <w:t xml:space="preserve"> </w:t>
      </w:r>
      <w:r w:rsidRPr="00531754">
        <w:t xml:space="preserve">volunteers, and consequently social capital, community connections, and programs/activities. </w:t>
      </w:r>
    </w:p>
    <w:p w14:paraId="0CBEE842" w14:textId="1BA31704" w:rsidR="00531754" w:rsidRPr="00531754" w:rsidRDefault="00531754" w:rsidP="008148C6">
      <w:r w:rsidRPr="00531754">
        <w:t>While the modest increase in sector</w:t>
      </w:r>
      <w:r w:rsidR="00ED4BC5">
        <w:t>-</w:t>
      </w:r>
      <w:r w:rsidRPr="00531754">
        <w:t>specific staff volunteeri</w:t>
      </w:r>
      <w:r w:rsidR="00ED4BC5">
        <w:t>ng</w:t>
      </w:r>
      <w:r w:rsidRPr="00531754">
        <w:t xml:space="preserve"> (2019 to 2020) may be perceived as a sign of resilience at a time when the sector </w:t>
      </w:r>
      <w:r w:rsidR="00ED4BC5">
        <w:t>wa</w:t>
      </w:r>
      <w:r w:rsidRPr="00531754">
        <w:t>s facing significant headwinds, it also highlights the sector</w:t>
      </w:r>
      <w:r w:rsidR="00ED4BC5">
        <w:t>’</w:t>
      </w:r>
      <w:r w:rsidRPr="00531754">
        <w:t>s reliance on volunteer employees. Moreover, the modest recent increase in staff volunteeri</w:t>
      </w:r>
      <w:r w:rsidR="00ED4BC5">
        <w:t>ng</w:t>
      </w:r>
      <w:r w:rsidRPr="00531754">
        <w:t xml:space="preserve"> does not offset the significant decline in charitable volunteeri</w:t>
      </w:r>
      <w:r w:rsidR="00ED4BC5">
        <w:t>ng</w:t>
      </w:r>
      <w:r w:rsidRPr="00531754">
        <w:t xml:space="preserve"> </w:t>
      </w:r>
      <w:r w:rsidR="00ED4BC5">
        <w:t>since the onset of COVID-19</w:t>
      </w:r>
      <w:r w:rsidRPr="00531754">
        <w:t>.  </w:t>
      </w:r>
    </w:p>
    <w:p w14:paraId="41B55B11" w14:textId="2D327D2D" w:rsidR="00ED4BC5" w:rsidRDefault="00531754" w:rsidP="008148C6">
      <w:r w:rsidRPr="00531754">
        <w:t xml:space="preserve">A significant reduction in casual employment is observed within the sector, based on the most recently available ACNC datasets. While some of this decline is </w:t>
      </w:r>
      <w:r w:rsidR="00ED4BC5">
        <w:t>likely due</w:t>
      </w:r>
      <w:r w:rsidRPr="00531754">
        <w:t xml:space="preserve"> to the pandemic</w:t>
      </w:r>
      <w:r w:rsidR="00ED4BC5">
        <w:t>,</w:t>
      </w:r>
      <w:r w:rsidRPr="00531754">
        <w:t xml:space="preserve"> it is further evidence of </w:t>
      </w:r>
      <w:r w:rsidR="00ED4BC5">
        <w:t xml:space="preserve">a </w:t>
      </w:r>
      <w:r w:rsidRPr="00531754">
        <w:t>reduction in the human capital available within the sector to deliver Tier 2/ILC type programs and initiatives. </w:t>
      </w:r>
    </w:p>
    <w:p w14:paraId="12E0EF0A" w14:textId="0E5FDB17" w:rsidR="00531754" w:rsidRPr="00531754" w:rsidRDefault="00ED4BC5" w:rsidP="008148C6">
      <w:r>
        <w:t>Changes</w:t>
      </w:r>
      <w:r w:rsidRPr="00531754">
        <w:t xml:space="preserve"> </w:t>
      </w:r>
      <w:r w:rsidR="00531754" w:rsidRPr="00531754">
        <w:t xml:space="preserve">in full time employment </w:t>
      </w:r>
      <w:r>
        <w:t>demonstrate</w:t>
      </w:r>
      <w:r w:rsidRPr="00531754">
        <w:t xml:space="preserve"> </w:t>
      </w:r>
      <w:r w:rsidR="00531754" w:rsidRPr="00531754">
        <w:t>a degree of historic turnover and COVID</w:t>
      </w:r>
      <w:r>
        <w:t>-</w:t>
      </w:r>
      <w:r w:rsidR="00531754" w:rsidRPr="00531754">
        <w:t>specific effects</w:t>
      </w:r>
      <w:r>
        <w:t>:</w:t>
      </w:r>
      <w:r w:rsidR="00531754" w:rsidRPr="00531754">
        <w:t xml:space="preserve"> the sector appears </w:t>
      </w:r>
      <w:r w:rsidRPr="00531754">
        <w:t xml:space="preserve">still </w:t>
      </w:r>
      <w:r w:rsidR="00531754" w:rsidRPr="00531754">
        <w:t xml:space="preserve">to be </w:t>
      </w:r>
      <w:r>
        <w:t xml:space="preserve">adjusting to the </w:t>
      </w:r>
      <w:r w:rsidR="00531754" w:rsidRPr="00531754">
        <w:t xml:space="preserve">impact of the pandemic. While employment aligning to Tier 3 funding is likely to remain strong, it is uncertain whether job </w:t>
      </w:r>
      <w:r w:rsidR="00531754" w:rsidRPr="00531754">
        <w:lastRenderedPageBreak/>
        <w:t>losses aligned to non-Tier 3 supports (Tier 2/ILC style programs and activities) will return as rapidly or at all.  </w:t>
      </w:r>
    </w:p>
    <w:p w14:paraId="5A3F1BE9" w14:textId="735E8EE7" w:rsidR="00531754" w:rsidRPr="00531754" w:rsidRDefault="00531754" w:rsidP="008148C6">
      <w:r w:rsidRPr="00531754">
        <w:t xml:space="preserve">Donor revenues have also declined based on the most recent data available </w:t>
      </w:r>
      <w:r w:rsidR="00ED4BC5">
        <w:t>from</w:t>
      </w:r>
      <w:r w:rsidR="00ED4BC5" w:rsidRPr="00531754">
        <w:t xml:space="preserve"> </w:t>
      </w:r>
      <w:r w:rsidRPr="00531754">
        <w:t xml:space="preserve">the ACNC. </w:t>
      </w:r>
      <w:r w:rsidR="00ED4BC5">
        <w:t>As</w:t>
      </w:r>
      <w:r w:rsidRPr="00531754">
        <w:t xml:space="preserve"> </w:t>
      </w:r>
      <w:r w:rsidR="00ED4BC5">
        <w:t xml:space="preserve">donor </w:t>
      </w:r>
      <w:r w:rsidRPr="00531754">
        <w:t xml:space="preserve">revenues </w:t>
      </w:r>
      <w:r w:rsidR="00ED4BC5">
        <w:t>flow largely</w:t>
      </w:r>
      <w:r w:rsidRPr="00531754">
        <w:t xml:space="preserve"> to program delivery and information services, </w:t>
      </w:r>
      <w:r w:rsidR="00ED4BC5">
        <w:t xml:space="preserve">this will place </w:t>
      </w:r>
      <w:r w:rsidRPr="00531754">
        <w:t xml:space="preserve">further pressures on the future delivery of such services. Cost of living pressures may also cause many </w:t>
      </w:r>
      <w:r w:rsidR="00ED4BC5">
        <w:t xml:space="preserve">former volunteers </w:t>
      </w:r>
      <w:r w:rsidRPr="00531754">
        <w:t>to discontinue charitable activity</w:t>
      </w:r>
      <w:r w:rsidR="00ED4BC5">
        <w:t>, as they are forced to take on more hours of paid work</w:t>
      </w:r>
      <w:r w:rsidRPr="00531754">
        <w:t xml:space="preserve">. </w:t>
      </w:r>
    </w:p>
    <w:p w14:paraId="421EAC36" w14:textId="15C36860" w:rsidR="00531754" w:rsidRPr="00531754" w:rsidRDefault="00531754" w:rsidP="008148C6">
      <w:r w:rsidRPr="00531754">
        <w:t>As noted by the P</w:t>
      </w:r>
      <w:r w:rsidR="00ED4BC5">
        <w:t xml:space="preserve">roductivity </w:t>
      </w:r>
      <w:r w:rsidRPr="00531754">
        <w:t>C</w:t>
      </w:r>
      <w:r w:rsidR="00ED4BC5">
        <w:t>ommission</w:t>
      </w:r>
      <w:r w:rsidRPr="00531754">
        <w:t xml:space="preserve"> in 2017:</w:t>
      </w:r>
    </w:p>
    <w:p w14:paraId="2DC1630B" w14:textId="77777777" w:rsidR="00531754" w:rsidRPr="00531754" w:rsidRDefault="00531754" w:rsidP="008148C6">
      <w:pPr>
        <w:ind w:left="720"/>
      </w:pPr>
      <w:r w:rsidRPr="00531754">
        <w:t>The interface between the NDIS and other disability and mainstream services is critical for participant outcomes and the financial sustainability of the scheme. Some disability supports are not being provided because of unclear boundaries about the responsibilities of the different levels of government. Governments must set clearer boundaries at the operational level around ‘who supplies what’ to people with disability, and only withdraw services when continuity of service is assured.</w:t>
      </w:r>
    </w:p>
    <w:p w14:paraId="2AF96662" w14:textId="13BF3F1C" w:rsidR="00ED4BC5" w:rsidRDefault="00ED4BC5" w:rsidP="008148C6">
      <w:r>
        <w:t>As such, the likely impact</w:t>
      </w:r>
      <w:r w:rsidR="00531754" w:rsidRPr="00531754">
        <w:t xml:space="preserve"> of </w:t>
      </w:r>
      <w:r>
        <w:t xml:space="preserve">the noted </w:t>
      </w:r>
      <w:r w:rsidR="00531754" w:rsidRPr="00531754">
        <w:t>declines in volunteeri</w:t>
      </w:r>
      <w:r>
        <w:t>ng</w:t>
      </w:r>
      <w:r w:rsidR="00531754" w:rsidRPr="00531754">
        <w:t xml:space="preserve">, </w:t>
      </w:r>
      <w:r>
        <w:t xml:space="preserve">increased </w:t>
      </w:r>
      <w:r w:rsidR="00531754" w:rsidRPr="00531754">
        <w:t xml:space="preserve">volatility in donations, and </w:t>
      </w:r>
      <w:r>
        <w:t xml:space="preserve">the reduction of </w:t>
      </w:r>
      <w:r w:rsidR="00531754" w:rsidRPr="00531754">
        <w:t xml:space="preserve">Tier 2 grant provisions puts service continuity at </w:t>
      </w:r>
      <w:r>
        <w:t xml:space="preserve">significant </w:t>
      </w:r>
      <w:r w:rsidR="00531754" w:rsidRPr="00531754">
        <w:t xml:space="preserve">risk. </w:t>
      </w:r>
    </w:p>
    <w:p w14:paraId="58587BA8" w14:textId="1065ECF4" w:rsidR="00ED4BC5" w:rsidRDefault="00531754" w:rsidP="008148C6">
      <w:r w:rsidRPr="00531754">
        <w:t>The unevenness of grant provisions in a time of immense uncertainty, and the modest investment in Tier 2 service aligned grants</w:t>
      </w:r>
      <w:r w:rsidR="00ED4BC5">
        <w:t>,</w:t>
      </w:r>
      <w:r w:rsidRPr="00531754">
        <w:t xml:space="preserve"> is a genuine source of </w:t>
      </w:r>
      <w:r w:rsidR="00ED4BC5">
        <w:t>concern for the disability sector</w:t>
      </w:r>
      <w:r w:rsidRPr="00531754">
        <w:t>.</w:t>
      </w:r>
      <w:r w:rsidRPr="00531754">
        <w:rPr>
          <w:i/>
          <w:iCs/>
        </w:rPr>
        <w:t> </w:t>
      </w:r>
      <w:r w:rsidRPr="00531754">
        <w:t xml:space="preserve"> For both Tier 1 and Tier 2, the P</w:t>
      </w:r>
      <w:r w:rsidR="00ED4BC5">
        <w:t xml:space="preserve">roductivity </w:t>
      </w:r>
      <w:r w:rsidRPr="00531754">
        <w:t>C</w:t>
      </w:r>
      <w:r w:rsidR="00ED4BC5">
        <w:t>ommission</w:t>
      </w:r>
      <w:r w:rsidRPr="00531754">
        <w:t xml:space="preserve"> </w:t>
      </w:r>
      <w:r w:rsidR="00ED4BC5">
        <w:t>expected</w:t>
      </w:r>
      <w:r w:rsidR="00ED4BC5" w:rsidRPr="00531754">
        <w:t xml:space="preserve"> </w:t>
      </w:r>
      <w:r w:rsidRPr="00531754">
        <w:t xml:space="preserve">that the population of potential participants would be very high, but the overall costs would be small. </w:t>
      </w:r>
    </w:p>
    <w:p w14:paraId="6F016526" w14:textId="75501040" w:rsidR="00531754" w:rsidRPr="00531754" w:rsidRDefault="00531754" w:rsidP="008148C6">
      <w:r w:rsidRPr="00531754">
        <w:t xml:space="preserve">Tier 2 </w:t>
      </w:r>
      <w:r w:rsidR="00ED4BC5">
        <w:t>was</w:t>
      </w:r>
      <w:r w:rsidR="00ED4BC5" w:rsidRPr="00531754">
        <w:t xml:space="preserve"> </w:t>
      </w:r>
      <w:r w:rsidRPr="00531754">
        <w:t xml:space="preserve">also </w:t>
      </w:r>
      <w:r w:rsidR="00ED4BC5">
        <w:t xml:space="preserve">to serve as </w:t>
      </w:r>
      <w:r w:rsidRPr="00531754">
        <w:t xml:space="preserve">a form of early intervention by </w:t>
      </w:r>
      <w:r w:rsidR="00ED4BC5">
        <w:t xml:space="preserve">reducing the possibility that </w:t>
      </w:r>
      <w:r w:rsidRPr="00531754">
        <w:t xml:space="preserve">Tier 2 participants </w:t>
      </w:r>
      <w:r w:rsidR="00ED4BC5">
        <w:t xml:space="preserve">would move to a full </w:t>
      </w:r>
      <w:r w:rsidRPr="00531754">
        <w:t xml:space="preserve">Tier 3 </w:t>
      </w:r>
      <w:r w:rsidR="00ED4BC5">
        <w:t xml:space="preserve">support package </w:t>
      </w:r>
      <w:r w:rsidRPr="00531754">
        <w:t xml:space="preserve">as their disability progresses. </w:t>
      </w:r>
      <w:r w:rsidR="00ED4BC5">
        <w:t>Therefore, u</w:t>
      </w:r>
      <w:r w:rsidRPr="00531754">
        <w:t>nder</w:t>
      </w:r>
      <w:r w:rsidR="00ED4BC5">
        <w:t>-</w:t>
      </w:r>
      <w:r w:rsidRPr="00531754">
        <w:t>investment in Tier 2 may give rise to greater Tier 3 expenditures in the future.</w:t>
      </w:r>
      <w:r w:rsidRPr="00531754">
        <w:rPr>
          <w:i/>
          <w:iCs/>
        </w:rPr>
        <w:t> </w:t>
      </w:r>
      <w:r w:rsidRPr="00531754">
        <w:t> </w:t>
      </w:r>
    </w:p>
    <w:p w14:paraId="02B2589A" w14:textId="77777777" w:rsidR="00ED4BC5" w:rsidRDefault="00531754" w:rsidP="008148C6">
      <w:r w:rsidRPr="00531754">
        <w:t xml:space="preserve">The decline of Tier 2 services has led Professor Bruce Bonyhady (2021) to comment that the NDIS has become </w:t>
      </w:r>
      <w:r w:rsidRPr="00FA02D0">
        <w:t>an "oasis in the desert", with</w:t>
      </w:r>
      <w:r w:rsidRPr="00531754">
        <w:t xml:space="preserve"> those not within the scope of the scheme left with inadequate support (see Jervis Harty 2021).  </w:t>
      </w:r>
    </w:p>
    <w:p w14:paraId="6D5CB61B" w14:textId="5099D02A" w:rsidR="00531754" w:rsidRPr="00182A37" w:rsidRDefault="00531754" w:rsidP="00182A37">
      <w:r w:rsidRPr="00531754">
        <w:t xml:space="preserve">As the transition from federated supports to a more viable integrated model continues, ensuring the continuity of existing Tier 2 supports and investing in future Tier 2 activities will </w:t>
      </w:r>
      <w:r w:rsidRPr="00531754">
        <w:lastRenderedPageBreak/>
        <w:t>be essential to ensuring a thriving</w:t>
      </w:r>
      <w:r w:rsidR="00ED4BC5">
        <w:t>,</w:t>
      </w:r>
      <w:r w:rsidRPr="00531754">
        <w:t xml:space="preserve"> broad-based disability </w:t>
      </w:r>
      <w:r w:rsidR="00ED4BC5">
        <w:t xml:space="preserve">services </w:t>
      </w:r>
      <w:r w:rsidRPr="00531754">
        <w:t>sector</w:t>
      </w:r>
      <w:r w:rsidR="00ED4BC5">
        <w:t>, that can ensure that all people with disabilities receive the support and services they need to participate fully in society</w:t>
      </w:r>
      <w:r w:rsidRPr="00531754">
        <w:t>.</w:t>
      </w:r>
      <w:r w:rsidR="00ED4BC5">
        <w:t xml:space="preserve"> This was, after all, the guiding vision of the NDIS as it was originally conceived.</w:t>
      </w:r>
      <w:r w:rsidRPr="00531754">
        <w:t xml:space="preserve"> </w:t>
      </w:r>
      <w:bookmarkStart w:id="147" w:name="_Toc119966550"/>
      <w:bookmarkStart w:id="148" w:name="_Toc120266204"/>
      <w:bookmarkStart w:id="149" w:name="_Toc120266239"/>
      <w:bookmarkStart w:id="150" w:name="_Toc120266359"/>
    </w:p>
    <w:p w14:paraId="18C3139C" w14:textId="77777777" w:rsidR="00531754" w:rsidRPr="00531754" w:rsidRDefault="00531754" w:rsidP="00917ED0">
      <w:pPr>
        <w:pStyle w:val="Heading1"/>
      </w:pPr>
      <w:bookmarkStart w:id="151" w:name="_Toc120268934"/>
      <w:bookmarkStart w:id="152" w:name="_Toc130942958"/>
      <w:r w:rsidRPr="00531754">
        <w:t>Bibliography</w:t>
      </w:r>
      <w:bookmarkEnd w:id="147"/>
      <w:bookmarkEnd w:id="148"/>
      <w:bookmarkEnd w:id="149"/>
      <w:bookmarkEnd w:id="150"/>
      <w:bookmarkEnd w:id="151"/>
      <w:bookmarkEnd w:id="152"/>
      <w:r w:rsidRPr="00531754">
        <w:t xml:space="preserve"> </w:t>
      </w:r>
    </w:p>
    <w:p w14:paraId="781412EB" w14:textId="77777777" w:rsidR="00531754" w:rsidRPr="00531754" w:rsidRDefault="00531754" w:rsidP="006C69EB">
      <w:pPr>
        <w:rPr>
          <w:shd w:val="clear" w:color="auto" w:fill="FFFFFF"/>
        </w:rPr>
      </w:pPr>
      <w:r w:rsidRPr="00531754">
        <w:rPr>
          <w:shd w:val="clear" w:color="auto" w:fill="FFFFFF"/>
        </w:rPr>
        <w:t xml:space="preserve">ACNC Datasets (2019) </w:t>
      </w:r>
    </w:p>
    <w:p w14:paraId="3526B908" w14:textId="77777777" w:rsidR="00531754" w:rsidRPr="00531754" w:rsidRDefault="00531754" w:rsidP="006C69EB">
      <w:pPr>
        <w:rPr>
          <w:shd w:val="clear" w:color="auto" w:fill="FFFFFF"/>
        </w:rPr>
      </w:pPr>
      <w:r w:rsidRPr="00531754">
        <w:rPr>
          <w:shd w:val="clear" w:color="auto" w:fill="FFFFFF"/>
        </w:rPr>
        <w:t>ACNC Datasets (2020)</w:t>
      </w:r>
    </w:p>
    <w:p w14:paraId="299544E5" w14:textId="77777777" w:rsidR="00531754" w:rsidRPr="00531754" w:rsidRDefault="00531754" w:rsidP="006C69EB">
      <w:pPr>
        <w:rPr>
          <w:shd w:val="clear" w:color="auto" w:fill="FFFFFF"/>
        </w:rPr>
      </w:pPr>
      <w:r w:rsidRPr="00531754">
        <w:rPr>
          <w:shd w:val="clear" w:color="auto" w:fill="FFFFFF"/>
        </w:rPr>
        <w:t>AIHW Datasets (2022)</w:t>
      </w:r>
    </w:p>
    <w:p w14:paraId="5E80C8A0" w14:textId="5EF12602" w:rsidR="00531754" w:rsidRPr="00531754" w:rsidRDefault="00531754" w:rsidP="006C69EB">
      <w:pPr>
        <w:rPr>
          <w:shd w:val="clear" w:color="auto" w:fill="FFFFFF"/>
        </w:rPr>
      </w:pPr>
      <w:r w:rsidRPr="00531754">
        <w:rPr>
          <w:shd w:val="clear" w:color="auto" w:fill="FFFFFF"/>
        </w:rPr>
        <w:t>AIHW (2023) Housing and Homelessness Datasets (2023)</w:t>
      </w:r>
      <w:r w:rsidRPr="00531754">
        <w:rPr>
          <w:shd w:val="clear" w:color="auto" w:fill="FFFFFF"/>
        </w:rPr>
        <w:br/>
      </w:r>
      <w:hyperlink r:id="rId10" w:history="1">
        <w:r w:rsidR="00182A37">
          <w:rPr>
            <w:rStyle w:val="Hyperlink"/>
            <w:rFonts w:cs="Arial"/>
            <w:sz w:val="22"/>
            <w:shd w:val="clear" w:color="auto" w:fill="FFFFFF"/>
          </w:rPr>
          <w:t>People with disability in Australia aihw.gov.au</w:t>
        </w:r>
      </w:hyperlink>
      <w:r w:rsidRPr="00531754">
        <w:rPr>
          <w:shd w:val="clear" w:color="auto" w:fill="FFFFFF"/>
        </w:rPr>
        <w:t xml:space="preserve"> </w:t>
      </w:r>
    </w:p>
    <w:p w14:paraId="0D9D8E40" w14:textId="77777777" w:rsidR="00531754" w:rsidRPr="00531754" w:rsidRDefault="00531754" w:rsidP="006C69EB">
      <w:pPr>
        <w:rPr>
          <w:shd w:val="clear" w:color="auto" w:fill="FFFFFF"/>
        </w:rPr>
      </w:pPr>
      <w:r w:rsidRPr="00531754">
        <w:rPr>
          <w:shd w:val="clear" w:color="auto" w:fill="FFFFFF"/>
        </w:rPr>
        <w:t>Biddle, N. and Gray, M., 2021. Volunteering during the first year of the COVID-19 pandemic (April 2021).</w:t>
      </w:r>
    </w:p>
    <w:p w14:paraId="7066E4D8" w14:textId="77777777" w:rsidR="00531754" w:rsidRPr="00531754" w:rsidRDefault="00531754" w:rsidP="006C69EB">
      <w:pPr>
        <w:rPr>
          <w:shd w:val="clear" w:color="auto" w:fill="FFFFFF"/>
        </w:rPr>
      </w:pPr>
      <w:r w:rsidRPr="00531754">
        <w:rPr>
          <w:shd w:val="clear" w:color="auto" w:fill="FFFFFF"/>
        </w:rPr>
        <w:t>Cortis, N. and Van Toorn, G., 2021. Commentary on “Regulating disability services: the case of Australia’s National Disability Insurance Scheme quality and safeguarding system”(Hough, 2021). Research and Practice in Intellectual and Developmental Disabilities, 8(2), pp.119-125.</w:t>
      </w:r>
    </w:p>
    <w:p w14:paraId="36662A21" w14:textId="77777777" w:rsidR="00531754" w:rsidRPr="00531754" w:rsidRDefault="00531754" w:rsidP="006C69EB">
      <w:pPr>
        <w:rPr>
          <w:shd w:val="clear" w:color="auto" w:fill="FFFFFF"/>
        </w:rPr>
      </w:pPr>
      <w:r w:rsidRPr="00531754">
        <w:rPr>
          <w:shd w:val="clear" w:color="auto" w:fill="FFFFFF"/>
        </w:rPr>
        <w:t>DSS Datasets (2022)</w:t>
      </w:r>
    </w:p>
    <w:p w14:paraId="086B10FA" w14:textId="77777777" w:rsidR="00531754" w:rsidRPr="00531754" w:rsidRDefault="00531754" w:rsidP="006C69EB">
      <w:pPr>
        <w:rPr>
          <w:shd w:val="clear" w:color="auto" w:fill="FFFFFF"/>
        </w:rPr>
      </w:pPr>
      <w:r w:rsidRPr="00531754">
        <w:rPr>
          <w:shd w:val="clear" w:color="auto" w:fill="FFFFFF"/>
        </w:rPr>
        <w:t>Hough, A., 2021. Regulating disability services: the case of Australia’s National Disability Insurance Scheme quality and safeguarding system. Research and Practice in Intellectual and Developmental Disabilities, 8(2), pp.99-110.</w:t>
      </w:r>
    </w:p>
    <w:p w14:paraId="0E770A42" w14:textId="77777777" w:rsidR="00531754" w:rsidRPr="00531754" w:rsidRDefault="00531754" w:rsidP="006C69EB">
      <w:pPr>
        <w:rPr>
          <w:shd w:val="clear" w:color="auto" w:fill="FFFFFF"/>
        </w:rPr>
      </w:pPr>
      <w:r w:rsidRPr="00531754">
        <w:rPr>
          <w:shd w:val="clear" w:color="auto" w:fill="FFFFFF"/>
        </w:rPr>
        <w:t>Institute of Community Directors Australia (2020) COVID-19 Community Sector Impact Survey</w:t>
      </w:r>
    </w:p>
    <w:p w14:paraId="07D14BBD" w14:textId="77777777" w:rsidR="00531754" w:rsidRPr="00531754" w:rsidRDefault="00531754" w:rsidP="006C69EB">
      <w:pPr>
        <w:rPr>
          <w:shd w:val="clear" w:color="auto" w:fill="FFFFFF"/>
        </w:rPr>
      </w:pPr>
      <w:r w:rsidRPr="00531754">
        <w:rPr>
          <w:shd w:val="clear" w:color="auto" w:fill="FFFFFF"/>
        </w:rPr>
        <w:t>Institute of Community Directors Australia (2020) Volunteering is in crisis: mounting a response</w:t>
      </w:r>
    </w:p>
    <w:p w14:paraId="03534943" w14:textId="77777777" w:rsidR="00531754" w:rsidRPr="00531754" w:rsidRDefault="00531754" w:rsidP="006C69EB">
      <w:pPr>
        <w:rPr>
          <w:shd w:val="clear" w:color="auto" w:fill="FFFFFF"/>
        </w:rPr>
      </w:pPr>
      <w:r w:rsidRPr="00531754">
        <w:rPr>
          <w:shd w:val="clear" w:color="auto" w:fill="FFFFFF"/>
        </w:rPr>
        <w:t>Jervis-Bardy, D., (2022) NDIS: Reynolds flags new approach for tier 2 of NDIS, Canberra Times</w:t>
      </w:r>
    </w:p>
    <w:p w14:paraId="2D2E3A46" w14:textId="77777777" w:rsidR="00531754" w:rsidRPr="00531754" w:rsidRDefault="00531754" w:rsidP="006C69EB">
      <w:pPr>
        <w:rPr>
          <w:shd w:val="clear" w:color="auto" w:fill="FFFFFF"/>
        </w:rPr>
      </w:pPr>
      <w:r w:rsidRPr="00531754">
        <w:rPr>
          <w:shd w:val="clear" w:color="auto" w:fill="FFFFFF"/>
        </w:rPr>
        <w:t>Jervis-Bardy, D., (2022), NDIS architect tapped to help steer review of $30bn scheme, Canberra Times</w:t>
      </w:r>
    </w:p>
    <w:p w14:paraId="617E6C57" w14:textId="77777777" w:rsidR="00531754" w:rsidRPr="00531754" w:rsidRDefault="00531754" w:rsidP="006C69EB">
      <w:pPr>
        <w:rPr>
          <w:shd w:val="clear" w:color="auto" w:fill="FFFFFF"/>
        </w:rPr>
      </w:pPr>
      <w:r w:rsidRPr="00531754">
        <w:rPr>
          <w:shd w:val="clear" w:color="auto" w:fill="FFFFFF"/>
        </w:rPr>
        <w:t>NDIS Datasets (2022)</w:t>
      </w:r>
    </w:p>
    <w:p w14:paraId="4A0F3F70" w14:textId="77777777" w:rsidR="00531754" w:rsidRPr="00531754" w:rsidRDefault="00531754" w:rsidP="006C69EB">
      <w:pPr>
        <w:rPr>
          <w:shd w:val="clear" w:color="auto" w:fill="FFFFFF"/>
        </w:rPr>
      </w:pPr>
      <w:r w:rsidRPr="00531754">
        <w:rPr>
          <w:shd w:val="clear" w:color="auto" w:fill="FFFFFF"/>
        </w:rPr>
        <w:lastRenderedPageBreak/>
        <w:t>Olney, S. and Dickinson, H., 2019. Australia's new National Disability Insurance Scheme: Implications for policy and practice. Policy Design and Practice, 2(3), pp.275-290.</w:t>
      </w:r>
    </w:p>
    <w:p w14:paraId="460192DD" w14:textId="77777777" w:rsidR="00531754" w:rsidRPr="00531754" w:rsidRDefault="00531754" w:rsidP="006C69EB">
      <w:pPr>
        <w:rPr>
          <w:shd w:val="clear" w:color="auto" w:fill="FFFFFF"/>
        </w:rPr>
      </w:pPr>
      <w:r w:rsidRPr="00531754">
        <w:rPr>
          <w:shd w:val="clear" w:color="auto" w:fill="FFFFFF"/>
        </w:rPr>
        <w:t>Per Capita (2021) False economy: the economic benefits of the NDIS and the consequences of government cost-cutting</w:t>
      </w:r>
    </w:p>
    <w:p w14:paraId="456C06B2" w14:textId="77777777" w:rsidR="00531754" w:rsidRPr="00531754" w:rsidRDefault="00531754" w:rsidP="006C69EB">
      <w:pPr>
        <w:rPr>
          <w:shd w:val="clear" w:color="auto" w:fill="FFFFFF"/>
        </w:rPr>
      </w:pPr>
      <w:r w:rsidRPr="00531754">
        <w:rPr>
          <w:shd w:val="clear" w:color="auto" w:fill="FFFFFF"/>
        </w:rPr>
        <w:t>Productivity Commission, 2017. National disability insurance scheme (NDIS) costs: Issues paper.</w:t>
      </w:r>
    </w:p>
    <w:p w14:paraId="44842849" w14:textId="77777777" w:rsidR="00FD140D" w:rsidRDefault="00531754" w:rsidP="006C69EB">
      <w:r w:rsidRPr="00531754">
        <w:rPr>
          <w:shd w:val="clear" w:color="auto" w:fill="FFFFFF"/>
        </w:rPr>
        <w:t>Productivity Commission, 2017. National disability insurance scheme (NDIS) costs: Study report. Productivity Commission.</w:t>
      </w:r>
    </w:p>
    <w:p w14:paraId="2E73BFA0" w14:textId="5AE2A942" w:rsidR="00FD140D" w:rsidRDefault="00531754" w:rsidP="006C69EB">
      <w:r w:rsidRPr="00FD140D">
        <w:t xml:space="preserve">Productivity Commission, 2023, Report on Government Services, </w:t>
      </w:r>
      <w:hyperlink r:id="rId11" w:history="1">
        <w:r w:rsidR="00FD140D" w:rsidRPr="00FD140D">
          <w:rPr>
            <w:rStyle w:val="Hyperlink"/>
          </w:rPr>
          <w:t>Report on Government Services 2023 pc.gov.au</w:t>
        </w:r>
      </w:hyperlink>
      <w:r w:rsidRPr="00531754">
        <w:t xml:space="preserve"> </w:t>
      </w:r>
    </w:p>
    <w:p w14:paraId="11DB1355" w14:textId="48ACF65A" w:rsidR="00531754" w:rsidRPr="00531754" w:rsidRDefault="00695FF4" w:rsidP="006C69EB">
      <w:r>
        <w:t>Webpages</w:t>
      </w:r>
    </w:p>
    <w:bookmarkStart w:id="153" w:name="_Toc119966551"/>
    <w:bookmarkStart w:id="154" w:name="_Toc120266205"/>
    <w:bookmarkStart w:id="155" w:name="_Toc120266240"/>
    <w:bookmarkStart w:id="156" w:name="_Toc120266360"/>
    <w:p w14:paraId="2AB03C55" w14:textId="7A06BD06" w:rsidR="00531754" w:rsidRPr="00FD140D" w:rsidRDefault="00695FF4" w:rsidP="00FD140D">
      <w:pPr>
        <w:rPr>
          <w:rFonts w:eastAsiaTheme="majorEastAsia" w:cstheme="majorBidi"/>
          <w:color w:val="1E4E42" w:themeColor="accent1"/>
          <w:sz w:val="32"/>
          <w:szCs w:val="32"/>
        </w:rPr>
      </w:pPr>
      <w:r>
        <w:rPr>
          <w:rFonts w:asciiTheme="minorHAnsi" w:hAnsiTheme="minorHAnsi"/>
          <w:sz w:val="22"/>
        </w:rPr>
        <w:fldChar w:fldCharType="begin"/>
      </w:r>
      <w:r w:rsidR="002221D3">
        <w:rPr>
          <w:rFonts w:asciiTheme="minorHAnsi" w:hAnsiTheme="minorHAnsi"/>
          <w:sz w:val="22"/>
        </w:rPr>
        <w:instrText>HYPERLINK "https://ourguidelines.ndis.gov.au/home/becoming-participant/applying-ndis/what-do-we-mean-applying-ndis" \l ":~:text=early%20childhood%20approach.-,Are%20you%20eligible%20for%20the%20NDIS%3F,disability%20caused%20by%20an%20impairment"</w:instrText>
      </w:r>
      <w:r>
        <w:rPr>
          <w:rFonts w:asciiTheme="minorHAnsi" w:hAnsiTheme="minorHAnsi"/>
          <w:sz w:val="22"/>
        </w:rPr>
      </w:r>
      <w:r>
        <w:rPr>
          <w:rFonts w:asciiTheme="minorHAnsi" w:hAnsiTheme="minorHAnsi"/>
          <w:sz w:val="22"/>
        </w:rPr>
        <w:fldChar w:fldCharType="separate"/>
      </w:r>
      <w:r w:rsidR="002221D3">
        <w:rPr>
          <w:rStyle w:val="Hyperlink"/>
          <w:rFonts w:eastAsiaTheme="majorEastAsia"/>
        </w:rPr>
        <w:t>Are you eligible for the NDIS? ourguidelines.ndis.gov.au</w:t>
      </w:r>
      <w:r>
        <w:rPr>
          <w:rStyle w:val="Hyperlink"/>
          <w:rFonts w:eastAsiaTheme="majorEastAsia"/>
        </w:rPr>
        <w:fldChar w:fldCharType="end"/>
      </w:r>
      <w:bookmarkStart w:id="157" w:name="_Toc120268935"/>
    </w:p>
    <w:p w14:paraId="46075DEC" w14:textId="77777777" w:rsidR="00531754" w:rsidRPr="00531754" w:rsidRDefault="00531754" w:rsidP="00917ED0">
      <w:pPr>
        <w:pStyle w:val="Heading1"/>
      </w:pPr>
      <w:bookmarkStart w:id="158" w:name="_Toc130942959"/>
      <w:r w:rsidRPr="00531754">
        <w:t>Appendix 1 - Large ILC (and other relevant) Grants Reviewed</w:t>
      </w:r>
      <w:bookmarkEnd w:id="153"/>
      <w:bookmarkEnd w:id="154"/>
      <w:bookmarkEnd w:id="155"/>
      <w:bookmarkEnd w:id="156"/>
      <w:bookmarkEnd w:id="157"/>
      <w:bookmarkEnd w:id="158"/>
      <w:r w:rsidRPr="00531754">
        <w:t> </w:t>
      </w:r>
    </w:p>
    <w:p w14:paraId="23AB06CB" w14:textId="77777777" w:rsidR="00531754" w:rsidRPr="00531754" w:rsidRDefault="00531754" w:rsidP="006C69EB">
      <w:r w:rsidRPr="00531754">
        <w:t>The following list is a (non-exhaustive) summary of the major grants reviewed in conducting this analysis:</w:t>
      </w:r>
    </w:p>
    <w:p w14:paraId="73306E56" w14:textId="77777777" w:rsidR="00531754" w:rsidRPr="00531754" w:rsidRDefault="00531754" w:rsidP="0083058C">
      <w:pPr>
        <w:pStyle w:val="ListParagraph"/>
        <w:numPr>
          <w:ilvl w:val="0"/>
          <w:numId w:val="14"/>
        </w:numPr>
      </w:pPr>
      <w:r w:rsidRPr="00531754">
        <w:t>2016 – 2017 Round 1 ILC Jurisdictional Based Grants ACT  </w:t>
      </w:r>
    </w:p>
    <w:p w14:paraId="2405DC38" w14:textId="77777777" w:rsidR="00531754" w:rsidRPr="00531754" w:rsidRDefault="00531754" w:rsidP="0083058C">
      <w:pPr>
        <w:pStyle w:val="ListParagraph"/>
        <w:numPr>
          <w:ilvl w:val="0"/>
          <w:numId w:val="14"/>
        </w:numPr>
      </w:pPr>
      <w:r w:rsidRPr="00531754">
        <w:t>2016 – 2017 Round 1 ILC National Readiness Grants  </w:t>
      </w:r>
    </w:p>
    <w:p w14:paraId="0FDE174E" w14:textId="77777777" w:rsidR="00531754" w:rsidRPr="00531754" w:rsidRDefault="00531754" w:rsidP="0083058C">
      <w:pPr>
        <w:pStyle w:val="ListParagraph"/>
        <w:numPr>
          <w:ilvl w:val="0"/>
          <w:numId w:val="14"/>
        </w:numPr>
      </w:pPr>
      <w:r w:rsidRPr="00531754">
        <w:t>2017 – 2018 Round 2 ILC National Readiness Grants  </w:t>
      </w:r>
    </w:p>
    <w:p w14:paraId="5630BF56" w14:textId="77777777" w:rsidR="00531754" w:rsidRPr="00531754" w:rsidRDefault="00531754" w:rsidP="0083058C">
      <w:pPr>
        <w:pStyle w:val="ListParagraph"/>
        <w:numPr>
          <w:ilvl w:val="0"/>
          <w:numId w:val="14"/>
        </w:numPr>
      </w:pPr>
      <w:r w:rsidRPr="00531754">
        <w:t>2017 – 2018 Round 2 ILC Jurisdictional Grants ACT, NSW and South Australia  </w:t>
      </w:r>
    </w:p>
    <w:p w14:paraId="27292255" w14:textId="77777777" w:rsidR="00531754" w:rsidRPr="00531754" w:rsidRDefault="00531754" w:rsidP="0083058C">
      <w:pPr>
        <w:pStyle w:val="ListParagraph"/>
        <w:numPr>
          <w:ilvl w:val="0"/>
          <w:numId w:val="14"/>
        </w:numPr>
      </w:pPr>
      <w:r w:rsidRPr="00531754">
        <w:t>2018 ILC Rural and Remote Grant Round  </w:t>
      </w:r>
    </w:p>
    <w:p w14:paraId="7016D36B" w14:textId="77777777" w:rsidR="00531754" w:rsidRPr="00531754" w:rsidRDefault="00531754" w:rsidP="0083058C">
      <w:pPr>
        <w:pStyle w:val="ListParagraph"/>
        <w:numPr>
          <w:ilvl w:val="0"/>
          <w:numId w:val="14"/>
        </w:numPr>
      </w:pPr>
      <w:r w:rsidRPr="00531754">
        <w:t>2018 Disabled People and Families Organisations (DPFO) grant round  </w:t>
      </w:r>
    </w:p>
    <w:p w14:paraId="36B9A715" w14:textId="77777777" w:rsidR="00531754" w:rsidRPr="00531754" w:rsidRDefault="00531754" w:rsidP="0083058C">
      <w:pPr>
        <w:pStyle w:val="ListParagraph"/>
        <w:numPr>
          <w:ilvl w:val="0"/>
          <w:numId w:val="14"/>
        </w:numPr>
      </w:pPr>
      <w:r w:rsidRPr="00531754">
        <w:t>2019 Economic Participation of People with Disability grant round  </w:t>
      </w:r>
    </w:p>
    <w:p w14:paraId="0B4BAA2C" w14:textId="77777777" w:rsidR="00531754" w:rsidRPr="00531754" w:rsidRDefault="00531754" w:rsidP="0083058C">
      <w:pPr>
        <w:pStyle w:val="ListParagraph"/>
        <w:numPr>
          <w:ilvl w:val="0"/>
          <w:numId w:val="14"/>
        </w:numPr>
      </w:pPr>
      <w:r w:rsidRPr="00531754">
        <w:t>National Information Program grant round  </w:t>
      </w:r>
    </w:p>
    <w:p w14:paraId="70CC0FC8" w14:textId="77777777" w:rsidR="00531754" w:rsidRPr="00531754" w:rsidRDefault="00531754" w:rsidP="0083058C">
      <w:pPr>
        <w:pStyle w:val="ListParagraph"/>
        <w:numPr>
          <w:ilvl w:val="0"/>
          <w:numId w:val="14"/>
        </w:numPr>
      </w:pPr>
      <w:r w:rsidRPr="00531754">
        <w:t>Individual Capacity Building Program grant round  </w:t>
      </w:r>
    </w:p>
    <w:p w14:paraId="5F865587" w14:textId="77777777" w:rsidR="00531754" w:rsidRPr="00531754" w:rsidRDefault="00531754" w:rsidP="0083058C">
      <w:pPr>
        <w:pStyle w:val="ListParagraph"/>
        <w:numPr>
          <w:ilvl w:val="0"/>
          <w:numId w:val="14"/>
        </w:numPr>
      </w:pPr>
      <w:r w:rsidRPr="00531754">
        <w:t>Exceptionally Complex Support Needs Program   </w:t>
      </w:r>
    </w:p>
    <w:p w14:paraId="3F8C0F35" w14:textId="77777777" w:rsidR="00531754" w:rsidRPr="00531754" w:rsidRDefault="00531754" w:rsidP="0083058C">
      <w:pPr>
        <w:pStyle w:val="ListParagraph"/>
        <w:numPr>
          <w:ilvl w:val="0"/>
          <w:numId w:val="14"/>
        </w:numPr>
      </w:pPr>
      <w:r w:rsidRPr="00531754">
        <w:t>Economic and Community Participation grant round  </w:t>
      </w:r>
    </w:p>
    <w:p w14:paraId="7B30450F" w14:textId="77777777" w:rsidR="00531754" w:rsidRPr="00531754" w:rsidRDefault="00531754" w:rsidP="0083058C">
      <w:pPr>
        <w:pStyle w:val="ListParagraph"/>
        <w:numPr>
          <w:ilvl w:val="0"/>
          <w:numId w:val="14"/>
        </w:numPr>
      </w:pPr>
      <w:r w:rsidRPr="00531754">
        <w:t>Mainstream Capacity Building grant round  </w:t>
      </w:r>
    </w:p>
    <w:p w14:paraId="05D6445E" w14:textId="77777777" w:rsidR="00531754" w:rsidRPr="00531754" w:rsidRDefault="00531754" w:rsidP="0083058C">
      <w:pPr>
        <w:pStyle w:val="ListParagraph"/>
        <w:numPr>
          <w:ilvl w:val="0"/>
          <w:numId w:val="14"/>
        </w:numPr>
      </w:pPr>
      <w:r w:rsidRPr="00531754">
        <w:lastRenderedPageBreak/>
        <w:t>Partners in the Community (PITC) New South Wales grant round  </w:t>
      </w:r>
    </w:p>
    <w:p w14:paraId="08097DA1" w14:textId="77777777" w:rsidR="00531754" w:rsidRPr="00531754" w:rsidRDefault="00531754" w:rsidP="0083058C">
      <w:pPr>
        <w:pStyle w:val="ListParagraph"/>
        <w:numPr>
          <w:ilvl w:val="0"/>
          <w:numId w:val="14"/>
        </w:numPr>
      </w:pPr>
      <w:r w:rsidRPr="00531754">
        <w:t>Economic and Community Participation (ECP) – Building Employer Confidence in Disability and Inclusion (BEC) 2021-22 grant round  </w:t>
      </w:r>
    </w:p>
    <w:p w14:paraId="6F2534CB" w14:textId="77777777" w:rsidR="00531754" w:rsidRPr="00531754" w:rsidRDefault="00531754" w:rsidP="0083058C">
      <w:pPr>
        <w:pStyle w:val="ListParagraph"/>
        <w:numPr>
          <w:ilvl w:val="0"/>
          <w:numId w:val="14"/>
        </w:numPr>
      </w:pPr>
      <w:r w:rsidRPr="00531754">
        <w:t>ECP – Economic Participation (EP) 2021-22 grant round  </w:t>
      </w:r>
    </w:p>
    <w:p w14:paraId="01674F81" w14:textId="77777777" w:rsidR="00531754" w:rsidRPr="00531754" w:rsidRDefault="00531754" w:rsidP="0083058C">
      <w:pPr>
        <w:pStyle w:val="ListParagraph"/>
        <w:numPr>
          <w:ilvl w:val="0"/>
          <w:numId w:val="14"/>
        </w:numPr>
      </w:pPr>
      <w:r w:rsidRPr="00531754">
        <w:t>ECP – Social and Community Participation (SCP) 2021-22 grant round  </w:t>
      </w:r>
    </w:p>
    <w:p w14:paraId="7361AFCC" w14:textId="77777777" w:rsidR="00531754" w:rsidRPr="00531754" w:rsidRDefault="00531754" w:rsidP="0083058C">
      <w:pPr>
        <w:pStyle w:val="ListParagraph"/>
        <w:numPr>
          <w:ilvl w:val="0"/>
          <w:numId w:val="14"/>
        </w:numPr>
      </w:pPr>
      <w:r w:rsidRPr="00531754">
        <w:t>ICB 2020-21 grant round  </w:t>
      </w:r>
    </w:p>
    <w:p w14:paraId="68A107DD" w14:textId="69C3A81D" w:rsidR="00531754" w:rsidRPr="005D4E83" w:rsidRDefault="00531754" w:rsidP="0083058C">
      <w:pPr>
        <w:pStyle w:val="ListParagraph"/>
        <w:numPr>
          <w:ilvl w:val="0"/>
          <w:numId w:val="14"/>
        </w:numPr>
      </w:pPr>
      <w:r w:rsidRPr="00531754">
        <w:t>ILC Funded Activities Deemed Suitable for an Extension of Time and Additional Funding 2022-2024 </w:t>
      </w:r>
      <w:bookmarkStart w:id="159" w:name="_Toc119966552"/>
      <w:bookmarkStart w:id="160" w:name="_Toc120266206"/>
      <w:bookmarkStart w:id="161" w:name="_Toc120266241"/>
      <w:bookmarkStart w:id="162" w:name="_Toc120266361"/>
      <w:bookmarkStart w:id="163" w:name="_Toc120268936"/>
    </w:p>
    <w:p w14:paraId="14E83258" w14:textId="3472D08A" w:rsidR="00531754" w:rsidRPr="00531754" w:rsidRDefault="00531754" w:rsidP="00917ED0">
      <w:pPr>
        <w:pStyle w:val="Heading1"/>
      </w:pPr>
      <w:bookmarkStart w:id="164" w:name="_Toc130942960"/>
      <w:r w:rsidRPr="00531754">
        <w:t>Appendix 2 – Selected Tables summarising term of supports, and client access numbers to homelessness services</w:t>
      </w:r>
      <w:bookmarkEnd w:id="159"/>
      <w:bookmarkEnd w:id="160"/>
      <w:bookmarkEnd w:id="161"/>
      <w:bookmarkEnd w:id="162"/>
      <w:bookmarkEnd w:id="163"/>
      <w:bookmarkEnd w:id="164"/>
      <w:r w:rsidRPr="00531754">
        <w:t> </w:t>
      </w:r>
    </w:p>
    <w:p w14:paraId="2AE0153D" w14:textId="77777777" w:rsidR="00531754" w:rsidRDefault="00531754" w:rsidP="00205145">
      <w:pPr>
        <w:rPr>
          <w:b/>
          <w:bCs/>
        </w:rPr>
      </w:pPr>
      <w:r w:rsidRPr="00205145">
        <w:rPr>
          <w:b/>
          <w:bCs/>
        </w:rPr>
        <w:t>Table A1</w:t>
      </w:r>
    </w:p>
    <w:p w14:paraId="60A53F91" w14:textId="3E8491F7" w:rsidR="008E7C4E" w:rsidRPr="008E7C4E" w:rsidRDefault="008E7C4E" w:rsidP="00205145">
      <w:pPr>
        <w:rPr>
          <w:b/>
          <w:bCs/>
        </w:rPr>
      </w:pPr>
      <w:r w:rsidRPr="008E7C4E">
        <w:rPr>
          <w:b/>
          <w:bCs/>
        </w:rPr>
        <w:t>Specialist Homelessness Services (SHS) clients, by length of support and average number of support periods and services, and disability status, 2019–20</w:t>
      </w:r>
    </w:p>
    <w:tbl>
      <w:tblPr>
        <w:tblStyle w:val="TableGrid"/>
        <w:tblW w:w="5000" w:type="pct"/>
        <w:tblLook w:val="04A0" w:firstRow="1" w:lastRow="0" w:firstColumn="1" w:lastColumn="0" w:noHBand="0" w:noVBand="1"/>
      </w:tblPr>
      <w:tblGrid>
        <w:gridCol w:w="1334"/>
        <w:gridCol w:w="1460"/>
        <w:gridCol w:w="1460"/>
        <w:gridCol w:w="1417"/>
        <w:gridCol w:w="1424"/>
        <w:gridCol w:w="1337"/>
        <w:gridCol w:w="1298"/>
      </w:tblGrid>
      <w:tr w:rsidR="00BB0ACB" w:rsidRPr="00756ED4" w14:paraId="1DE3B181" w14:textId="77777777" w:rsidTr="008E7C4E">
        <w:trPr>
          <w:trHeight w:val="705"/>
        </w:trPr>
        <w:tc>
          <w:tcPr>
            <w:tcW w:w="686" w:type="pct"/>
            <w:hideMark/>
          </w:tcPr>
          <w:p w14:paraId="0C5A4A7C" w14:textId="3F3D12CF" w:rsidR="00531754" w:rsidRPr="00756ED4" w:rsidRDefault="00531754" w:rsidP="008E7C4E">
            <w:pPr>
              <w:rPr>
                <w:sz w:val="20"/>
                <w:szCs w:val="20"/>
              </w:rPr>
            </w:pPr>
            <w:r w:rsidRPr="00756ED4">
              <w:rPr>
                <w:sz w:val="20"/>
                <w:szCs w:val="20"/>
              </w:rPr>
              <w:t>  </w:t>
            </w:r>
            <w:r w:rsidR="006F32A8">
              <w:rPr>
                <w:sz w:val="20"/>
                <w:szCs w:val="20"/>
              </w:rPr>
              <w:t>Support</w:t>
            </w:r>
          </w:p>
        </w:tc>
        <w:tc>
          <w:tcPr>
            <w:tcW w:w="750" w:type="pct"/>
            <w:hideMark/>
          </w:tcPr>
          <w:p w14:paraId="7EE8249A" w14:textId="77777777" w:rsidR="00531754" w:rsidRPr="00756ED4" w:rsidRDefault="00531754" w:rsidP="008E7C4E">
            <w:pPr>
              <w:rPr>
                <w:sz w:val="20"/>
                <w:szCs w:val="20"/>
              </w:rPr>
            </w:pPr>
            <w:r w:rsidRPr="00756ED4">
              <w:rPr>
                <w:sz w:val="20"/>
                <w:szCs w:val="20"/>
              </w:rPr>
              <w:t>With disability— </w:t>
            </w:r>
            <w:r w:rsidRPr="00756ED4">
              <w:rPr>
                <w:sz w:val="20"/>
                <w:szCs w:val="20"/>
              </w:rPr>
              <w:br/>
              <w:t>severe or profound</w:t>
            </w:r>
            <w:r w:rsidRPr="00756ED4">
              <w:rPr>
                <w:sz w:val="20"/>
                <w:szCs w:val="20"/>
                <w:vertAlign w:val="superscript"/>
              </w:rPr>
              <w:t>(a)</w:t>
            </w:r>
          </w:p>
        </w:tc>
        <w:tc>
          <w:tcPr>
            <w:tcW w:w="750" w:type="pct"/>
            <w:hideMark/>
          </w:tcPr>
          <w:p w14:paraId="2AD11292" w14:textId="77777777" w:rsidR="00531754" w:rsidRPr="00756ED4" w:rsidRDefault="00531754" w:rsidP="008E7C4E">
            <w:pPr>
              <w:rPr>
                <w:sz w:val="20"/>
                <w:szCs w:val="20"/>
              </w:rPr>
            </w:pPr>
            <w:r w:rsidRPr="00756ED4">
              <w:rPr>
                <w:sz w:val="20"/>
                <w:szCs w:val="20"/>
              </w:rPr>
              <w:t>With disability— </w:t>
            </w:r>
            <w:r w:rsidRPr="00756ED4">
              <w:rPr>
                <w:sz w:val="20"/>
                <w:szCs w:val="20"/>
              </w:rPr>
              <w:br/>
              <w:t>other disability status</w:t>
            </w:r>
            <w:r w:rsidRPr="00756ED4">
              <w:rPr>
                <w:sz w:val="20"/>
                <w:szCs w:val="20"/>
                <w:vertAlign w:val="superscript"/>
              </w:rPr>
              <w:t>(b)</w:t>
            </w:r>
          </w:p>
        </w:tc>
        <w:tc>
          <w:tcPr>
            <w:tcW w:w="728" w:type="pct"/>
            <w:hideMark/>
          </w:tcPr>
          <w:p w14:paraId="31C230CC" w14:textId="77777777" w:rsidR="00531754" w:rsidRPr="00756ED4" w:rsidRDefault="00531754" w:rsidP="008E7C4E">
            <w:pPr>
              <w:rPr>
                <w:sz w:val="20"/>
                <w:szCs w:val="20"/>
              </w:rPr>
            </w:pPr>
            <w:r w:rsidRPr="00756ED4">
              <w:rPr>
                <w:sz w:val="20"/>
                <w:szCs w:val="20"/>
              </w:rPr>
              <w:t>All with  </w:t>
            </w:r>
            <w:r w:rsidRPr="00756ED4">
              <w:rPr>
                <w:sz w:val="20"/>
                <w:szCs w:val="20"/>
              </w:rPr>
              <w:br/>
              <w:t>disability</w:t>
            </w:r>
            <w:r w:rsidRPr="00756ED4">
              <w:rPr>
                <w:sz w:val="20"/>
                <w:szCs w:val="20"/>
                <w:vertAlign w:val="superscript"/>
              </w:rPr>
              <w:t>(c)</w:t>
            </w:r>
          </w:p>
        </w:tc>
        <w:tc>
          <w:tcPr>
            <w:tcW w:w="732" w:type="pct"/>
            <w:hideMark/>
          </w:tcPr>
          <w:p w14:paraId="01D6E013" w14:textId="77777777" w:rsidR="00531754" w:rsidRPr="00756ED4" w:rsidRDefault="00531754" w:rsidP="008E7C4E">
            <w:pPr>
              <w:rPr>
                <w:sz w:val="20"/>
                <w:szCs w:val="20"/>
              </w:rPr>
            </w:pPr>
            <w:r w:rsidRPr="00756ED4">
              <w:rPr>
                <w:sz w:val="20"/>
                <w:szCs w:val="20"/>
              </w:rPr>
              <w:t>Without  </w:t>
            </w:r>
            <w:r w:rsidRPr="00756ED4">
              <w:rPr>
                <w:sz w:val="20"/>
                <w:szCs w:val="20"/>
              </w:rPr>
              <w:br/>
              <w:t>disability</w:t>
            </w:r>
            <w:r w:rsidRPr="00756ED4">
              <w:rPr>
                <w:sz w:val="20"/>
                <w:szCs w:val="20"/>
                <w:vertAlign w:val="superscript"/>
              </w:rPr>
              <w:t>(d)</w:t>
            </w:r>
          </w:p>
        </w:tc>
        <w:tc>
          <w:tcPr>
            <w:tcW w:w="687" w:type="pct"/>
            <w:hideMark/>
          </w:tcPr>
          <w:p w14:paraId="2B5EE3D6" w14:textId="77777777" w:rsidR="00531754" w:rsidRPr="00756ED4" w:rsidRDefault="00531754" w:rsidP="008E7C4E">
            <w:pPr>
              <w:rPr>
                <w:sz w:val="20"/>
                <w:szCs w:val="20"/>
              </w:rPr>
            </w:pPr>
            <w:r w:rsidRPr="00756ED4">
              <w:rPr>
                <w:sz w:val="20"/>
                <w:szCs w:val="20"/>
              </w:rPr>
              <w:t>Missing/ </w:t>
            </w:r>
            <w:r w:rsidRPr="00756ED4">
              <w:rPr>
                <w:sz w:val="20"/>
                <w:szCs w:val="20"/>
              </w:rPr>
              <w:br/>
              <w:t>don't know</w:t>
            </w:r>
          </w:p>
        </w:tc>
        <w:tc>
          <w:tcPr>
            <w:tcW w:w="667" w:type="pct"/>
            <w:hideMark/>
          </w:tcPr>
          <w:p w14:paraId="725765A7" w14:textId="77777777" w:rsidR="00531754" w:rsidRPr="00756ED4" w:rsidRDefault="00531754" w:rsidP="008E7C4E">
            <w:pPr>
              <w:rPr>
                <w:sz w:val="20"/>
                <w:szCs w:val="20"/>
              </w:rPr>
            </w:pPr>
            <w:r w:rsidRPr="00756ED4">
              <w:rPr>
                <w:sz w:val="20"/>
                <w:szCs w:val="20"/>
              </w:rPr>
              <w:t>Total</w:t>
            </w:r>
            <w:r w:rsidRPr="00756ED4">
              <w:rPr>
                <w:sz w:val="20"/>
                <w:szCs w:val="20"/>
                <w:vertAlign w:val="superscript"/>
              </w:rPr>
              <w:t>(e)</w:t>
            </w:r>
          </w:p>
        </w:tc>
      </w:tr>
      <w:tr w:rsidR="00BB0ACB" w:rsidRPr="00756ED4" w14:paraId="4A339CB3" w14:textId="77777777" w:rsidTr="008E7C4E">
        <w:trPr>
          <w:trHeight w:val="285"/>
        </w:trPr>
        <w:tc>
          <w:tcPr>
            <w:tcW w:w="686" w:type="pct"/>
            <w:hideMark/>
          </w:tcPr>
          <w:p w14:paraId="431D62D4" w14:textId="77777777" w:rsidR="00531754" w:rsidRPr="00756ED4" w:rsidRDefault="00531754" w:rsidP="008E7C4E">
            <w:pPr>
              <w:rPr>
                <w:sz w:val="20"/>
                <w:szCs w:val="20"/>
              </w:rPr>
            </w:pPr>
            <w:r w:rsidRPr="00756ED4">
              <w:rPr>
                <w:sz w:val="20"/>
                <w:szCs w:val="20"/>
              </w:rPr>
              <w:t>Length of support (median number of days) </w:t>
            </w:r>
          </w:p>
        </w:tc>
        <w:tc>
          <w:tcPr>
            <w:tcW w:w="750" w:type="pct"/>
            <w:hideMark/>
          </w:tcPr>
          <w:p w14:paraId="596524FF" w14:textId="77777777" w:rsidR="00531754" w:rsidRPr="00895683" w:rsidRDefault="00531754" w:rsidP="008E7C4E">
            <w:pPr>
              <w:rPr>
                <w:sz w:val="20"/>
                <w:szCs w:val="20"/>
              </w:rPr>
            </w:pPr>
            <w:r w:rsidRPr="00895683">
              <w:rPr>
                <w:sz w:val="20"/>
                <w:szCs w:val="20"/>
              </w:rPr>
              <w:t>86</w:t>
            </w:r>
          </w:p>
        </w:tc>
        <w:tc>
          <w:tcPr>
            <w:tcW w:w="750" w:type="pct"/>
            <w:hideMark/>
          </w:tcPr>
          <w:p w14:paraId="18493D81" w14:textId="77777777" w:rsidR="00531754" w:rsidRPr="00895683" w:rsidRDefault="00531754" w:rsidP="008E7C4E">
            <w:pPr>
              <w:rPr>
                <w:sz w:val="20"/>
                <w:szCs w:val="20"/>
              </w:rPr>
            </w:pPr>
            <w:r w:rsidRPr="00895683">
              <w:rPr>
                <w:sz w:val="20"/>
                <w:szCs w:val="20"/>
              </w:rPr>
              <w:t>70</w:t>
            </w:r>
          </w:p>
        </w:tc>
        <w:tc>
          <w:tcPr>
            <w:tcW w:w="728" w:type="pct"/>
            <w:hideMark/>
          </w:tcPr>
          <w:p w14:paraId="4CC942CC" w14:textId="77777777" w:rsidR="00531754" w:rsidRPr="00895683" w:rsidRDefault="00531754" w:rsidP="008E7C4E">
            <w:pPr>
              <w:rPr>
                <w:sz w:val="20"/>
                <w:szCs w:val="20"/>
              </w:rPr>
            </w:pPr>
            <w:r w:rsidRPr="00895683">
              <w:rPr>
                <w:sz w:val="20"/>
                <w:szCs w:val="20"/>
              </w:rPr>
              <w:t>74</w:t>
            </w:r>
          </w:p>
        </w:tc>
        <w:tc>
          <w:tcPr>
            <w:tcW w:w="732" w:type="pct"/>
            <w:hideMark/>
          </w:tcPr>
          <w:p w14:paraId="60146A25" w14:textId="77777777" w:rsidR="00531754" w:rsidRPr="00895683" w:rsidRDefault="00531754" w:rsidP="008E7C4E">
            <w:pPr>
              <w:rPr>
                <w:sz w:val="20"/>
                <w:szCs w:val="20"/>
              </w:rPr>
            </w:pPr>
            <w:r w:rsidRPr="00895683">
              <w:rPr>
                <w:sz w:val="20"/>
                <w:szCs w:val="20"/>
              </w:rPr>
              <w:t>45</w:t>
            </w:r>
          </w:p>
        </w:tc>
        <w:tc>
          <w:tcPr>
            <w:tcW w:w="687" w:type="pct"/>
            <w:hideMark/>
          </w:tcPr>
          <w:p w14:paraId="0A38E5B6" w14:textId="77777777" w:rsidR="00531754" w:rsidRPr="00895683" w:rsidRDefault="00531754" w:rsidP="008E7C4E">
            <w:pPr>
              <w:rPr>
                <w:sz w:val="20"/>
                <w:szCs w:val="20"/>
              </w:rPr>
            </w:pPr>
            <w:r w:rsidRPr="00895683">
              <w:rPr>
                <w:sz w:val="20"/>
                <w:szCs w:val="20"/>
              </w:rPr>
              <w:t>16</w:t>
            </w:r>
          </w:p>
        </w:tc>
        <w:tc>
          <w:tcPr>
            <w:tcW w:w="667" w:type="pct"/>
            <w:hideMark/>
          </w:tcPr>
          <w:p w14:paraId="43D1298B" w14:textId="77777777" w:rsidR="00531754" w:rsidRPr="00895683" w:rsidRDefault="00531754" w:rsidP="008E7C4E">
            <w:pPr>
              <w:rPr>
                <w:sz w:val="20"/>
                <w:szCs w:val="20"/>
              </w:rPr>
            </w:pPr>
            <w:r w:rsidRPr="00895683">
              <w:rPr>
                <w:sz w:val="20"/>
                <w:szCs w:val="20"/>
              </w:rPr>
              <w:t>43</w:t>
            </w:r>
          </w:p>
        </w:tc>
      </w:tr>
      <w:tr w:rsidR="00BB0ACB" w:rsidRPr="00756ED4" w14:paraId="250D3251" w14:textId="77777777" w:rsidTr="008E7C4E">
        <w:trPr>
          <w:trHeight w:val="285"/>
        </w:trPr>
        <w:tc>
          <w:tcPr>
            <w:tcW w:w="686" w:type="pct"/>
            <w:hideMark/>
          </w:tcPr>
          <w:p w14:paraId="390F6BC0" w14:textId="77777777" w:rsidR="00531754" w:rsidRPr="00756ED4" w:rsidRDefault="00531754" w:rsidP="008E7C4E">
            <w:pPr>
              <w:rPr>
                <w:sz w:val="20"/>
                <w:szCs w:val="20"/>
              </w:rPr>
            </w:pPr>
            <w:r w:rsidRPr="00756ED4">
              <w:rPr>
                <w:sz w:val="20"/>
                <w:szCs w:val="20"/>
              </w:rPr>
              <w:t>Average number of support periods per client </w:t>
            </w:r>
          </w:p>
        </w:tc>
        <w:tc>
          <w:tcPr>
            <w:tcW w:w="750" w:type="pct"/>
            <w:hideMark/>
          </w:tcPr>
          <w:p w14:paraId="1FA56DBC" w14:textId="77777777" w:rsidR="00531754" w:rsidRPr="00895683" w:rsidRDefault="00531754" w:rsidP="008E7C4E">
            <w:pPr>
              <w:rPr>
                <w:sz w:val="20"/>
                <w:szCs w:val="20"/>
              </w:rPr>
            </w:pPr>
            <w:r w:rsidRPr="00895683">
              <w:rPr>
                <w:sz w:val="20"/>
                <w:szCs w:val="20"/>
              </w:rPr>
              <w:t>2.4</w:t>
            </w:r>
          </w:p>
        </w:tc>
        <w:tc>
          <w:tcPr>
            <w:tcW w:w="750" w:type="pct"/>
            <w:hideMark/>
          </w:tcPr>
          <w:p w14:paraId="286F75A1" w14:textId="77777777" w:rsidR="00531754" w:rsidRPr="00895683" w:rsidRDefault="00531754" w:rsidP="008E7C4E">
            <w:pPr>
              <w:rPr>
                <w:sz w:val="20"/>
                <w:szCs w:val="20"/>
              </w:rPr>
            </w:pPr>
            <w:r w:rsidRPr="00895683">
              <w:rPr>
                <w:sz w:val="20"/>
                <w:szCs w:val="20"/>
              </w:rPr>
              <w:t>2.7</w:t>
            </w:r>
          </w:p>
        </w:tc>
        <w:tc>
          <w:tcPr>
            <w:tcW w:w="728" w:type="pct"/>
            <w:hideMark/>
          </w:tcPr>
          <w:p w14:paraId="57005B08" w14:textId="77777777" w:rsidR="00531754" w:rsidRPr="00895683" w:rsidRDefault="00531754" w:rsidP="008E7C4E">
            <w:pPr>
              <w:rPr>
                <w:sz w:val="20"/>
                <w:szCs w:val="20"/>
              </w:rPr>
            </w:pPr>
            <w:r w:rsidRPr="00895683">
              <w:rPr>
                <w:sz w:val="20"/>
                <w:szCs w:val="20"/>
              </w:rPr>
              <w:t>2.6</w:t>
            </w:r>
          </w:p>
        </w:tc>
        <w:tc>
          <w:tcPr>
            <w:tcW w:w="732" w:type="pct"/>
            <w:hideMark/>
          </w:tcPr>
          <w:p w14:paraId="43B12EED" w14:textId="77777777" w:rsidR="00531754" w:rsidRPr="00895683" w:rsidRDefault="00531754" w:rsidP="008E7C4E">
            <w:pPr>
              <w:rPr>
                <w:sz w:val="20"/>
                <w:szCs w:val="20"/>
              </w:rPr>
            </w:pPr>
            <w:r w:rsidRPr="00895683">
              <w:rPr>
                <w:sz w:val="20"/>
                <w:szCs w:val="20"/>
              </w:rPr>
              <w:t>1.7</w:t>
            </w:r>
          </w:p>
        </w:tc>
        <w:tc>
          <w:tcPr>
            <w:tcW w:w="687" w:type="pct"/>
            <w:hideMark/>
          </w:tcPr>
          <w:p w14:paraId="7F621EF3" w14:textId="77777777" w:rsidR="00531754" w:rsidRPr="00895683" w:rsidRDefault="00531754" w:rsidP="008E7C4E">
            <w:pPr>
              <w:rPr>
                <w:sz w:val="20"/>
                <w:szCs w:val="20"/>
              </w:rPr>
            </w:pPr>
            <w:r w:rsidRPr="00895683">
              <w:rPr>
                <w:sz w:val="20"/>
                <w:szCs w:val="20"/>
              </w:rPr>
              <w:t>1.2</w:t>
            </w:r>
          </w:p>
        </w:tc>
        <w:tc>
          <w:tcPr>
            <w:tcW w:w="667" w:type="pct"/>
            <w:hideMark/>
          </w:tcPr>
          <w:p w14:paraId="724A3CD8" w14:textId="77777777" w:rsidR="00531754" w:rsidRPr="00895683" w:rsidRDefault="00531754" w:rsidP="008E7C4E">
            <w:pPr>
              <w:rPr>
                <w:sz w:val="20"/>
                <w:szCs w:val="20"/>
              </w:rPr>
            </w:pPr>
            <w:r w:rsidRPr="00895683">
              <w:rPr>
                <w:sz w:val="20"/>
                <w:szCs w:val="20"/>
              </w:rPr>
              <w:t>1.7</w:t>
            </w:r>
          </w:p>
        </w:tc>
      </w:tr>
      <w:tr w:rsidR="00BB0ACB" w:rsidRPr="00756ED4" w14:paraId="0132F6E7" w14:textId="77777777" w:rsidTr="008E7C4E">
        <w:trPr>
          <w:trHeight w:val="285"/>
        </w:trPr>
        <w:tc>
          <w:tcPr>
            <w:tcW w:w="686" w:type="pct"/>
            <w:hideMark/>
          </w:tcPr>
          <w:p w14:paraId="06500D0B" w14:textId="77777777" w:rsidR="00531754" w:rsidRPr="00756ED4" w:rsidRDefault="00531754" w:rsidP="008E7C4E">
            <w:pPr>
              <w:rPr>
                <w:sz w:val="20"/>
                <w:szCs w:val="20"/>
              </w:rPr>
            </w:pPr>
            <w:r w:rsidRPr="00756ED4">
              <w:rPr>
                <w:sz w:val="20"/>
                <w:szCs w:val="20"/>
              </w:rPr>
              <w:t xml:space="preserve">Average number of services </w:t>
            </w:r>
            <w:r w:rsidRPr="00756ED4">
              <w:rPr>
                <w:sz w:val="20"/>
                <w:szCs w:val="20"/>
              </w:rPr>
              <w:lastRenderedPageBreak/>
              <w:t>provided per client </w:t>
            </w:r>
          </w:p>
        </w:tc>
        <w:tc>
          <w:tcPr>
            <w:tcW w:w="750" w:type="pct"/>
            <w:hideMark/>
          </w:tcPr>
          <w:p w14:paraId="48111AA4" w14:textId="77777777" w:rsidR="00531754" w:rsidRPr="00895683" w:rsidRDefault="00531754" w:rsidP="008E7C4E">
            <w:pPr>
              <w:rPr>
                <w:sz w:val="20"/>
                <w:szCs w:val="20"/>
              </w:rPr>
            </w:pPr>
            <w:r w:rsidRPr="00895683">
              <w:rPr>
                <w:sz w:val="20"/>
                <w:szCs w:val="20"/>
              </w:rPr>
              <w:lastRenderedPageBreak/>
              <w:t>10.0</w:t>
            </w:r>
          </w:p>
        </w:tc>
        <w:tc>
          <w:tcPr>
            <w:tcW w:w="750" w:type="pct"/>
            <w:hideMark/>
          </w:tcPr>
          <w:p w14:paraId="5337CF88" w14:textId="77777777" w:rsidR="00531754" w:rsidRPr="00895683" w:rsidRDefault="00531754" w:rsidP="008E7C4E">
            <w:pPr>
              <w:rPr>
                <w:sz w:val="20"/>
                <w:szCs w:val="20"/>
              </w:rPr>
            </w:pPr>
            <w:r w:rsidRPr="00895683">
              <w:rPr>
                <w:sz w:val="20"/>
                <w:szCs w:val="20"/>
              </w:rPr>
              <w:t>10.4</w:t>
            </w:r>
          </w:p>
        </w:tc>
        <w:tc>
          <w:tcPr>
            <w:tcW w:w="728" w:type="pct"/>
            <w:hideMark/>
          </w:tcPr>
          <w:p w14:paraId="1F2178F6" w14:textId="77777777" w:rsidR="00531754" w:rsidRPr="00895683" w:rsidRDefault="00531754" w:rsidP="008E7C4E">
            <w:pPr>
              <w:rPr>
                <w:sz w:val="20"/>
                <w:szCs w:val="20"/>
              </w:rPr>
            </w:pPr>
            <w:r w:rsidRPr="00895683">
              <w:rPr>
                <w:sz w:val="20"/>
                <w:szCs w:val="20"/>
              </w:rPr>
              <w:t>10.3</w:t>
            </w:r>
          </w:p>
        </w:tc>
        <w:tc>
          <w:tcPr>
            <w:tcW w:w="732" w:type="pct"/>
            <w:hideMark/>
          </w:tcPr>
          <w:p w14:paraId="622A4610" w14:textId="77777777" w:rsidR="00531754" w:rsidRPr="00895683" w:rsidRDefault="00531754" w:rsidP="008E7C4E">
            <w:pPr>
              <w:rPr>
                <w:sz w:val="20"/>
                <w:szCs w:val="20"/>
              </w:rPr>
            </w:pPr>
            <w:r w:rsidRPr="00895683">
              <w:rPr>
                <w:sz w:val="20"/>
                <w:szCs w:val="20"/>
              </w:rPr>
              <w:t>7.1</w:t>
            </w:r>
          </w:p>
        </w:tc>
        <w:tc>
          <w:tcPr>
            <w:tcW w:w="687" w:type="pct"/>
            <w:hideMark/>
          </w:tcPr>
          <w:p w14:paraId="0ACEC5B5" w14:textId="77777777" w:rsidR="00531754" w:rsidRPr="00895683" w:rsidRDefault="00531754" w:rsidP="008E7C4E">
            <w:pPr>
              <w:rPr>
                <w:sz w:val="20"/>
                <w:szCs w:val="20"/>
              </w:rPr>
            </w:pPr>
            <w:r w:rsidRPr="00895683">
              <w:rPr>
                <w:sz w:val="20"/>
                <w:szCs w:val="20"/>
              </w:rPr>
              <w:t>3.1</w:t>
            </w:r>
          </w:p>
        </w:tc>
        <w:tc>
          <w:tcPr>
            <w:tcW w:w="667" w:type="pct"/>
            <w:hideMark/>
          </w:tcPr>
          <w:p w14:paraId="398367D4" w14:textId="77777777" w:rsidR="00531754" w:rsidRPr="00895683" w:rsidRDefault="00531754" w:rsidP="008E7C4E">
            <w:pPr>
              <w:rPr>
                <w:sz w:val="20"/>
                <w:szCs w:val="20"/>
              </w:rPr>
            </w:pPr>
            <w:r w:rsidRPr="00895683">
              <w:rPr>
                <w:sz w:val="20"/>
                <w:szCs w:val="20"/>
              </w:rPr>
              <w:t>7.0</w:t>
            </w:r>
          </w:p>
        </w:tc>
      </w:tr>
      <w:tr w:rsidR="00BB0ACB" w:rsidRPr="00756ED4" w14:paraId="45739A57" w14:textId="77777777" w:rsidTr="008E7C4E">
        <w:trPr>
          <w:trHeight w:val="285"/>
        </w:trPr>
        <w:tc>
          <w:tcPr>
            <w:tcW w:w="686" w:type="pct"/>
            <w:hideMark/>
          </w:tcPr>
          <w:p w14:paraId="1B36A8F4" w14:textId="77777777" w:rsidR="00531754" w:rsidRPr="00756ED4" w:rsidRDefault="00531754" w:rsidP="008E7C4E">
            <w:pPr>
              <w:rPr>
                <w:sz w:val="20"/>
                <w:szCs w:val="20"/>
              </w:rPr>
            </w:pPr>
            <w:r w:rsidRPr="00756ED4">
              <w:rPr>
                <w:sz w:val="20"/>
                <w:szCs w:val="20"/>
              </w:rPr>
              <w:t>Average number of services needed per client </w:t>
            </w:r>
          </w:p>
        </w:tc>
        <w:tc>
          <w:tcPr>
            <w:tcW w:w="750" w:type="pct"/>
            <w:hideMark/>
          </w:tcPr>
          <w:p w14:paraId="1AFC527D" w14:textId="77777777" w:rsidR="00531754" w:rsidRPr="00895683" w:rsidRDefault="00531754" w:rsidP="008E7C4E">
            <w:pPr>
              <w:rPr>
                <w:sz w:val="20"/>
                <w:szCs w:val="20"/>
              </w:rPr>
            </w:pPr>
            <w:r w:rsidRPr="00895683">
              <w:rPr>
                <w:sz w:val="20"/>
                <w:szCs w:val="20"/>
              </w:rPr>
              <w:t>13.2</w:t>
            </w:r>
          </w:p>
        </w:tc>
        <w:tc>
          <w:tcPr>
            <w:tcW w:w="750" w:type="pct"/>
            <w:hideMark/>
          </w:tcPr>
          <w:p w14:paraId="5CF54D14" w14:textId="77777777" w:rsidR="00531754" w:rsidRPr="00895683" w:rsidRDefault="00531754" w:rsidP="008E7C4E">
            <w:pPr>
              <w:rPr>
                <w:sz w:val="20"/>
                <w:szCs w:val="20"/>
              </w:rPr>
            </w:pPr>
            <w:r w:rsidRPr="00895683">
              <w:rPr>
                <w:sz w:val="20"/>
                <w:szCs w:val="20"/>
              </w:rPr>
              <w:t>14.2</w:t>
            </w:r>
          </w:p>
        </w:tc>
        <w:tc>
          <w:tcPr>
            <w:tcW w:w="728" w:type="pct"/>
            <w:hideMark/>
          </w:tcPr>
          <w:p w14:paraId="499ADB48" w14:textId="77777777" w:rsidR="00531754" w:rsidRPr="00895683" w:rsidRDefault="00531754" w:rsidP="008E7C4E">
            <w:pPr>
              <w:rPr>
                <w:sz w:val="20"/>
                <w:szCs w:val="20"/>
              </w:rPr>
            </w:pPr>
            <w:r w:rsidRPr="00895683">
              <w:rPr>
                <w:sz w:val="20"/>
                <w:szCs w:val="20"/>
              </w:rPr>
              <w:t>13.9</w:t>
            </w:r>
          </w:p>
        </w:tc>
        <w:tc>
          <w:tcPr>
            <w:tcW w:w="732" w:type="pct"/>
            <w:hideMark/>
          </w:tcPr>
          <w:p w14:paraId="54DB4799" w14:textId="77777777" w:rsidR="00531754" w:rsidRPr="00895683" w:rsidRDefault="00531754" w:rsidP="008E7C4E">
            <w:pPr>
              <w:rPr>
                <w:sz w:val="20"/>
                <w:szCs w:val="20"/>
              </w:rPr>
            </w:pPr>
            <w:r w:rsidRPr="00895683">
              <w:rPr>
                <w:sz w:val="20"/>
                <w:szCs w:val="20"/>
              </w:rPr>
              <w:t>9.2</w:t>
            </w:r>
          </w:p>
        </w:tc>
        <w:tc>
          <w:tcPr>
            <w:tcW w:w="687" w:type="pct"/>
            <w:hideMark/>
          </w:tcPr>
          <w:p w14:paraId="7B56AEBE" w14:textId="77777777" w:rsidR="00531754" w:rsidRPr="00895683" w:rsidRDefault="00531754" w:rsidP="008E7C4E">
            <w:pPr>
              <w:rPr>
                <w:sz w:val="20"/>
                <w:szCs w:val="20"/>
              </w:rPr>
            </w:pPr>
            <w:r w:rsidRPr="00895683">
              <w:rPr>
                <w:sz w:val="20"/>
                <w:szCs w:val="20"/>
              </w:rPr>
              <w:t>4.0</w:t>
            </w:r>
          </w:p>
        </w:tc>
        <w:tc>
          <w:tcPr>
            <w:tcW w:w="667" w:type="pct"/>
            <w:hideMark/>
          </w:tcPr>
          <w:p w14:paraId="477A9A05" w14:textId="77777777" w:rsidR="00531754" w:rsidRPr="00895683" w:rsidRDefault="00531754" w:rsidP="008E7C4E">
            <w:pPr>
              <w:rPr>
                <w:sz w:val="20"/>
                <w:szCs w:val="20"/>
              </w:rPr>
            </w:pPr>
            <w:r w:rsidRPr="00895683">
              <w:rPr>
                <w:sz w:val="20"/>
                <w:szCs w:val="20"/>
              </w:rPr>
              <w:t>9.2</w:t>
            </w:r>
          </w:p>
        </w:tc>
      </w:tr>
    </w:tbl>
    <w:p w14:paraId="4596BEEF" w14:textId="4327A4D3" w:rsidR="00756ED4" w:rsidRDefault="00756ED4" w:rsidP="00205145">
      <w:pPr>
        <w:rPr>
          <w:sz w:val="20"/>
          <w:szCs w:val="20"/>
        </w:rPr>
      </w:pPr>
      <w:r w:rsidRPr="00756ED4">
        <w:rPr>
          <w:sz w:val="20"/>
          <w:szCs w:val="20"/>
        </w:rPr>
        <w:t>(a) Severe or profound disability refers to clients who always or sometimes require assistance with one or more core activities.  </w:t>
      </w:r>
    </w:p>
    <w:p w14:paraId="7894E416" w14:textId="7747575E" w:rsidR="00756ED4" w:rsidRDefault="00756ED4" w:rsidP="00205145">
      <w:pPr>
        <w:rPr>
          <w:sz w:val="20"/>
          <w:szCs w:val="20"/>
        </w:rPr>
      </w:pPr>
      <w:r w:rsidRPr="00756ED4">
        <w:rPr>
          <w:sz w:val="20"/>
          <w:szCs w:val="20"/>
        </w:rPr>
        <w:t>(b) Other disability status refers to clients who have difficulty with core activities but no need for assistance; or who do not have difficulty but use aids / equipment with core activities.  </w:t>
      </w:r>
    </w:p>
    <w:p w14:paraId="242ADAFF" w14:textId="172328F2" w:rsidR="00756ED4" w:rsidRDefault="00756ED4" w:rsidP="00205145">
      <w:pPr>
        <w:rPr>
          <w:sz w:val="20"/>
          <w:szCs w:val="20"/>
        </w:rPr>
      </w:pPr>
      <w:r w:rsidRPr="00756ED4">
        <w:rPr>
          <w:sz w:val="20"/>
          <w:szCs w:val="20"/>
        </w:rPr>
        <w:t>(c) Disability refers to limitation in core activities only—self-care, mobility, and / or communication. This includes clients who: always / sometimes need help and / or supervision; have difficulty but don’t need help / supervision; and don't have difficulty but use aids / equipment.  </w:t>
      </w:r>
    </w:p>
    <w:p w14:paraId="4B9227E2" w14:textId="2DCED29B" w:rsidR="00756ED4" w:rsidRDefault="00756ED4" w:rsidP="00205145">
      <w:pPr>
        <w:rPr>
          <w:sz w:val="20"/>
          <w:szCs w:val="20"/>
        </w:rPr>
      </w:pPr>
      <w:r w:rsidRPr="00756ED4">
        <w:rPr>
          <w:sz w:val="20"/>
          <w:szCs w:val="20"/>
        </w:rPr>
        <w:t>(d) May include clients who have disability but no core activity limitation. </w:t>
      </w:r>
    </w:p>
    <w:p w14:paraId="66F73E70" w14:textId="3A071028" w:rsidR="00756ED4" w:rsidRDefault="00756ED4" w:rsidP="00205145">
      <w:pPr>
        <w:rPr>
          <w:sz w:val="20"/>
          <w:szCs w:val="20"/>
        </w:rPr>
      </w:pPr>
      <w:r w:rsidRPr="00756ED4">
        <w:rPr>
          <w:sz w:val="20"/>
          <w:szCs w:val="20"/>
        </w:rPr>
        <w:t>(e) Disability status was not stated / inadequately described for 25,077 SHSC clients.  </w:t>
      </w:r>
    </w:p>
    <w:p w14:paraId="7E4A3E1E" w14:textId="2752CB04" w:rsidR="00756ED4" w:rsidRDefault="00756ED4" w:rsidP="00205145">
      <w:pPr>
        <w:rPr>
          <w:sz w:val="20"/>
          <w:szCs w:val="20"/>
        </w:rPr>
      </w:pPr>
      <w:r w:rsidRPr="00756ED4">
        <w:rPr>
          <w:sz w:val="20"/>
          <w:szCs w:val="20"/>
        </w:rPr>
        <w:t>Note: If the support period start or end dates are outside of the reporting period, total days are calculated using a start date of the 1 July and an end date of the 30 June of the financial year.  </w:t>
      </w:r>
    </w:p>
    <w:p w14:paraId="7B7B7261" w14:textId="49DFF3E4" w:rsidR="00756ED4" w:rsidRDefault="00756ED4" w:rsidP="00205145">
      <w:pPr>
        <w:rPr>
          <w:b/>
          <w:bCs/>
        </w:rPr>
      </w:pPr>
      <w:r w:rsidRPr="00756ED4">
        <w:rPr>
          <w:sz w:val="20"/>
          <w:szCs w:val="20"/>
        </w:rPr>
        <w:t>Source: Specialist Homelessness Services Collection (SHSC) 2019–20. ABS (2022) </w:t>
      </w:r>
    </w:p>
    <w:p w14:paraId="66F59430" w14:textId="27CEDA3B" w:rsidR="00531754" w:rsidRDefault="00531754" w:rsidP="00205145">
      <w:pPr>
        <w:rPr>
          <w:b/>
          <w:bCs/>
        </w:rPr>
      </w:pPr>
      <w:r w:rsidRPr="00205145">
        <w:rPr>
          <w:b/>
          <w:bCs/>
        </w:rPr>
        <w:t>Table A2</w:t>
      </w:r>
    </w:p>
    <w:p w14:paraId="50193248" w14:textId="71AADF60" w:rsidR="009256F4" w:rsidRPr="009256F4" w:rsidRDefault="009256F4" w:rsidP="00205145">
      <w:pPr>
        <w:rPr>
          <w:b/>
          <w:bCs/>
        </w:rPr>
      </w:pPr>
      <w:r w:rsidRPr="009256F4">
        <w:rPr>
          <w:b/>
          <w:bCs/>
        </w:rPr>
        <w:t>Specialist Homelessness Services (SHS) clients, by service provision status, and disability status, 2019–20</w:t>
      </w:r>
    </w:p>
    <w:tbl>
      <w:tblPr>
        <w:tblStyle w:val="TableGrid"/>
        <w:tblW w:w="5000" w:type="pct"/>
        <w:tblLook w:val="04A0" w:firstRow="1" w:lastRow="0" w:firstColumn="1" w:lastColumn="0" w:noHBand="0" w:noVBand="1"/>
        <w:tblCaption w:val="Specialist Homelessness Services (SHS) clients, by service provision status, and disability status, 2019–20"/>
      </w:tblPr>
      <w:tblGrid>
        <w:gridCol w:w="2175"/>
        <w:gridCol w:w="1452"/>
        <w:gridCol w:w="2035"/>
        <w:gridCol w:w="2036"/>
        <w:gridCol w:w="2032"/>
      </w:tblGrid>
      <w:tr w:rsidR="00ED4BC5" w:rsidRPr="00531754" w14:paraId="26C9FC1B" w14:textId="77777777" w:rsidTr="009256F4">
        <w:trPr>
          <w:trHeight w:val="495"/>
        </w:trPr>
        <w:tc>
          <w:tcPr>
            <w:tcW w:w="1118" w:type="pct"/>
            <w:hideMark/>
          </w:tcPr>
          <w:p w14:paraId="67B3997B" w14:textId="77777777" w:rsidR="00531754" w:rsidRPr="009256F4" w:rsidRDefault="00531754" w:rsidP="009256F4">
            <w:pPr>
              <w:rPr>
                <w:b/>
                <w:bCs/>
              </w:rPr>
            </w:pPr>
            <w:r w:rsidRPr="009256F4">
              <w:rPr>
                <w:b/>
                <w:bCs/>
              </w:rPr>
              <w:t>Service provision status</w:t>
            </w:r>
          </w:p>
        </w:tc>
        <w:tc>
          <w:tcPr>
            <w:tcW w:w="746" w:type="pct"/>
            <w:hideMark/>
          </w:tcPr>
          <w:p w14:paraId="7013F379" w14:textId="77777777" w:rsidR="00531754" w:rsidRPr="009256F4" w:rsidRDefault="00531754" w:rsidP="009256F4">
            <w:pPr>
              <w:rPr>
                <w:b/>
                <w:bCs/>
              </w:rPr>
            </w:pPr>
            <w:r w:rsidRPr="009256F4">
              <w:rPr>
                <w:b/>
                <w:bCs/>
              </w:rPr>
              <w:t>With  </w:t>
            </w:r>
            <w:r w:rsidRPr="009256F4">
              <w:rPr>
                <w:b/>
                <w:bCs/>
              </w:rPr>
              <w:br/>
              <w:t>disability</w:t>
            </w:r>
            <w:r w:rsidRPr="009256F4">
              <w:rPr>
                <w:b/>
                <w:bCs/>
                <w:vertAlign w:val="superscript"/>
              </w:rPr>
              <w:t>(a)</w:t>
            </w:r>
          </w:p>
        </w:tc>
        <w:tc>
          <w:tcPr>
            <w:tcW w:w="1046" w:type="pct"/>
            <w:hideMark/>
          </w:tcPr>
          <w:p w14:paraId="48706975" w14:textId="77777777" w:rsidR="00531754" w:rsidRPr="009256F4" w:rsidRDefault="00531754" w:rsidP="009256F4">
            <w:pPr>
              <w:rPr>
                <w:b/>
                <w:bCs/>
              </w:rPr>
            </w:pPr>
            <w:r w:rsidRPr="009256F4">
              <w:rPr>
                <w:b/>
                <w:bCs/>
              </w:rPr>
              <w:t>Without  </w:t>
            </w:r>
            <w:r w:rsidRPr="009256F4">
              <w:rPr>
                <w:b/>
                <w:bCs/>
              </w:rPr>
              <w:br/>
              <w:t>disability</w:t>
            </w:r>
            <w:r w:rsidRPr="009256F4">
              <w:rPr>
                <w:b/>
                <w:bCs/>
                <w:vertAlign w:val="superscript"/>
              </w:rPr>
              <w:t>(b)</w:t>
            </w:r>
          </w:p>
        </w:tc>
        <w:tc>
          <w:tcPr>
            <w:tcW w:w="1046" w:type="pct"/>
            <w:hideMark/>
          </w:tcPr>
          <w:p w14:paraId="1B8A9B20" w14:textId="77777777" w:rsidR="00531754" w:rsidRPr="009256F4" w:rsidRDefault="00531754" w:rsidP="009256F4">
            <w:pPr>
              <w:rPr>
                <w:b/>
                <w:bCs/>
              </w:rPr>
            </w:pPr>
            <w:r w:rsidRPr="009256F4">
              <w:rPr>
                <w:b/>
                <w:bCs/>
              </w:rPr>
              <w:t>Missing/ </w:t>
            </w:r>
            <w:r w:rsidRPr="009256F4">
              <w:rPr>
                <w:b/>
                <w:bCs/>
              </w:rPr>
              <w:br/>
              <w:t>don't know</w:t>
            </w:r>
          </w:p>
        </w:tc>
        <w:tc>
          <w:tcPr>
            <w:tcW w:w="1044" w:type="pct"/>
            <w:hideMark/>
          </w:tcPr>
          <w:p w14:paraId="2F6DEA80" w14:textId="77777777" w:rsidR="00531754" w:rsidRPr="009256F4" w:rsidRDefault="00531754" w:rsidP="009256F4">
            <w:pPr>
              <w:rPr>
                <w:b/>
                <w:bCs/>
              </w:rPr>
            </w:pPr>
            <w:r w:rsidRPr="009256F4">
              <w:rPr>
                <w:b/>
                <w:bCs/>
              </w:rPr>
              <w:t>Total</w:t>
            </w:r>
          </w:p>
        </w:tc>
      </w:tr>
      <w:tr w:rsidR="00ED4BC5" w:rsidRPr="00531754" w14:paraId="09CA0693" w14:textId="77777777" w:rsidTr="009256F4">
        <w:trPr>
          <w:trHeight w:val="300"/>
        </w:trPr>
        <w:tc>
          <w:tcPr>
            <w:tcW w:w="1118" w:type="pct"/>
            <w:hideMark/>
          </w:tcPr>
          <w:p w14:paraId="486FE89E" w14:textId="77777777" w:rsidR="00531754" w:rsidRPr="00531754" w:rsidRDefault="00531754" w:rsidP="009256F4">
            <w:r w:rsidRPr="00531754">
              <w:t>All required services and assistance provided</w:t>
            </w:r>
          </w:p>
        </w:tc>
        <w:tc>
          <w:tcPr>
            <w:tcW w:w="746" w:type="pct"/>
            <w:hideMark/>
          </w:tcPr>
          <w:p w14:paraId="083BC354" w14:textId="77777777" w:rsidR="00531754" w:rsidRPr="00531754" w:rsidRDefault="00531754" w:rsidP="009256F4">
            <w:r w:rsidRPr="00531754">
              <w:t>7,200</w:t>
            </w:r>
          </w:p>
        </w:tc>
        <w:tc>
          <w:tcPr>
            <w:tcW w:w="1046" w:type="pct"/>
            <w:hideMark/>
          </w:tcPr>
          <w:p w14:paraId="77C11D64" w14:textId="77777777" w:rsidR="00531754" w:rsidRPr="00531754" w:rsidRDefault="00531754" w:rsidP="009256F4">
            <w:r w:rsidRPr="00531754">
              <w:t>103,381</w:t>
            </w:r>
          </w:p>
        </w:tc>
        <w:tc>
          <w:tcPr>
            <w:tcW w:w="1046" w:type="pct"/>
            <w:hideMark/>
          </w:tcPr>
          <w:p w14:paraId="46918827" w14:textId="77777777" w:rsidR="00531754" w:rsidRPr="00531754" w:rsidRDefault="00531754" w:rsidP="009256F4">
            <w:r w:rsidRPr="00531754">
              <w:t>15,901</w:t>
            </w:r>
          </w:p>
        </w:tc>
        <w:tc>
          <w:tcPr>
            <w:tcW w:w="1044" w:type="pct"/>
            <w:hideMark/>
          </w:tcPr>
          <w:p w14:paraId="58211FB3" w14:textId="77777777" w:rsidR="00531754" w:rsidRPr="00531754" w:rsidRDefault="00531754" w:rsidP="009256F4">
            <w:r w:rsidRPr="00531754">
              <w:t>126,482</w:t>
            </w:r>
          </w:p>
        </w:tc>
      </w:tr>
      <w:tr w:rsidR="00ED4BC5" w:rsidRPr="00531754" w14:paraId="559BADC4" w14:textId="77777777" w:rsidTr="009256F4">
        <w:trPr>
          <w:trHeight w:val="300"/>
        </w:trPr>
        <w:tc>
          <w:tcPr>
            <w:tcW w:w="1118" w:type="pct"/>
            <w:hideMark/>
          </w:tcPr>
          <w:p w14:paraId="266AE223" w14:textId="77777777" w:rsidR="00531754" w:rsidRPr="00531754" w:rsidRDefault="00531754" w:rsidP="009256F4">
            <w:r w:rsidRPr="00531754">
              <w:t xml:space="preserve">Some required services and </w:t>
            </w:r>
            <w:r w:rsidRPr="00531754">
              <w:lastRenderedPageBreak/>
              <w:t>assistance provided</w:t>
            </w:r>
          </w:p>
        </w:tc>
        <w:tc>
          <w:tcPr>
            <w:tcW w:w="746" w:type="pct"/>
            <w:hideMark/>
          </w:tcPr>
          <w:p w14:paraId="6D721D0C" w14:textId="77777777" w:rsidR="00531754" w:rsidRPr="00531754" w:rsidRDefault="00531754" w:rsidP="009256F4">
            <w:r w:rsidRPr="00531754">
              <w:lastRenderedPageBreak/>
              <w:t>14,915</w:t>
            </w:r>
          </w:p>
        </w:tc>
        <w:tc>
          <w:tcPr>
            <w:tcW w:w="1046" w:type="pct"/>
            <w:hideMark/>
          </w:tcPr>
          <w:p w14:paraId="4DD14860" w14:textId="77777777" w:rsidR="00531754" w:rsidRPr="00531754" w:rsidRDefault="00531754" w:rsidP="009256F4">
            <w:r w:rsidRPr="00531754">
              <w:t>130,148</w:t>
            </w:r>
          </w:p>
        </w:tc>
        <w:tc>
          <w:tcPr>
            <w:tcW w:w="1046" w:type="pct"/>
            <w:hideMark/>
          </w:tcPr>
          <w:p w14:paraId="70D25DD1" w14:textId="77777777" w:rsidR="00531754" w:rsidRPr="00531754" w:rsidRDefault="00531754" w:rsidP="009256F4">
            <w:r w:rsidRPr="00531754">
              <w:t>6,898</w:t>
            </w:r>
          </w:p>
        </w:tc>
        <w:tc>
          <w:tcPr>
            <w:tcW w:w="1044" w:type="pct"/>
            <w:hideMark/>
          </w:tcPr>
          <w:p w14:paraId="51661E0D" w14:textId="77777777" w:rsidR="00531754" w:rsidRPr="00531754" w:rsidRDefault="00531754" w:rsidP="009256F4">
            <w:r w:rsidRPr="00531754">
              <w:t>151,961</w:t>
            </w:r>
          </w:p>
        </w:tc>
      </w:tr>
      <w:tr w:rsidR="00ED4BC5" w:rsidRPr="00531754" w14:paraId="48BC6E6C" w14:textId="77777777" w:rsidTr="009256F4">
        <w:trPr>
          <w:trHeight w:val="300"/>
        </w:trPr>
        <w:tc>
          <w:tcPr>
            <w:tcW w:w="1118" w:type="pct"/>
            <w:hideMark/>
          </w:tcPr>
          <w:p w14:paraId="50661843" w14:textId="77777777" w:rsidR="00531754" w:rsidRPr="00531754" w:rsidRDefault="00531754" w:rsidP="009256F4">
            <w:r w:rsidRPr="00531754">
              <w:t>No required services and assistance provided</w:t>
            </w:r>
            <w:r w:rsidRPr="00531754">
              <w:rPr>
                <w:vertAlign w:val="superscript"/>
              </w:rPr>
              <w:t>(c)</w:t>
            </w:r>
          </w:p>
        </w:tc>
        <w:tc>
          <w:tcPr>
            <w:tcW w:w="746" w:type="pct"/>
            <w:hideMark/>
          </w:tcPr>
          <w:p w14:paraId="77BD96EE" w14:textId="77777777" w:rsidR="00531754" w:rsidRPr="00531754" w:rsidRDefault="00531754" w:rsidP="009256F4">
            <w:r w:rsidRPr="00531754">
              <w:t>642</w:t>
            </w:r>
          </w:p>
        </w:tc>
        <w:tc>
          <w:tcPr>
            <w:tcW w:w="1046" w:type="pct"/>
            <w:hideMark/>
          </w:tcPr>
          <w:p w14:paraId="3F542B70" w14:textId="77777777" w:rsidR="00531754" w:rsidRPr="00531754" w:rsidRDefault="00531754" w:rsidP="009256F4">
            <w:r w:rsidRPr="00531754">
              <w:t>9,099</w:t>
            </w:r>
          </w:p>
        </w:tc>
        <w:tc>
          <w:tcPr>
            <w:tcW w:w="1046" w:type="pct"/>
            <w:hideMark/>
          </w:tcPr>
          <w:p w14:paraId="1B132EA6" w14:textId="77777777" w:rsidR="00531754" w:rsidRPr="00531754" w:rsidRDefault="00531754" w:rsidP="009256F4">
            <w:r w:rsidRPr="00531754">
              <w:t>2,278</w:t>
            </w:r>
          </w:p>
        </w:tc>
        <w:tc>
          <w:tcPr>
            <w:tcW w:w="1044" w:type="pct"/>
            <w:hideMark/>
          </w:tcPr>
          <w:p w14:paraId="49F14A4E" w14:textId="77777777" w:rsidR="00531754" w:rsidRPr="00531754" w:rsidRDefault="00531754" w:rsidP="009256F4">
            <w:r w:rsidRPr="00531754">
              <w:t>12,019</w:t>
            </w:r>
          </w:p>
        </w:tc>
      </w:tr>
      <w:tr w:rsidR="00ED4BC5" w:rsidRPr="00531754" w14:paraId="5D39FD8D" w14:textId="77777777" w:rsidTr="009256F4">
        <w:trPr>
          <w:trHeight w:val="300"/>
        </w:trPr>
        <w:tc>
          <w:tcPr>
            <w:tcW w:w="1118" w:type="pct"/>
            <w:hideMark/>
          </w:tcPr>
          <w:p w14:paraId="7FE50823" w14:textId="77777777" w:rsidR="00531754" w:rsidRPr="00531754" w:rsidRDefault="00531754" w:rsidP="009256F4">
            <w:r w:rsidRPr="00531754">
              <w:t>Total</w:t>
            </w:r>
          </w:p>
        </w:tc>
        <w:tc>
          <w:tcPr>
            <w:tcW w:w="746" w:type="pct"/>
            <w:hideMark/>
          </w:tcPr>
          <w:p w14:paraId="10761DEE" w14:textId="77777777" w:rsidR="00531754" w:rsidRPr="00531754" w:rsidRDefault="00531754" w:rsidP="009256F4">
            <w:r w:rsidRPr="00531754">
              <w:t>22,757</w:t>
            </w:r>
          </w:p>
        </w:tc>
        <w:tc>
          <w:tcPr>
            <w:tcW w:w="1046" w:type="pct"/>
            <w:hideMark/>
          </w:tcPr>
          <w:p w14:paraId="1E66E6A4" w14:textId="77777777" w:rsidR="00531754" w:rsidRPr="00531754" w:rsidRDefault="00531754" w:rsidP="009256F4">
            <w:r w:rsidRPr="00531754">
              <w:t>242,628</w:t>
            </w:r>
          </w:p>
        </w:tc>
        <w:tc>
          <w:tcPr>
            <w:tcW w:w="1046" w:type="pct"/>
            <w:hideMark/>
          </w:tcPr>
          <w:p w14:paraId="6CAAD760" w14:textId="77777777" w:rsidR="00531754" w:rsidRPr="00531754" w:rsidRDefault="00531754" w:rsidP="009256F4">
            <w:r w:rsidRPr="00531754">
              <w:t>25,077</w:t>
            </w:r>
          </w:p>
        </w:tc>
        <w:tc>
          <w:tcPr>
            <w:tcW w:w="1044" w:type="pct"/>
            <w:hideMark/>
          </w:tcPr>
          <w:p w14:paraId="711567BF" w14:textId="77777777" w:rsidR="00531754" w:rsidRPr="00531754" w:rsidRDefault="00531754" w:rsidP="009256F4">
            <w:r w:rsidRPr="00531754">
              <w:t>290,462</w:t>
            </w:r>
          </w:p>
        </w:tc>
      </w:tr>
      <w:tr w:rsidR="00ED4BC5" w:rsidRPr="00531754" w14:paraId="74B5C238" w14:textId="77777777" w:rsidTr="009256F4">
        <w:trPr>
          <w:trHeight w:val="300"/>
        </w:trPr>
        <w:tc>
          <w:tcPr>
            <w:tcW w:w="1118" w:type="pct"/>
            <w:hideMark/>
          </w:tcPr>
          <w:p w14:paraId="5F53A2F9" w14:textId="77777777" w:rsidR="00531754" w:rsidRPr="00531754" w:rsidRDefault="00531754" w:rsidP="009256F4">
            <w:r w:rsidRPr="00531754">
              <w:t>All required services and assistance provided</w:t>
            </w:r>
          </w:p>
        </w:tc>
        <w:tc>
          <w:tcPr>
            <w:tcW w:w="746" w:type="pct"/>
            <w:hideMark/>
          </w:tcPr>
          <w:p w14:paraId="26A00499" w14:textId="77777777" w:rsidR="00531754" w:rsidRPr="00531754" w:rsidRDefault="00531754" w:rsidP="009256F4">
            <w:r w:rsidRPr="00531754">
              <w:t>31.6</w:t>
            </w:r>
          </w:p>
        </w:tc>
        <w:tc>
          <w:tcPr>
            <w:tcW w:w="1046" w:type="pct"/>
            <w:hideMark/>
          </w:tcPr>
          <w:p w14:paraId="63DD28C3" w14:textId="77777777" w:rsidR="00531754" w:rsidRPr="00531754" w:rsidRDefault="00531754" w:rsidP="009256F4">
            <w:r w:rsidRPr="00531754">
              <w:t>42.6</w:t>
            </w:r>
          </w:p>
        </w:tc>
        <w:tc>
          <w:tcPr>
            <w:tcW w:w="1046" w:type="pct"/>
            <w:hideMark/>
          </w:tcPr>
          <w:p w14:paraId="3671B01C" w14:textId="77777777" w:rsidR="00531754" w:rsidRPr="00531754" w:rsidRDefault="00531754" w:rsidP="009256F4">
            <w:r w:rsidRPr="00531754">
              <w:t>63.4</w:t>
            </w:r>
          </w:p>
        </w:tc>
        <w:tc>
          <w:tcPr>
            <w:tcW w:w="1044" w:type="pct"/>
            <w:hideMark/>
          </w:tcPr>
          <w:p w14:paraId="427DF1E5" w14:textId="77777777" w:rsidR="00531754" w:rsidRPr="00531754" w:rsidRDefault="00531754" w:rsidP="009256F4">
            <w:r w:rsidRPr="00531754">
              <w:t>43.5</w:t>
            </w:r>
          </w:p>
        </w:tc>
      </w:tr>
      <w:tr w:rsidR="00ED4BC5" w:rsidRPr="00531754" w14:paraId="26D494FA" w14:textId="77777777" w:rsidTr="009256F4">
        <w:trPr>
          <w:trHeight w:val="300"/>
        </w:trPr>
        <w:tc>
          <w:tcPr>
            <w:tcW w:w="1118" w:type="pct"/>
            <w:hideMark/>
          </w:tcPr>
          <w:p w14:paraId="7BE8CAFD" w14:textId="77777777" w:rsidR="00531754" w:rsidRPr="00531754" w:rsidRDefault="00531754" w:rsidP="009256F4">
            <w:r w:rsidRPr="00531754">
              <w:t>Some required services and assistance provided</w:t>
            </w:r>
          </w:p>
        </w:tc>
        <w:tc>
          <w:tcPr>
            <w:tcW w:w="746" w:type="pct"/>
            <w:hideMark/>
          </w:tcPr>
          <w:p w14:paraId="2CC03470" w14:textId="77777777" w:rsidR="00531754" w:rsidRPr="00531754" w:rsidRDefault="00531754" w:rsidP="009256F4">
            <w:r w:rsidRPr="00531754">
              <w:t>65.5</w:t>
            </w:r>
          </w:p>
        </w:tc>
        <w:tc>
          <w:tcPr>
            <w:tcW w:w="1046" w:type="pct"/>
            <w:hideMark/>
          </w:tcPr>
          <w:p w14:paraId="64A86F26" w14:textId="77777777" w:rsidR="00531754" w:rsidRPr="00531754" w:rsidRDefault="00531754" w:rsidP="009256F4">
            <w:r w:rsidRPr="00531754">
              <w:t>53.6</w:t>
            </w:r>
          </w:p>
        </w:tc>
        <w:tc>
          <w:tcPr>
            <w:tcW w:w="1046" w:type="pct"/>
            <w:hideMark/>
          </w:tcPr>
          <w:p w14:paraId="2CBCE311" w14:textId="77777777" w:rsidR="00531754" w:rsidRPr="00531754" w:rsidRDefault="00531754" w:rsidP="009256F4">
            <w:r w:rsidRPr="00531754">
              <w:t>27.5</w:t>
            </w:r>
          </w:p>
        </w:tc>
        <w:tc>
          <w:tcPr>
            <w:tcW w:w="1044" w:type="pct"/>
            <w:hideMark/>
          </w:tcPr>
          <w:p w14:paraId="655FC9FB" w14:textId="77777777" w:rsidR="00531754" w:rsidRPr="00531754" w:rsidRDefault="00531754" w:rsidP="009256F4">
            <w:r w:rsidRPr="00531754">
              <w:t>52.3</w:t>
            </w:r>
          </w:p>
        </w:tc>
      </w:tr>
      <w:tr w:rsidR="00ED4BC5" w:rsidRPr="00531754" w14:paraId="6C73F843" w14:textId="77777777" w:rsidTr="009256F4">
        <w:trPr>
          <w:trHeight w:val="300"/>
        </w:trPr>
        <w:tc>
          <w:tcPr>
            <w:tcW w:w="1118" w:type="pct"/>
            <w:hideMark/>
          </w:tcPr>
          <w:p w14:paraId="4463F8C9" w14:textId="77777777" w:rsidR="00531754" w:rsidRPr="00531754" w:rsidRDefault="00531754" w:rsidP="009256F4">
            <w:r w:rsidRPr="00531754">
              <w:t>No required services and assistance provided</w:t>
            </w:r>
            <w:r w:rsidRPr="00531754">
              <w:rPr>
                <w:vertAlign w:val="superscript"/>
              </w:rPr>
              <w:t>(c)</w:t>
            </w:r>
          </w:p>
        </w:tc>
        <w:tc>
          <w:tcPr>
            <w:tcW w:w="746" w:type="pct"/>
            <w:hideMark/>
          </w:tcPr>
          <w:p w14:paraId="4A4C192D" w14:textId="77777777" w:rsidR="00531754" w:rsidRPr="00531754" w:rsidRDefault="00531754" w:rsidP="009256F4">
            <w:r w:rsidRPr="00531754">
              <w:t>2.8</w:t>
            </w:r>
          </w:p>
        </w:tc>
        <w:tc>
          <w:tcPr>
            <w:tcW w:w="1046" w:type="pct"/>
            <w:hideMark/>
          </w:tcPr>
          <w:p w14:paraId="646EAB3D" w14:textId="77777777" w:rsidR="00531754" w:rsidRPr="00531754" w:rsidRDefault="00531754" w:rsidP="009256F4">
            <w:r w:rsidRPr="00531754">
              <w:t>3.8</w:t>
            </w:r>
          </w:p>
        </w:tc>
        <w:tc>
          <w:tcPr>
            <w:tcW w:w="1046" w:type="pct"/>
            <w:hideMark/>
          </w:tcPr>
          <w:p w14:paraId="04AC1F7A" w14:textId="77777777" w:rsidR="00531754" w:rsidRPr="00531754" w:rsidRDefault="00531754" w:rsidP="009256F4">
            <w:r w:rsidRPr="00531754">
              <w:t>9.1</w:t>
            </w:r>
          </w:p>
        </w:tc>
        <w:tc>
          <w:tcPr>
            <w:tcW w:w="1044" w:type="pct"/>
            <w:hideMark/>
          </w:tcPr>
          <w:p w14:paraId="5A403667" w14:textId="77777777" w:rsidR="00531754" w:rsidRPr="00531754" w:rsidRDefault="00531754" w:rsidP="009256F4">
            <w:r w:rsidRPr="00531754">
              <w:t>4.1</w:t>
            </w:r>
          </w:p>
        </w:tc>
      </w:tr>
      <w:tr w:rsidR="00ED4BC5" w:rsidRPr="00531754" w14:paraId="565B781F" w14:textId="77777777" w:rsidTr="009256F4">
        <w:trPr>
          <w:trHeight w:val="300"/>
        </w:trPr>
        <w:tc>
          <w:tcPr>
            <w:tcW w:w="1118" w:type="pct"/>
            <w:hideMark/>
          </w:tcPr>
          <w:p w14:paraId="3808234B" w14:textId="77777777" w:rsidR="00531754" w:rsidRPr="00531754" w:rsidRDefault="00531754" w:rsidP="009256F4">
            <w:r w:rsidRPr="00531754">
              <w:t>Total</w:t>
            </w:r>
          </w:p>
        </w:tc>
        <w:tc>
          <w:tcPr>
            <w:tcW w:w="746" w:type="pct"/>
            <w:hideMark/>
          </w:tcPr>
          <w:p w14:paraId="2B3EBEF4" w14:textId="77777777" w:rsidR="00531754" w:rsidRPr="00531754" w:rsidRDefault="00531754" w:rsidP="009256F4">
            <w:r w:rsidRPr="00531754">
              <w:t>100.0</w:t>
            </w:r>
          </w:p>
        </w:tc>
        <w:tc>
          <w:tcPr>
            <w:tcW w:w="1046" w:type="pct"/>
            <w:hideMark/>
          </w:tcPr>
          <w:p w14:paraId="21304DCA" w14:textId="77777777" w:rsidR="00531754" w:rsidRPr="00531754" w:rsidRDefault="00531754" w:rsidP="009256F4">
            <w:r w:rsidRPr="00531754">
              <w:t>100.0</w:t>
            </w:r>
          </w:p>
        </w:tc>
        <w:tc>
          <w:tcPr>
            <w:tcW w:w="1046" w:type="pct"/>
            <w:hideMark/>
          </w:tcPr>
          <w:p w14:paraId="55250C3B" w14:textId="77777777" w:rsidR="00531754" w:rsidRPr="00531754" w:rsidRDefault="00531754" w:rsidP="009256F4">
            <w:r w:rsidRPr="00531754">
              <w:t>100.0</w:t>
            </w:r>
          </w:p>
        </w:tc>
        <w:tc>
          <w:tcPr>
            <w:tcW w:w="1044" w:type="pct"/>
            <w:hideMark/>
          </w:tcPr>
          <w:p w14:paraId="09532913" w14:textId="77777777" w:rsidR="00531754" w:rsidRPr="00531754" w:rsidRDefault="00531754" w:rsidP="009256F4">
            <w:r w:rsidRPr="00531754">
              <w:t>100.0</w:t>
            </w:r>
          </w:p>
        </w:tc>
      </w:tr>
    </w:tbl>
    <w:p w14:paraId="1C822C67" w14:textId="48EE1F45" w:rsidR="008E7C4E" w:rsidRDefault="008E7C4E" w:rsidP="008E7C4E">
      <w:r w:rsidRPr="00531754">
        <w:t>(a) Disability refers to limitation in core activities only—self-care, mobility, and / or communication. This includes clients who: always / sometimes need help and / or supervision; have difficulty but don’t need help / supervision; and don't have difficulty but use aids / equipment.  </w:t>
      </w:r>
    </w:p>
    <w:p w14:paraId="01E8555B" w14:textId="7CA7F63D" w:rsidR="008E7C4E" w:rsidRDefault="008E7C4E" w:rsidP="008E7C4E">
      <w:r w:rsidRPr="00531754">
        <w:t>(b) Includes clients who have disability but no core activity limitation.  </w:t>
      </w:r>
    </w:p>
    <w:p w14:paraId="2B5FA477" w14:textId="58BAE427" w:rsidR="008E7C4E" w:rsidRDefault="008E7C4E" w:rsidP="008E7C4E">
      <w:r w:rsidRPr="00531754">
        <w:t>(c) Includes clients for whom services were: referred only; not provided or referred. </w:t>
      </w:r>
    </w:p>
    <w:p w14:paraId="11F17CF5" w14:textId="5652E161" w:rsidR="008E7C4E" w:rsidRDefault="008E7C4E" w:rsidP="008E7C4E">
      <w:r w:rsidRPr="00531754">
        <w:t>Source: Specialist Homelessness Services Collection (SHSC) 2019–20. ABS (2022) </w:t>
      </w:r>
    </w:p>
    <w:p w14:paraId="3FF386BC" w14:textId="655E6587" w:rsidR="00531754" w:rsidRPr="00531754" w:rsidRDefault="00531754" w:rsidP="00917ED0">
      <w:pPr>
        <w:pStyle w:val="Heading1"/>
      </w:pPr>
      <w:bookmarkStart w:id="165" w:name="_Toc130942961"/>
      <w:r w:rsidRPr="00531754">
        <w:lastRenderedPageBreak/>
        <w:t>Appendix 3 – Purposes and Sub-categories of expenditure at a Local Government level</w:t>
      </w:r>
      <w:bookmarkEnd w:id="165"/>
      <w:r w:rsidRPr="00531754">
        <w:t> </w:t>
      </w:r>
    </w:p>
    <w:p w14:paraId="0B7243B5" w14:textId="77777777" w:rsidR="00531754" w:rsidRPr="009256F4" w:rsidRDefault="00531754" w:rsidP="009256F4">
      <w:pPr>
        <w:rPr>
          <w:b/>
          <w:bCs/>
        </w:rPr>
      </w:pPr>
      <w:r w:rsidRPr="009256F4">
        <w:rPr>
          <w:b/>
          <w:bCs/>
        </w:rPr>
        <w:t>Table A3</w:t>
      </w:r>
    </w:p>
    <w:p w14:paraId="399C2F53" w14:textId="0DE6E052" w:rsidR="00531754" w:rsidRPr="00205145" w:rsidRDefault="00531754" w:rsidP="00205145">
      <w:pPr>
        <w:rPr>
          <w:b/>
          <w:bCs/>
        </w:rPr>
      </w:pPr>
      <w:r w:rsidRPr="00205145">
        <w:rPr>
          <w:b/>
          <w:bCs/>
        </w:rPr>
        <w:t>Primary</w:t>
      </w:r>
      <w:r w:rsidR="00B316DE" w:rsidRPr="00205145">
        <w:rPr>
          <w:b/>
          <w:bCs/>
        </w:rPr>
        <w:t xml:space="preserve"> (Functional)</w:t>
      </w:r>
      <w:r w:rsidRPr="00205145">
        <w:rPr>
          <w:b/>
          <w:bCs/>
        </w:rPr>
        <w:t xml:space="preserve"> Purpose Categories</w:t>
      </w:r>
    </w:p>
    <w:p w14:paraId="19842102" w14:textId="77777777" w:rsidR="00565E04" w:rsidRPr="00531754" w:rsidRDefault="00565E04" w:rsidP="00220963">
      <w:pPr>
        <w:rPr>
          <w:lang w:eastAsia="en-AU"/>
        </w:rPr>
      </w:pPr>
      <w:r w:rsidRPr="00531754">
        <w:rPr>
          <w:lang w:eastAsia="en-AU"/>
        </w:rPr>
        <w:t>General public services</w:t>
      </w:r>
    </w:p>
    <w:p w14:paraId="7CF30AC3" w14:textId="77777777" w:rsidR="00565E04" w:rsidRPr="00531754" w:rsidRDefault="00565E04" w:rsidP="00220963">
      <w:pPr>
        <w:rPr>
          <w:lang w:eastAsia="en-AU"/>
        </w:rPr>
      </w:pPr>
      <w:r w:rsidRPr="00531754">
        <w:rPr>
          <w:lang w:eastAsia="en-AU"/>
        </w:rPr>
        <w:t>Public order and safety</w:t>
      </w:r>
    </w:p>
    <w:p w14:paraId="12F0DBFB" w14:textId="77777777" w:rsidR="00565E04" w:rsidRPr="00531754" w:rsidRDefault="00565E04" w:rsidP="00220963">
      <w:pPr>
        <w:rPr>
          <w:lang w:eastAsia="en-AU"/>
        </w:rPr>
      </w:pPr>
      <w:r w:rsidRPr="00531754">
        <w:rPr>
          <w:lang w:eastAsia="en-AU"/>
        </w:rPr>
        <w:t>Economic affairs</w:t>
      </w:r>
    </w:p>
    <w:p w14:paraId="3D33F517" w14:textId="77777777" w:rsidR="00565E04" w:rsidRPr="00531754" w:rsidRDefault="00565E04" w:rsidP="00220963">
      <w:pPr>
        <w:rPr>
          <w:lang w:eastAsia="en-AU"/>
        </w:rPr>
      </w:pPr>
      <w:r w:rsidRPr="00531754">
        <w:rPr>
          <w:lang w:eastAsia="en-AU"/>
        </w:rPr>
        <w:t>Environmental Protection</w:t>
      </w:r>
    </w:p>
    <w:p w14:paraId="0D4E4315" w14:textId="77777777" w:rsidR="00565E04" w:rsidRPr="00531754" w:rsidRDefault="00565E04" w:rsidP="00220963">
      <w:pPr>
        <w:rPr>
          <w:lang w:eastAsia="en-AU"/>
        </w:rPr>
      </w:pPr>
      <w:r w:rsidRPr="00531754">
        <w:rPr>
          <w:lang w:eastAsia="en-AU"/>
        </w:rPr>
        <w:t>Housing and community amenities</w:t>
      </w:r>
    </w:p>
    <w:p w14:paraId="0E703A4C" w14:textId="77777777" w:rsidR="00565E04" w:rsidRPr="00531754" w:rsidRDefault="00565E04" w:rsidP="00220963">
      <w:pPr>
        <w:rPr>
          <w:lang w:eastAsia="en-AU"/>
        </w:rPr>
      </w:pPr>
      <w:r w:rsidRPr="00531754">
        <w:rPr>
          <w:lang w:eastAsia="en-AU"/>
        </w:rPr>
        <w:t>Health</w:t>
      </w:r>
    </w:p>
    <w:p w14:paraId="02793BE5" w14:textId="77777777" w:rsidR="00565E04" w:rsidRPr="00531754" w:rsidRDefault="00565E04" w:rsidP="00220963">
      <w:pPr>
        <w:rPr>
          <w:lang w:eastAsia="en-AU"/>
        </w:rPr>
      </w:pPr>
      <w:r w:rsidRPr="00531754">
        <w:rPr>
          <w:lang w:eastAsia="en-AU"/>
        </w:rPr>
        <w:t>Recreation, culture and religion</w:t>
      </w:r>
    </w:p>
    <w:p w14:paraId="7FFB8233" w14:textId="77777777" w:rsidR="00565E04" w:rsidRPr="00531754" w:rsidRDefault="00565E04" w:rsidP="00220963">
      <w:pPr>
        <w:rPr>
          <w:lang w:eastAsia="en-AU"/>
        </w:rPr>
      </w:pPr>
      <w:r w:rsidRPr="00531754">
        <w:rPr>
          <w:lang w:eastAsia="en-AU"/>
        </w:rPr>
        <w:t>Education</w:t>
      </w:r>
    </w:p>
    <w:p w14:paraId="6EBEDFB4" w14:textId="77777777" w:rsidR="00565E04" w:rsidRPr="00531754" w:rsidRDefault="00565E04" w:rsidP="00220963">
      <w:pPr>
        <w:rPr>
          <w:lang w:eastAsia="en-AU"/>
        </w:rPr>
      </w:pPr>
      <w:r w:rsidRPr="00531754">
        <w:rPr>
          <w:lang w:eastAsia="en-AU"/>
        </w:rPr>
        <w:t>Social Protection</w:t>
      </w:r>
    </w:p>
    <w:p w14:paraId="2B98F301" w14:textId="77777777" w:rsidR="00565E04" w:rsidRPr="00531754" w:rsidRDefault="00565E04" w:rsidP="00220963">
      <w:pPr>
        <w:rPr>
          <w:lang w:eastAsia="en-AU"/>
        </w:rPr>
      </w:pPr>
      <w:r w:rsidRPr="00531754">
        <w:rPr>
          <w:lang w:eastAsia="en-AU"/>
        </w:rPr>
        <w:t>Transport</w:t>
      </w:r>
    </w:p>
    <w:p w14:paraId="531E3D65" w14:textId="4151148E" w:rsidR="00ED4BC5" w:rsidRPr="00B316DE" w:rsidRDefault="00531754" w:rsidP="00205145">
      <w:r w:rsidRPr="00B316DE">
        <w:t>Note - Subcategories for Health and Social Protection are detailed in the subsequent tables</w:t>
      </w:r>
    </w:p>
    <w:p w14:paraId="36E5FA06" w14:textId="1A4E3BD2" w:rsidR="00531754" w:rsidRPr="00205145" w:rsidRDefault="00531754" w:rsidP="00205145">
      <w:pPr>
        <w:rPr>
          <w:b/>
          <w:bCs/>
        </w:rPr>
      </w:pPr>
      <w:r w:rsidRPr="00205145">
        <w:rPr>
          <w:b/>
          <w:bCs/>
        </w:rPr>
        <w:t>Table A4</w:t>
      </w:r>
    </w:p>
    <w:p w14:paraId="2FB579E5" w14:textId="4659A867" w:rsidR="00531754" w:rsidRPr="00205145" w:rsidRDefault="00531754" w:rsidP="00205145">
      <w:pPr>
        <w:rPr>
          <w:b/>
          <w:bCs/>
        </w:rPr>
      </w:pPr>
      <w:r w:rsidRPr="00205145">
        <w:rPr>
          <w:b/>
          <w:bCs/>
        </w:rPr>
        <w:t>Secondary Purpose Categories</w:t>
      </w:r>
    </w:p>
    <w:tbl>
      <w:tblPr>
        <w:tblStyle w:val="TableGrid"/>
        <w:tblW w:w="8123" w:type="dxa"/>
        <w:tblLook w:val="04A0" w:firstRow="1" w:lastRow="0" w:firstColumn="1" w:lastColumn="0" w:noHBand="0" w:noVBand="1"/>
      </w:tblPr>
      <w:tblGrid>
        <w:gridCol w:w="3633"/>
        <w:gridCol w:w="4490"/>
      </w:tblGrid>
      <w:tr w:rsidR="00531754" w:rsidRPr="00531754" w14:paraId="0EEF1C69" w14:textId="77777777" w:rsidTr="00092A04">
        <w:trPr>
          <w:trHeight w:val="285"/>
        </w:trPr>
        <w:tc>
          <w:tcPr>
            <w:tcW w:w="3633" w:type="dxa"/>
            <w:noWrap/>
            <w:hideMark/>
          </w:tcPr>
          <w:p w14:paraId="60120521" w14:textId="77777777" w:rsidR="00531754" w:rsidRPr="00A73AD0" w:rsidRDefault="00531754" w:rsidP="00A73AD0">
            <w:pPr>
              <w:rPr>
                <w:b/>
                <w:bCs/>
                <w:lang w:eastAsia="en-AU"/>
              </w:rPr>
            </w:pPr>
            <w:r w:rsidRPr="00A73AD0">
              <w:rPr>
                <w:b/>
                <w:bCs/>
                <w:lang w:eastAsia="en-AU"/>
              </w:rPr>
              <w:t>Health</w:t>
            </w:r>
          </w:p>
        </w:tc>
        <w:tc>
          <w:tcPr>
            <w:tcW w:w="4490" w:type="dxa"/>
            <w:noWrap/>
            <w:hideMark/>
          </w:tcPr>
          <w:p w14:paraId="2E5BB302" w14:textId="77777777" w:rsidR="00531754" w:rsidRPr="00A73AD0" w:rsidRDefault="00531754" w:rsidP="00A73AD0">
            <w:pPr>
              <w:rPr>
                <w:b/>
                <w:bCs/>
                <w:lang w:eastAsia="en-AU"/>
              </w:rPr>
            </w:pPr>
            <w:r w:rsidRPr="00A73AD0">
              <w:rPr>
                <w:b/>
                <w:bCs/>
                <w:lang w:eastAsia="en-AU"/>
              </w:rPr>
              <w:t>Social Protection</w:t>
            </w:r>
          </w:p>
        </w:tc>
      </w:tr>
      <w:tr w:rsidR="00531754" w:rsidRPr="00531754" w14:paraId="63B1A8FF" w14:textId="77777777" w:rsidTr="00092A04">
        <w:trPr>
          <w:trHeight w:val="285"/>
        </w:trPr>
        <w:tc>
          <w:tcPr>
            <w:tcW w:w="3633" w:type="dxa"/>
            <w:noWrap/>
            <w:hideMark/>
          </w:tcPr>
          <w:p w14:paraId="0621A2F8" w14:textId="77777777" w:rsidR="00531754" w:rsidRPr="00531754" w:rsidRDefault="00531754" w:rsidP="00A73AD0">
            <w:pPr>
              <w:rPr>
                <w:lang w:eastAsia="en-AU"/>
              </w:rPr>
            </w:pPr>
            <w:r w:rsidRPr="00531754">
              <w:rPr>
                <w:lang w:eastAsia="en-AU"/>
              </w:rPr>
              <w:t>Medical products, appliances and equipment</w:t>
            </w:r>
          </w:p>
        </w:tc>
        <w:tc>
          <w:tcPr>
            <w:tcW w:w="4490" w:type="dxa"/>
            <w:noWrap/>
            <w:hideMark/>
          </w:tcPr>
          <w:p w14:paraId="5375A7C2" w14:textId="77777777" w:rsidR="00531754" w:rsidRPr="00531754" w:rsidRDefault="00531754" w:rsidP="00A73AD0">
            <w:pPr>
              <w:rPr>
                <w:lang w:eastAsia="en-AU"/>
              </w:rPr>
            </w:pPr>
            <w:r w:rsidRPr="00531754">
              <w:rPr>
                <w:lang w:eastAsia="en-AU"/>
              </w:rPr>
              <w:t>Sickness and disability</w:t>
            </w:r>
          </w:p>
        </w:tc>
      </w:tr>
      <w:tr w:rsidR="00531754" w:rsidRPr="00531754" w14:paraId="14F9680A" w14:textId="77777777" w:rsidTr="00092A04">
        <w:trPr>
          <w:trHeight w:val="285"/>
        </w:trPr>
        <w:tc>
          <w:tcPr>
            <w:tcW w:w="3633" w:type="dxa"/>
            <w:noWrap/>
            <w:hideMark/>
          </w:tcPr>
          <w:p w14:paraId="31AD3194" w14:textId="77777777" w:rsidR="00531754" w:rsidRPr="00531754" w:rsidRDefault="00531754" w:rsidP="00A73AD0">
            <w:pPr>
              <w:rPr>
                <w:lang w:eastAsia="en-AU"/>
              </w:rPr>
            </w:pPr>
            <w:r w:rsidRPr="00531754">
              <w:rPr>
                <w:lang w:eastAsia="en-AU"/>
              </w:rPr>
              <w:t>Outpatient services</w:t>
            </w:r>
          </w:p>
        </w:tc>
        <w:tc>
          <w:tcPr>
            <w:tcW w:w="4490" w:type="dxa"/>
            <w:noWrap/>
            <w:hideMark/>
          </w:tcPr>
          <w:p w14:paraId="5C53C6AB" w14:textId="77777777" w:rsidR="00531754" w:rsidRPr="00531754" w:rsidRDefault="00531754" w:rsidP="00A73AD0">
            <w:pPr>
              <w:rPr>
                <w:lang w:eastAsia="en-AU"/>
              </w:rPr>
            </w:pPr>
            <w:r w:rsidRPr="00531754">
              <w:rPr>
                <w:lang w:eastAsia="en-AU"/>
              </w:rPr>
              <w:t>Old age</w:t>
            </w:r>
          </w:p>
        </w:tc>
      </w:tr>
      <w:tr w:rsidR="00531754" w:rsidRPr="00531754" w14:paraId="5352C39B" w14:textId="77777777" w:rsidTr="00092A04">
        <w:trPr>
          <w:trHeight w:val="285"/>
        </w:trPr>
        <w:tc>
          <w:tcPr>
            <w:tcW w:w="3633" w:type="dxa"/>
            <w:noWrap/>
            <w:hideMark/>
          </w:tcPr>
          <w:p w14:paraId="3F18F9E9" w14:textId="77777777" w:rsidR="00531754" w:rsidRPr="00531754" w:rsidRDefault="00531754" w:rsidP="00A73AD0">
            <w:pPr>
              <w:rPr>
                <w:lang w:eastAsia="en-AU"/>
              </w:rPr>
            </w:pPr>
            <w:r w:rsidRPr="00531754">
              <w:rPr>
                <w:lang w:eastAsia="en-AU"/>
              </w:rPr>
              <w:t>Hospital services</w:t>
            </w:r>
          </w:p>
        </w:tc>
        <w:tc>
          <w:tcPr>
            <w:tcW w:w="4490" w:type="dxa"/>
            <w:noWrap/>
            <w:hideMark/>
          </w:tcPr>
          <w:p w14:paraId="3C3834EA" w14:textId="77777777" w:rsidR="00531754" w:rsidRPr="00531754" w:rsidRDefault="00531754" w:rsidP="00A73AD0">
            <w:pPr>
              <w:rPr>
                <w:lang w:eastAsia="en-AU"/>
              </w:rPr>
            </w:pPr>
            <w:r w:rsidRPr="00531754">
              <w:rPr>
                <w:lang w:eastAsia="en-AU"/>
              </w:rPr>
              <w:t>Survivors</w:t>
            </w:r>
          </w:p>
        </w:tc>
      </w:tr>
      <w:tr w:rsidR="00531754" w:rsidRPr="00531754" w14:paraId="6288CF6C" w14:textId="77777777" w:rsidTr="00092A04">
        <w:trPr>
          <w:trHeight w:val="285"/>
        </w:trPr>
        <w:tc>
          <w:tcPr>
            <w:tcW w:w="3633" w:type="dxa"/>
            <w:noWrap/>
            <w:hideMark/>
          </w:tcPr>
          <w:p w14:paraId="2926FFE8" w14:textId="77777777" w:rsidR="00531754" w:rsidRPr="00531754" w:rsidRDefault="00531754" w:rsidP="00A73AD0">
            <w:pPr>
              <w:rPr>
                <w:lang w:eastAsia="en-AU"/>
              </w:rPr>
            </w:pPr>
            <w:r w:rsidRPr="00531754">
              <w:rPr>
                <w:lang w:eastAsia="en-AU"/>
              </w:rPr>
              <w:t>Mental health institutions</w:t>
            </w:r>
          </w:p>
        </w:tc>
        <w:tc>
          <w:tcPr>
            <w:tcW w:w="4490" w:type="dxa"/>
            <w:noWrap/>
            <w:hideMark/>
          </w:tcPr>
          <w:p w14:paraId="58341EA7" w14:textId="77777777" w:rsidR="00531754" w:rsidRPr="00531754" w:rsidRDefault="00531754" w:rsidP="00A73AD0">
            <w:pPr>
              <w:rPr>
                <w:lang w:eastAsia="en-AU"/>
              </w:rPr>
            </w:pPr>
            <w:r w:rsidRPr="00531754">
              <w:rPr>
                <w:lang w:eastAsia="en-AU"/>
              </w:rPr>
              <w:t>Family and children</w:t>
            </w:r>
          </w:p>
        </w:tc>
      </w:tr>
      <w:tr w:rsidR="00531754" w:rsidRPr="00531754" w14:paraId="5B8DF444" w14:textId="77777777" w:rsidTr="00092A04">
        <w:trPr>
          <w:trHeight w:val="285"/>
        </w:trPr>
        <w:tc>
          <w:tcPr>
            <w:tcW w:w="3633" w:type="dxa"/>
            <w:noWrap/>
            <w:hideMark/>
          </w:tcPr>
          <w:p w14:paraId="358A4B82" w14:textId="77777777" w:rsidR="00531754" w:rsidRPr="00531754" w:rsidRDefault="00531754" w:rsidP="00A73AD0">
            <w:pPr>
              <w:rPr>
                <w:lang w:eastAsia="en-AU"/>
              </w:rPr>
            </w:pPr>
            <w:r w:rsidRPr="00531754">
              <w:rPr>
                <w:lang w:eastAsia="en-AU"/>
              </w:rPr>
              <w:lastRenderedPageBreak/>
              <w:t>Community health services</w:t>
            </w:r>
          </w:p>
        </w:tc>
        <w:tc>
          <w:tcPr>
            <w:tcW w:w="4490" w:type="dxa"/>
            <w:noWrap/>
            <w:hideMark/>
          </w:tcPr>
          <w:p w14:paraId="157F9BF0" w14:textId="77777777" w:rsidR="00531754" w:rsidRPr="00531754" w:rsidRDefault="00531754" w:rsidP="00A73AD0">
            <w:pPr>
              <w:rPr>
                <w:lang w:eastAsia="en-AU"/>
              </w:rPr>
            </w:pPr>
            <w:r w:rsidRPr="00531754">
              <w:rPr>
                <w:lang w:eastAsia="en-AU"/>
              </w:rPr>
              <w:t>Unemployment</w:t>
            </w:r>
          </w:p>
        </w:tc>
      </w:tr>
      <w:tr w:rsidR="00531754" w:rsidRPr="00531754" w14:paraId="5CA75D65" w14:textId="77777777" w:rsidTr="00092A04">
        <w:trPr>
          <w:trHeight w:val="285"/>
        </w:trPr>
        <w:tc>
          <w:tcPr>
            <w:tcW w:w="3633" w:type="dxa"/>
            <w:noWrap/>
            <w:hideMark/>
          </w:tcPr>
          <w:p w14:paraId="6FE0C9BD" w14:textId="77777777" w:rsidR="00531754" w:rsidRPr="00531754" w:rsidRDefault="00531754" w:rsidP="00A73AD0">
            <w:pPr>
              <w:rPr>
                <w:lang w:eastAsia="en-AU"/>
              </w:rPr>
            </w:pPr>
            <w:r w:rsidRPr="00531754">
              <w:rPr>
                <w:lang w:eastAsia="en-AU"/>
              </w:rPr>
              <w:t>Public health services</w:t>
            </w:r>
          </w:p>
        </w:tc>
        <w:tc>
          <w:tcPr>
            <w:tcW w:w="4490" w:type="dxa"/>
            <w:noWrap/>
            <w:hideMark/>
          </w:tcPr>
          <w:p w14:paraId="1DA84D3A" w14:textId="77777777" w:rsidR="00531754" w:rsidRPr="00531754" w:rsidRDefault="00531754" w:rsidP="00A73AD0">
            <w:pPr>
              <w:rPr>
                <w:lang w:eastAsia="en-AU"/>
              </w:rPr>
            </w:pPr>
            <w:r w:rsidRPr="00531754">
              <w:rPr>
                <w:lang w:eastAsia="en-AU"/>
              </w:rPr>
              <w:t>Housing</w:t>
            </w:r>
          </w:p>
        </w:tc>
      </w:tr>
      <w:tr w:rsidR="00531754" w:rsidRPr="00531754" w14:paraId="0A52CEEF" w14:textId="77777777" w:rsidTr="00092A04">
        <w:trPr>
          <w:trHeight w:val="285"/>
        </w:trPr>
        <w:tc>
          <w:tcPr>
            <w:tcW w:w="3633" w:type="dxa"/>
            <w:noWrap/>
            <w:hideMark/>
          </w:tcPr>
          <w:p w14:paraId="1BB6D5CB" w14:textId="30FDDB08" w:rsidR="00531754" w:rsidRPr="00531754" w:rsidRDefault="00531754" w:rsidP="00A73AD0">
            <w:pPr>
              <w:rPr>
                <w:lang w:eastAsia="en-AU"/>
              </w:rPr>
            </w:pPr>
            <w:r w:rsidRPr="00531754">
              <w:rPr>
                <w:lang w:eastAsia="en-AU"/>
              </w:rPr>
              <w:t>R</w:t>
            </w:r>
            <w:r w:rsidR="00670A45">
              <w:rPr>
                <w:lang w:eastAsia="en-AU"/>
              </w:rPr>
              <w:t>and</w:t>
            </w:r>
            <w:r w:rsidRPr="00531754">
              <w:rPr>
                <w:lang w:eastAsia="en-AU"/>
              </w:rPr>
              <w:t>D health</w:t>
            </w:r>
          </w:p>
        </w:tc>
        <w:tc>
          <w:tcPr>
            <w:tcW w:w="4490" w:type="dxa"/>
            <w:noWrap/>
            <w:hideMark/>
          </w:tcPr>
          <w:p w14:paraId="50348804" w14:textId="77777777" w:rsidR="00531754" w:rsidRPr="00531754" w:rsidRDefault="00531754" w:rsidP="00A73AD0">
            <w:pPr>
              <w:rPr>
                <w:lang w:eastAsia="en-AU"/>
              </w:rPr>
            </w:pPr>
            <w:r w:rsidRPr="00531754">
              <w:rPr>
                <w:lang w:eastAsia="en-AU"/>
              </w:rPr>
              <w:t>Social exclusion n.e.c.</w:t>
            </w:r>
          </w:p>
        </w:tc>
      </w:tr>
      <w:tr w:rsidR="00531754" w:rsidRPr="00531754" w14:paraId="67BF6A9B" w14:textId="77777777" w:rsidTr="00092A04">
        <w:trPr>
          <w:trHeight w:val="285"/>
        </w:trPr>
        <w:tc>
          <w:tcPr>
            <w:tcW w:w="3633" w:type="dxa"/>
            <w:noWrap/>
            <w:hideMark/>
          </w:tcPr>
          <w:p w14:paraId="25D95342" w14:textId="77777777" w:rsidR="00531754" w:rsidRPr="00531754" w:rsidRDefault="00531754" w:rsidP="00A73AD0">
            <w:pPr>
              <w:rPr>
                <w:lang w:eastAsia="en-AU"/>
              </w:rPr>
            </w:pPr>
            <w:r w:rsidRPr="00531754">
              <w:rPr>
                <w:lang w:eastAsia="en-AU"/>
              </w:rPr>
              <w:t>Health n.e.c.</w:t>
            </w:r>
          </w:p>
        </w:tc>
        <w:tc>
          <w:tcPr>
            <w:tcW w:w="4490" w:type="dxa"/>
            <w:noWrap/>
            <w:hideMark/>
          </w:tcPr>
          <w:p w14:paraId="1D5BD9CE" w14:textId="48378C29" w:rsidR="00531754" w:rsidRPr="00531754" w:rsidRDefault="00531754" w:rsidP="00A73AD0">
            <w:pPr>
              <w:rPr>
                <w:lang w:eastAsia="en-AU"/>
              </w:rPr>
            </w:pPr>
            <w:r w:rsidRPr="00531754">
              <w:rPr>
                <w:lang w:eastAsia="en-AU"/>
              </w:rPr>
              <w:t>R</w:t>
            </w:r>
            <w:r w:rsidR="00670A45">
              <w:rPr>
                <w:lang w:eastAsia="en-AU"/>
              </w:rPr>
              <w:t>and</w:t>
            </w:r>
            <w:r w:rsidRPr="00531754">
              <w:rPr>
                <w:lang w:eastAsia="en-AU"/>
              </w:rPr>
              <w:t>D social protection</w:t>
            </w:r>
          </w:p>
        </w:tc>
      </w:tr>
      <w:tr w:rsidR="00531754" w:rsidRPr="00531754" w14:paraId="5DAE8915" w14:textId="77777777" w:rsidTr="00092A04">
        <w:trPr>
          <w:trHeight w:val="285"/>
        </w:trPr>
        <w:tc>
          <w:tcPr>
            <w:tcW w:w="3633" w:type="dxa"/>
            <w:noWrap/>
            <w:hideMark/>
          </w:tcPr>
          <w:p w14:paraId="3569B40C" w14:textId="77777777" w:rsidR="00531754" w:rsidRPr="00531754" w:rsidRDefault="00531754" w:rsidP="00A73AD0">
            <w:pPr>
              <w:rPr>
                <w:lang w:eastAsia="en-AU"/>
              </w:rPr>
            </w:pPr>
          </w:p>
        </w:tc>
        <w:tc>
          <w:tcPr>
            <w:tcW w:w="4490" w:type="dxa"/>
            <w:noWrap/>
            <w:hideMark/>
          </w:tcPr>
          <w:p w14:paraId="332CEDE0" w14:textId="77777777" w:rsidR="00531754" w:rsidRPr="00531754" w:rsidRDefault="00531754" w:rsidP="00A73AD0">
            <w:pPr>
              <w:rPr>
                <w:lang w:eastAsia="en-AU"/>
              </w:rPr>
            </w:pPr>
            <w:r w:rsidRPr="00531754">
              <w:rPr>
                <w:lang w:eastAsia="en-AU"/>
              </w:rPr>
              <w:t>Social protection (including natural disaster relief)</w:t>
            </w:r>
          </w:p>
        </w:tc>
      </w:tr>
      <w:tr w:rsidR="00531754" w:rsidRPr="00531754" w14:paraId="659625DA" w14:textId="77777777" w:rsidTr="00092A04">
        <w:trPr>
          <w:trHeight w:val="285"/>
        </w:trPr>
        <w:tc>
          <w:tcPr>
            <w:tcW w:w="3633" w:type="dxa"/>
            <w:noWrap/>
            <w:hideMark/>
          </w:tcPr>
          <w:p w14:paraId="0BCDDB40" w14:textId="77777777" w:rsidR="00531754" w:rsidRPr="00531754" w:rsidRDefault="00531754" w:rsidP="00A73AD0">
            <w:pPr>
              <w:rPr>
                <w:lang w:eastAsia="en-AU"/>
              </w:rPr>
            </w:pPr>
          </w:p>
        </w:tc>
        <w:tc>
          <w:tcPr>
            <w:tcW w:w="4490" w:type="dxa"/>
            <w:noWrap/>
            <w:hideMark/>
          </w:tcPr>
          <w:p w14:paraId="7360D9F3" w14:textId="77777777" w:rsidR="00531754" w:rsidRPr="00531754" w:rsidRDefault="00531754" w:rsidP="00A73AD0">
            <w:pPr>
              <w:rPr>
                <w:lang w:eastAsia="en-AU"/>
              </w:rPr>
            </w:pPr>
            <w:r w:rsidRPr="00531754">
              <w:rPr>
                <w:lang w:eastAsia="en-AU"/>
              </w:rPr>
              <w:t>Social protection n.e.c</w:t>
            </w:r>
          </w:p>
        </w:tc>
      </w:tr>
    </w:tbl>
    <w:p w14:paraId="5068D58C" w14:textId="789E4B56" w:rsidR="00531754" w:rsidRDefault="00531754" w:rsidP="006D2645">
      <w:r w:rsidRPr="00B316DE">
        <w:t>Note – The ABS does not presently publish data pertaining to Local government expenditure at the sub category level.</w:t>
      </w:r>
    </w:p>
    <w:p w14:paraId="586A0D0C" w14:textId="2CF20B89" w:rsidR="005345A6" w:rsidRPr="00527692" w:rsidRDefault="005345A6" w:rsidP="00527692">
      <w:pPr>
        <w:pStyle w:val="Heading1"/>
      </w:pPr>
      <w:bookmarkStart w:id="166" w:name="_Toc130942962"/>
      <w:r w:rsidRPr="00DE475D">
        <w:t>Appendix 4 – Additional Charts</w:t>
      </w:r>
      <w:bookmarkEnd w:id="166"/>
    </w:p>
    <w:p w14:paraId="7514E426" w14:textId="77777777" w:rsidR="009A22BA" w:rsidRPr="009A22BA" w:rsidRDefault="009A22BA" w:rsidP="009A22BA">
      <w:pPr>
        <w:jc w:val="both"/>
        <w:rPr>
          <w:b/>
          <w:bCs/>
        </w:rPr>
      </w:pPr>
      <w:r w:rsidRPr="009A22BA">
        <w:rPr>
          <w:b/>
          <w:bCs/>
        </w:rPr>
        <w:t>Public spending on incapacity, 2019</w:t>
      </w:r>
    </w:p>
    <w:tbl>
      <w:tblPr>
        <w:tblStyle w:val="TableGrid"/>
        <w:tblW w:w="0" w:type="auto"/>
        <w:tblLook w:val="04A0" w:firstRow="1" w:lastRow="0" w:firstColumn="1" w:lastColumn="0" w:noHBand="0" w:noVBand="1"/>
        <w:tblCaption w:val="Public spending on incapacity, 2019"/>
      </w:tblPr>
      <w:tblGrid>
        <w:gridCol w:w="5182"/>
        <w:gridCol w:w="4548"/>
      </w:tblGrid>
      <w:tr w:rsidR="00EC46CB" w:rsidRPr="00A52CC0" w14:paraId="4C2E5069" w14:textId="77777777" w:rsidTr="00A52CC0">
        <w:tc>
          <w:tcPr>
            <w:tcW w:w="5182" w:type="dxa"/>
          </w:tcPr>
          <w:p w14:paraId="6CEF5802" w14:textId="185CEBEA" w:rsidR="00EC46CB" w:rsidRPr="005B56FE" w:rsidRDefault="00BF11CB" w:rsidP="005B56FE">
            <w:pPr>
              <w:rPr>
                <w:b/>
                <w:bCs/>
              </w:rPr>
            </w:pPr>
            <w:r w:rsidRPr="005B56FE">
              <w:rPr>
                <w:b/>
                <w:bCs/>
              </w:rPr>
              <w:t>Country</w:t>
            </w:r>
          </w:p>
        </w:tc>
        <w:tc>
          <w:tcPr>
            <w:tcW w:w="4548" w:type="dxa"/>
          </w:tcPr>
          <w:p w14:paraId="351044DB" w14:textId="01E454AB" w:rsidR="00EC46CB" w:rsidRPr="005B56FE" w:rsidRDefault="00BF11CB" w:rsidP="005B56FE">
            <w:pPr>
              <w:rPr>
                <w:b/>
                <w:bCs/>
              </w:rPr>
            </w:pPr>
            <w:r w:rsidRPr="005B56FE">
              <w:rPr>
                <w:b/>
                <w:bCs/>
              </w:rPr>
              <w:t>Public spending on incapacity, 2019</w:t>
            </w:r>
          </w:p>
        </w:tc>
      </w:tr>
      <w:tr w:rsidR="00A52CC0" w:rsidRPr="00A52CC0" w14:paraId="0034F0A9" w14:textId="208FDEDE" w:rsidTr="00A52CC0">
        <w:tc>
          <w:tcPr>
            <w:tcW w:w="5182" w:type="dxa"/>
          </w:tcPr>
          <w:p w14:paraId="0ED443AD" w14:textId="77777777" w:rsidR="00A52CC0" w:rsidRPr="00A52CC0" w:rsidRDefault="00A52CC0" w:rsidP="005B56FE">
            <w:r w:rsidRPr="00A52CC0">
              <w:t>Australia</w:t>
            </w:r>
          </w:p>
        </w:tc>
        <w:tc>
          <w:tcPr>
            <w:tcW w:w="4548" w:type="dxa"/>
          </w:tcPr>
          <w:p w14:paraId="4A65A1F2" w14:textId="0DB2BD71" w:rsidR="00A52CC0" w:rsidRPr="00A52CC0" w:rsidRDefault="00342D12" w:rsidP="005B56FE">
            <w:r>
              <w:t>2.</w:t>
            </w:r>
            <w:r w:rsidR="00CD1A7B">
              <w:t>877</w:t>
            </w:r>
          </w:p>
        </w:tc>
      </w:tr>
      <w:tr w:rsidR="00A52CC0" w:rsidRPr="00A52CC0" w14:paraId="697533C6" w14:textId="2A464C91" w:rsidTr="00A52CC0">
        <w:tc>
          <w:tcPr>
            <w:tcW w:w="5182" w:type="dxa"/>
          </w:tcPr>
          <w:p w14:paraId="0A012856" w14:textId="77777777" w:rsidR="00A52CC0" w:rsidRPr="00A52CC0" w:rsidRDefault="00A52CC0" w:rsidP="005B56FE">
            <w:r w:rsidRPr="00A52CC0">
              <w:t>Austria</w:t>
            </w:r>
          </w:p>
        </w:tc>
        <w:tc>
          <w:tcPr>
            <w:tcW w:w="4548" w:type="dxa"/>
          </w:tcPr>
          <w:p w14:paraId="65F42EA4" w14:textId="7B2EC658" w:rsidR="00A52CC0" w:rsidRPr="00A52CC0" w:rsidRDefault="00805AEF" w:rsidP="005B56FE">
            <w:r>
              <w:t>1.987</w:t>
            </w:r>
          </w:p>
        </w:tc>
      </w:tr>
      <w:tr w:rsidR="00A52CC0" w:rsidRPr="00A52CC0" w14:paraId="2B3149C7" w14:textId="7431791B" w:rsidTr="00A52CC0">
        <w:tc>
          <w:tcPr>
            <w:tcW w:w="5182" w:type="dxa"/>
          </w:tcPr>
          <w:p w14:paraId="5050148D" w14:textId="77777777" w:rsidR="00A52CC0" w:rsidRPr="00A52CC0" w:rsidRDefault="00A52CC0" w:rsidP="005B56FE">
            <w:r w:rsidRPr="00A52CC0">
              <w:t>Belgium</w:t>
            </w:r>
          </w:p>
        </w:tc>
        <w:tc>
          <w:tcPr>
            <w:tcW w:w="4548" w:type="dxa"/>
          </w:tcPr>
          <w:p w14:paraId="28FFFE3E" w14:textId="3662B920" w:rsidR="00A52CC0" w:rsidRPr="00A52CC0" w:rsidRDefault="00BE32DA" w:rsidP="005B56FE">
            <w:r>
              <w:t>3.</w:t>
            </w:r>
            <w:r w:rsidR="005713B3">
              <w:t>198</w:t>
            </w:r>
          </w:p>
        </w:tc>
      </w:tr>
      <w:tr w:rsidR="00A52CC0" w:rsidRPr="00A52CC0" w14:paraId="115306CE" w14:textId="7FF5D515" w:rsidTr="00A52CC0">
        <w:tc>
          <w:tcPr>
            <w:tcW w:w="5182" w:type="dxa"/>
          </w:tcPr>
          <w:p w14:paraId="1CE827FE" w14:textId="77777777" w:rsidR="00A52CC0" w:rsidRPr="00A52CC0" w:rsidRDefault="00A52CC0" w:rsidP="005B56FE">
            <w:r w:rsidRPr="00A52CC0">
              <w:t>Canada</w:t>
            </w:r>
          </w:p>
        </w:tc>
        <w:tc>
          <w:tcPr>
            <w:tcW w:w="4548" w:type="dxa"/>
          </w:tcPr>
          <w:p w14:paraId="14FC96A5" w14:textId="696C4F85" w:rsidR="00A52CC0" w:rsidRPr="00A52CC0" w:rsidRDefault="00BE32DA" w:rsidP="005B56FE">
            <w:r>
              <w:t>0.7</w:t>
            </w:r>
            <w:r w:rsidR="00326D2B">
              <w:t>4</w:t>
            </w:r>
          </w:p>
        </w:tc>
      </w:tr>
      <w:tr w:rsidR="00A52CC0" w:rsidRPr="00A52CC0" w14:paraId="51C08887" w14:textId="3A743453" w:rsidTr="00A52CC0">
        <w:tc>
          <w:tcPr>
            <w:tcW w:w="5182" w:type="dxa"/>
          </w:tcPr>
          <w:p w14:paraId="3938C3E9" w14:textId="77777777" w:rsidR="00A52CC0" w:rsidRPr="00A52CC0" w:rsidRDefault="00A52CC0" w:rsidP="005B56FE">
            <w:r w:rsidRPr="00A52CC0">
              <w:t>Chile</w:t>
            </w:r>
          </w:p>
        </w:tc>
        <w:tc>
          <w:tcPr>
            <w:tcW w:w="4548" w:type="dxa"/>
          </w:tcPr>
          <w:p w14:paraId="170838DC" w14:textId="57C52FA8" w:rsidR="00A52CC0" w:rsidRPr="00A52CC0" w:rsidRDefault="00BE32DA" w:rsidP="005B56FE">
            <w:r>
              <w:t>0.7</w:t>
            </w:r>
            <w:r w:rsidR="00B91A62">
              <w:t>56</w:t>
            </w:r>
          </w:p>
        </w:tc>
      </w:tr>
      <w:tr w:rsidR="00A52CC0" w:rsidRPr="00A52CC0" w14:paraId="2AC686E6" w14:textId="5BD7FEF6" w:rsidTr="00A52CC0">
        <w:tc>
          <w:tcPr>
            <w:tcW w:w="5182" w:type="dxa"/>
          </w:tcPr>
          <w:p w14:paraId="62427670" w14:textId="77777777" w:rsidR="00A52CC0" w:rsidRPr="00A52CC0" w:rsidRDefault="00A52CC0" w:rsidP="005B56FE">
            <w:r w:rsidRPr="00A52CC0">
              <w:t>Colombia</w:t>
            </w:r>
          </w:p>
        </w:tc>
        <w:tc>
          <w:tcPr>
            <w:tcW w:w="4548" w:type="dxa"/>
          </w:tcPr>
          <w:p w14:paraId="085D0993" w14:textId="76955A3B" w:rsidR="00A52CC0" w:rsidRPr="00A52CC0" w:rsidRDefault="000208F1" w:rsidP="005B56FE">
            <w:r>
              <w:t>0.</w:t>
            </w:r>
            <w:r w:rsidR="00E15F7F">
              <w:t>077</w:t>
            </w:r>
          </w:p>
        </w:tc>
      </w:tr>
      <w:tr w:rsidR="00A52CC0" w:rsidRPr="00A52CC0" w14:paraId="1DAD4A94" w14:textId="74AE473D" w:rsidTr="00A52CC0">
        <w:tc>
          <w:tcPr>
            <w:tcW w:w="5182" w:type="dxa"/>
          </w:tcPr>
          <w:p w14:paraId="1D31E1B9" w14:textId="77777777" w:rsidR="00A52CC0" w:rsidRPr="00A52CC0" w:rsidRDefault="00A52CC0" w:rsidP="005B56FE">
            <w:r w:rsidRPr="00A52CC0">
              <w:t>Costa Rica</w:t>
            </w:r>
          </w:p>
        </w:tc>
        <w:tc>
          <w:tcPr>
            <w:tcW w:w="4548" w:type="dxa"/>
          </w:tcPr>
          <w:p w14:paraId="5CEFE997" w14:textId="783E46E6" w:rsidR="00A52CC0" w:rsidRPr="00A52CC0" w:rsidRDefault="004552A6" w:rsidP="005B56FE">
            <w:r>
              <w:t>0.</w:t>
            </w:r>
            <w:r w:rsidR="00E15F7F">
              <w:t>4</w:t>
            </w:r>
            <w:r w:rsidR="00C761C1">
              <w:t>4</w:t>
            </w:r>
          </w:p>
        </w:tc>
      </w:tr>
      <w:tr w:rsidR="00A52CC0" w:rsidRPr="00A52CC0" w14:paraId="19E11048" w14:textId="1E1D44BD" w:rsidTr="00A52CC0">
        <w:tc>
          <w:tcPr>
            <w:tcW w:w="5182" w:type="dxa"/>
          </w:tcPr>
          <w:p w14:paraId="1C12D779" w14:textId="77777777" w:rsidR="00A52CC0" w:rsidRPr="00A52CC0" w:rsidRDefault="00A52CC0" w:rsidP="005B56FE">
            <w:r w:rsidRPr="00A52CC0">
              <w:t>Czech Republic</w:t>
            </w:r>
          </w:p>
        </w:tc>
        <w:tc>
          <w:tcPr>
            <w:tcW w:w="4548" w:type="dxa"/>
          </w:tcPr>
          <w:p w14:paraId="63E2BD5B" w14:textId="44236D13" w:rsidR="00A52CC0" w:rsidRPr="00A52CC0" w:rsidRDefault="003B6BEE" w:rsidP="005B56FE">
            <w:r>
              <w:t>1.86</w:t>
            </w:r>
          </w:p>
        </w:tc>
      </w:tr>
      <w:tr w:rsidR="00A52CC0" w:rsidRPr="00A52CC0" w14:paraId="59AA128F" w14:textId="07B0AF02" w:rsidTr="00A52CC0">
        <w:tc>
          <w:tcPr>
            <w:tcW w:w="5182" w:type="dxa"/>
          </w:tcPr>
          <w:p w14:paraId="6A3A4D08" w14:textId="77777777" w:rsidR="00A52CC0" w:rsidRPr="00A52CC0" w:rsidRDefault="00A52CC0" w:rsidP="005B56FE">
            <w:r w:rsidRPr="00A52CC0">
              <w:t>Denmark</w:t>
            </w:r>
          </w:p>
        </w:tc>
        <w:tc>
          <w:tcPr>
            <w:tcW w:w="4548" w:type="dxa"/>
          </w:tcPr>
          <w:p w14:paraId="20368724" w14:textId="70781BAD" w:rsidR="00A52CC0" w:rsidRPr="00A52CC0" w:rsidRDefault="004552A6" w:rsidP="005B56FE">
            <w:r>
              <w:t>4.</w:t>
            </w:r>
            <w:r w:rsidR="000A5F1F">
              <w:t>489</w:t>
            </w:r>
          </w:p>
        </w:tc>
      </w:tr>
      <w:tr w:rsidR="00A52CC0" w:rsidRPr="00A52CC0" w14:paraId="701ACE24" w14:textId="4B1C4AF8" w:rsidTr="00A52CC0">
        <w:tc>
          <w:tcPr>
            <w:tcW w:w="5182" w:type="dxa"/>
          </w:tcPr>
          <w:p w14:paraId="6C96CBF1" w14:textId="77777777" w:rsidR="00A52CC0" w:rsidRPr="00A52CC0" w:rsidRDefault="00A52CC0" w:rsidP="005B56FE">
            <w:r w:rsidRPr="00A52CC0">
              <w:t>Estonia</w:t>
            </w:r>
          </w:p>
        </w:tc>
        <w:tc>
          <w:tcPr>
            <w:tcW w:w="4548" w:type="dxa"/>
          </w:tcPr>
          <w:p w14:paraId="1774F5BF" w14:textId="3E29D500" w:rsidR="00A52CC0" w:rsidRPr="00A52CC0" w:rsidRDefault="00490EE1" w:rsidP="005B56FE">
            <w:r>
              <w:t>2.</w:t>
            </w:r>
            <w:r w:rsidR="00BA7E9F">
              <w:t>334</w:t>
            </w:r>
          </w:p>
        </w:tc>
      </w:tr>
      <w:tr w:rsidR="00A52CC0" w:rsidRPr="00A52CC0" w14:paraId="2942B4CE" w14:textId="0EFB8C0E" w:rsidTr="00A52CC0">
        <w:tc>
          <w:tcPr>
            <w:tcW w:w="5182" w:type="dxa"/>
          </w:tcPr>
          <w:p w14:paraId="4F632301" w14:textId="77777777" w:rsidR="00A52CC0" w:rsidRPr="00A52CC0" w:rsidRDefault="00A52CC0" w:rsidP="005B56FE">
            <w:r w:rsidRPr="00A52CC0">
              <w:t>Finland</w:t>
            </w:r>
          </w:p>
        </w:tc>
        <w:tc>
          <w:tcPr>
            <w:tcW w:w="4548" w:type="dxa"/>
          </w:tcPr>
          <w:p w14:paraId="6338B2AD" w14:textId="09732EFA" w:rsidR="00A52CC0" w:rsidRPr="00A52CC0" w:rsidRDefault="00490EE1" w:rsidP="005B56FE">
            <w:r>
              <w:t>3.1</w:t>
            </w:r>
            <w:r w:rsidR="00291ADC">
              <w:t>57</w:t>
            </w:r>
          </w:p>
        </w:tc>
      </w:tr>
      <w:tr w:rsidR="00A52CC0" w:rsidRPr="00A52CC0" w14:paraId="67768C33" w14:textId="75E751C8" w:rsidTr="00A52CC0">
        <w:tc>
          <w:tcPr>
            <w:tcW w:w="5182" w:type="dxa"/>
          </w:tcPr>
          <w:p w14:paraId="7F1F1BB3" w14:textId="77777777" w:rsidR="00A52CC0" w:rsidRPr="00A52CC0" w:rsidRDefault="00A52CC0" w:rsidP="005B56FE">
            <w:r w:rsidRPr="00A52CC0">
              <w:t>France</w:t>
            </w:r>
          </w:p>
        </w:tc>
        <w:tc>
          <w:tcPr>
            <w:tcW w:w="4548" w:type="dxa"/>
          </w:tcPr>
          <w:p w14:paraId="46396F13" w14:textId="2655D5A0" w:rsidR="00A52CC0" w:rsidRPr="00A52CC0" w:rsidRDefault="00DA370D" w:rsidP="005B56FE">
            <w:r>
              <w:t>1.</w:t>
            </w:r>
            <w:r w:rsidR="006076E9">
              <w:t>702</w:t>
            </w:r>
          </w:p>
        </w:tc>
      </w:tr>
      <w:tr w:rsidR="00A52CC0" w:rsidRPr="00A52CC0" w14:paraId="33E9C037" w14:textId="436B759E" w:rsidTr="00A52CC0">
        <w:tc>
          <w:tcPr>
            <w:tcW w:w="5182" w:type="dxa"/>
          </w:tcPr>
          <w:p w14:paraId="49ED6934" w14:textId="77777777" w:rsidR="00A52CC0" w:rsidRPr="00A52CC0" w:rsidRDefault="00A52CC0" w:rsidP="005B56FE">
            <w:r w:rsidRPr="00A52CC0">
              <w:lastRenderedPageBreak/>
              <w:t>Germany</w:t>
            </w:r>
          </w:p>
        </w:tc>
        <w:tc>
          <w:tcPr>
            <w:tcW w:w="4548" w:type="dxa"/>
          </w:tcPr>
          <w:p w14:paraId="0C8C161A" w14:textId="628F5D82" w:rsidR="00A52CC0" w:rsidRPr="00A52CC0" w:rsidRDefault="00DA370D" w:rsidP="005B56FE">
            <w:r>
              <w:t>2.</w:t>
            </w:r>
            <w:r w:rsidR="007F10A6">
              <w:t>371</w:t>
            </w:r>
          </w:p>
        </w:tc>
      </w:tr>
      <w:tr w:rsidR="00A52CC0" w:rsidRPr="00A52CC0" w14:paraId="26E97796" w14:textId="03C60275" w:rsidTr="00A52CC0">
        <w:tc>
          <w:tcPr>
            <w:tcW w:w="5182" w:type="dxa"/>
          </w:tcPr>
          <w:p w14:paraId="297FCD08" w14:textId="77777777" w:rsidR="00A52CC0" w:rsidRPr="00A52CC0" w:rsidRDefault="00A52CC0" w:rsidP="005B56FE">
            <w:r w:rsidRPr="00A52CC0">
              <w:t>Greece</w:t>
            </w:r>
          </w:p>
        </w:tc>
        <w:tc>
          <w:tcPr>
            <w:tcW w:w="4548" w:type="dxa"/>
          </w:tcPr>
          <w:p w14:paraId="5E58F681" w14:textId="7223CAF1" w:rsidR="00A52CC0" w:rsidRPr="00A52CC0" w:rsidRDefault="00DA370D" w:rsidP="005B56FE">
            <w:r>
              <w:t>1.</w:t>
            </w:r>
            <w:r w:rsidR="00D25665">
              <w:t>275</w:t>
            </w:r>
          </w:p>
        </w:tc>
      </w:tr>
      <w:tr w:rsidR="00A52CC0" w:rsidRPr="00A52CC0" w14:paraId="65716580" w14:textId="470D52EC" w:rsidTr="00A52CC0">
        <w:tc>
          <w:tcPr>
            <w:tcW w:w="5182" w:type="dxa"/>
          </w:tcPr>
          <w:p w14:paraId="659D7A80" w14:textId="77777777" w:rsidR="00A52CC0" w:rsidRPr="00A52CC0" w:rsidRDefault="00A52CC0" w:rsidP="005B56FE">
            <w:r w:rsidRPr="00A52CC0">
              <w:t>Hungary</w:t>
            </w:r>
          </w:p>
        </w:tc>
        <w:tc>
          <w:tcPr>
            <w:tcW w:w="4548" w:type="dxa"/>
          </w:tcPr>
          <w:p w14:paraId="65330132" w14:textId="49075FA6" w:rsidR="00A52CC0" w:rsidRPr="00A52CC0" w:rsidRDefault="00DA370D" w:rsidP="005B56FE">
            <w:r>
              <w:t>1.5</w:t>
            </w:r>
            <w:r w:rsidR="00865E7C">
              <w:t>04</w:t>
            </w:r>
          </w:p>
        </w:tc>
      </w:tr>
      <w:tr w:rsidR="00A52CC0" w:rsidRPr="00A52CC0" w14:paraId="746B57E3" w14:textId="49128A75" w:rsidTr="00A52CC0">
        <w:tc>
          <w:tcPr>
            <w:tcW w:w="5182" w:type="dxa"/>
          </w:tcPr>
          <w:p w14:paraId="4A4FDA02" w14:textId="77777777" w:rsidR="00A52CC0" w:rsidRPr="00A52CC0" w:rsidRDefault="00A52CC0" w:rsidP="005B56FE">
            <w:r w:rsidRPr="00A52CC0">
              <w:t>Iceland</w:t>
            </w:r>
          </w:p>
        </w:tc>
        <w:tc>
          <w:tcPr>
            <w:tcW w:w="4548" w:type="dxa"/>
          </w:tcPr>
          <w:p w14:paraId="675687DD" w14:textId="38B7FC71" w:rsidR="00A52CC0" w:rsidRPr="00A52CC0" w:rsidRDefault="00DA370D" w:rsidP="005B56FE">
            <w:r>
              <w:t>3.1</w:t>
            </w:r>
            <w:r w:rsidR="00920847">
              <w:t>2</w:t>
            </w:r>
          </w:p>
        </w:tc>
      </w:tr>
      <w:tr w:rsidR="00A52CC0" w:rsidRPr="00A52CC0" w14:paraId="07356AC9" w14:textId="41CD4AD9" w:rsidTr="00A52CC0">
        <w:tc>
          <w:tcPr>
            <w:tcW w:w="5182" w:type="dxa"/>
          </w:tcPr>
          <w:p w14:paraId="5517A583" w14:textId="77777777" w:rsidR="00A52CC0" w:rsidRPr="00A52CC0" w:rsidRDefault="00A52CC0" w:rsidP="005B56FE">
            <w:r w:rsidRPr="00A52CC0">
              <w:t>Ireland</w:t>
            </w:r>
          </w:p>
        </w:tc>
        <w:tc>
          <w:tcPr>
            <w:tcW w:w="4548" w:type="dxa"/>
          </w:tcPr>
          <w:p w14:paraId="7BBD4CE2" w14:textId="03D7963C" w:rsidR="00A52CC0" w:rsidRPr="00A52CC0" w:rsidRDefault="00DA370D" w:rsidP="005B56FE">
            <w:r>
              <w:t>1.</w:t>
            </w:r>
            <w:r w:rsidR="006E1390">
              <w:t>327</w:t>
            </w:r>
          </w:p>
        </w:tc>
      </w:tr>
      <w:tr w:rsidR="00A52CC0" w:rsidRPr="00A52CC0" w14:paraId="01D8CBA7" w14:textId="12C3CFE2" w:rsidTr="00A52CC0">
        <w:tc>
          <w:tcPr>
            <w:tcW w:w="5182" w:type="dxa"/>
          </w:tcPr>
          <w:p w14:paraId="274E4C7B" w14:textId="77777777" w:rsidR="00A52CC0" w:rsidRPr="00A52CC0" w:rsidRDefault="00A52CC0" w:rsidP="005B56FE">
            <w:r w:rsidRPr="00A52CC0">
              <w:t>Israel</w:t>
            </w:r>
          </w:p>
        </w:tc>
        <w:tc>
          <w:tcPr>
            <w:tcW w:w="4548" w:type="dxa"/>
          </w:tcPr>
          <w:p w14:paraId="7D0ADA27" w14:textId="660E1CA6" w:rsidR="00A52CC0" w:rsidRPr="00A52CC0" w:rsidRDefault="00DA370D" w:rsidP="005B56FE">
            <w:r>
              <w:t>2.</w:t>
            </w:r>
            <w:r w:rsidR="004E6F6D">
              <w:t>885</w:t>
            </w:r>
          </w:p>
        </w:tc>
      </w:tr>
      <w:tr w:rsidR="00A52CC0" w:rsidRPr="00A52CC0" w14:paraId="047F9464" w14:textId="73A82C04" w:rsidTr="00A52CC0">
        <w:tc>
          <w:tcPr>
            <w:tcW w:w="5182" w:type="dxa"/>
          </w:tcPr>
          <w:p w14:paraId="75096549" w14:textId="77777777" w:rsidR="00A52CC0" w:rsidRPr="00A52CC0" w:rsidRDefault="00A52CC0" w:rsidP="005B56FE">
            <w:r w:rsidRPr="00A52CC0">
              <w:t>Italy</w:t>
            </w:r>
          </w:p>
        </w:tc>
        <w:tc>
          <w:tcPr>
            <w:tcW w:w="4548" w:type="dxa"/>
          </w:tcPr>
          <w:p w14:paraId="15AD79A3" w14:textId="462780EF" w:rsidR="00A52CC0" w:rsidRPr="00A52CC0" w:rsidRDefault="00DA370D" w:rsidP="005B56FE">
            <w:r>
              <w:t>1.7</w:t>
            </w:r>
            <w:r w:rsidR="00EC1017">
              <w:t>46</w:t>
            </w:r>
          </w:p>
        </w:tc>
      </w:tr>
      <w:tr w:rsidR="00A52CC0" w:rsidRPr="00A52CC0" w14:paraId="34F3F3E3" w14:textId="35BDA5F0" w:rsidTr="00A52CC0">
        <w:tc>
          <w:tcPr>
            <w:tcW w:w="5182" w:type="dxa"/>
          </w:tcPr>
          <w:p w14:paraId="2D6C75E7" w14:textId="77777777" w:rsidR="00A52CC0" w:rsidRPr="00A52CC0" w:rsidRDefault="00A52CC0" w:rsidP="005B56FE">
            <w:r w:rsidRPr="00A52CC0">
              <w:t>Japan</w:t>
            </w:r>
          </w:p>
        </w:tc>
        <w:tc>
          <w:tcPr>
            <w:tcW w:w="4548" w:type="dxa"/>
          </w:tcPr>
          <w:p w14:paraId="4793C10D" w14:textId="3D2F2324" w:rsidR="00A52CC0" w:rsidRPr="00A52CC0" w:rsidRDefault="00063FE8" w:rsidP="005B56FE">
            <w:r>
              <w:t>1.1</w:t>
            </w:r>
            <w:r w:rsidR="00B46D33">
              <w:t>24</w:t>
            </w:r>
          </w:p>
        </w:tc>
      </w:tr>
      <w:tr w:rsidR="00A52CC0" w:rsidRPr="00A52CC0" w14:paraId="6AE7344C" w14:textId="408A6B1A" w:rsidTr="00A52CC0">
        <w:tc>
          <w:tcPr>
            <w:tcW w:w="5182" w:type="dxa"/>
          </w:tcPr>
          <w:p w14:paraId="0DE0248F" w14:textId="77777777" w:rsidR="00A52CC0" w:rsidRPr="00A52CC0" w:rsidRDefault="00A52CC0" w:rsidP="005B56FE">
            <w:r w:rsidRPr="00A52CC0">
              <w:t>Korea</w:t>
            </w:r>
          </w:p>
        </w:tc>
        <w:tc>
          <w:tcPr>
            <w:tcW w:w="4548" w:type="dxa"/>
          </w:tcPr>
          <w:p w14:paraId="193B97B1" w14:textId="5114120D" w:rsidR="00A52CC0" w:rsidRPr="00A52CC0" w:rsidRDefault="00063FE8" w:rsidP="005B56FE">
            <w:r>
              <w:t>0.7</w:t>
            </w:r>
            <w:r w:rsidR="00136D3E">
              <w:t>08</w:t>
            </w:r>
          </w:p>
        </w:tc>
      </w:tr>
      <w:tr w:rsidR="00A52CC0" w:rsidRPr="00A52CC0" w14:paraId="7F01C42B" w14:textId="27EFC92F" w:rsidTr="00A52CC0">
        <w:tc>
          <w:tcPr>
            <w:tcW w:w="5182" w:type="dxa"/>
          </w:tcPr>
          <w:p w14:paraId="42CE4A36" w14:textId="77777777" w:rsidR="00A52CC0" w:rsidRPr="00A52CC0" w:rsidRDefault="00A52CC0" w:rsidP="005B56FE">
            <w:r w:rsidRPr="00A52CC0">
              <w:t>Latvia</w:t>
            </w:r>
          </w:p>
        </w:tc>
        <w:tc>
          <w:tcPr>
            <w:tcW w:w="4548" w:type="dxa"/>
          </w:tcPr>
          <w:p w14:paraId="3505DED3" w14:textId="65ED1EC8" w:rsidR="00A52CC0" w:rsidRPr="00A52CC0" w:rsidRDefault="00063FE8" w:rsidP="005B56FE">
            <w:r>
              <w:t>2.2</w:t>
            </w:r>
            <w:r w:rsidR="0083559F">
              <w:t>55</w:t>
            </w:r>
          </w:p>
        </w:tc>
      </w:tr>
      <w:tr w:rsidR="00A52CC0" w:rsidRPr="00A52CC0" w14:paraId="148F9332" w14:textId="59C93F29" w:rsidTr="00A52CC0">
        <w:tc>
          <w:tcPr>
            <w:tcW w:w="5182" w:type="dxa"/>
          </w:tcPr>
          <w:p w14:paraId="01CF9B90" w14:textId="77777777" w:rsidR="00A52CC0" w:rsidRPr="00A52CC0" w:rsidRDefault="00A52CC0" w:rsidP="005B56FE">
            <w:r w:rsidRPr="00A52CC0">
              <w:t>Lithuania</w:t>
            </w:r>
          </w:p>
        </w:tc>
        <w:tc>
          <w:tcPr>
            <w:tcW w:w="4548" w:type="dxa"/>
          </w:tcPr>
          <w:p w14:paraId="1888EA21" w14:textId="22315742" w:rsidR="00A52CC0" w:rsidRPr="00A52CC0" w:rsidRDefault="00063FE8" w:rsidP="005B56FE">
            <w:r>
              <w:t>2.1</w:t>
            </w:r>
            <w:r w:rsidR="00AA61ED">
              <w:t>18</w:t>
            </w:r>
          </w:p>
        </w:tc>
      </w:tr>
      <w:tr w:rsidR="00A52CC0" w:rsidRPr="00A52CC0" w14:paraId="42674FBA" w14:textId="108B9AFC" w:rsidTr="00A52CC0">
        <w:tc>
          <w:tcPr>
            <w:tcW w:w="5182" w:type="dxa"/>
          </w:tcPr>
          <w:p w14:paraId="630E9B43" w14:textId="77777777" w:rsidR="00A52CC0" w:rsidRPr="00A52CC0" w:rsidRDefault="00A52CC0" w:rsidP="005B56FE">
            <w:r w:rsidRPr="00A52CC0">
              <w:t>Luxembourg</w:t>
            </w:r>
          </w:p>
        </w:tc>
        <w:tc>
          <w:tcPr>
            <w:tcW w:w="4548" w:type="dxa"/>
          </w:tcPr>
          <w:p w14:paraId="56C57682" w14:textId="604547F2" w:rsidR="00A52CC0" w:rsidRPr="00A52CC0" w:rsidRDefault="00063FE8" w:rsidP="005B56FE">
            <w:r>
              <w:t>2.4</w:t>
            </w:r>
            <w:r w:rsidR="001C3C3E">
              <w:t>42</w:t>
            </w:r>
          </w:p>
        </w:tc>
      </w:tr>
      <w:tr w:rsidR="00A52CC0" w:rsidRPr="00A52CC0" w14:paraId="5DC24A55" w14:textId="6BAF5D4A" w:rsidTr="00A52CC0">
        <w:tc>
          <w:tcPr>
            <w:tcW w:w="5182" w:type="dxa"/>
          </w:tcPr>
          <w:p w14:paraId="106A6C1D" w14:textId="77777777" w:rsidR="00A52CC0" w:rsidRPr="00A52CC0" w:rsidRDefault="00A52CC0" w:rsidP="005B56FE">
            <w:r w:rsidRPr="00A52CC0">
              <w:t>Mexico</w:t>
            </w:r>
          </w:p>
        </w:tc>
        <w:tc>
          <w:tcPr>
            <w:tcW w:w="4548" w:type="dxa"/>
          </w:tcPr>
          <w:p w14:paraId="419AC4E3" w14:textId="6E0767C6" w:rsidR="00A52CC0" w:rsidRPr="00A52CC0" w:rsidRDefault="00063FE8" w:rsidP="005B56FE">
            <w:r>
              <w:t>0.</w:t>
            </w:r>
            <w:r w:rsidR="00C61C70">
              <w:t>049</w:t>
            </w:r>
          </w:p>
        </w:tc>
      </w:tr>
      <w:tr w:rsidR="00A52CC0" w:rsidRPr="00A52CC0" w14:paraId="064D20D8" w14:textId="2A31126D" w:rsidTr="00A52CC0">
        <w:tc>
          <w:tcPr>
            <w:tcW w:w="5182" w:type="dxa"/>
          </w:tcPr>
          <w:p w14:paraId="01AA88C2" w14:textId="77777777" w:rsidR="00A52CC0" w:rsidRPr="00A52CC0" w:rsidRDefault="00A52CC0" w:rsidP="005B56FE">
            <w:r w:rsidRPr="00A52CC0">
              <w:t>Netherlands</w:t>
            </w:r>
          </w:p>
        </w:tc>
        <w:tc>
          <w:tcPr>
            <w:tcW w:w="4548" w:type="dxa"/>
          </w:tcPr>
          <w:p w14:paraId="379CB7CA" w14:textId="092A7CBA" w:rsidR="00A52CC0" w:rsidRPr="00A52CC0" w:rsidRDefault="00831014" w:rsidP="005B56FE">
            <w:r>
              <w:t>2.</w:t>
            </w:r>
            <w:r w:rsidR="0042036B">
              <w:t>844</w:t>
            </w:r>
          </w:p>
        </w:tc>
      </w:tr>
      <w:tr w:rsidR="00A52CC0" w:rsidRPr="00A52CC0" w14:paraId="6E447994" w14:textId="2BDD7654" w:rsidTr="00A52CC0">
        <w:tc>
          <w:tcPr>
            <w:tcW w:w="5182" w:type="dxa"/>
          </w:tcPr>
          <w:p w14:paraId="57F1B1F2" w14:textId="77777777" w:rsidR="00A52CC0" w:rsidRPr="00A52CC0" w:rsidRDefault="00A52CC0" w:rsidP="005B56FE">
            <w:r w:rsidRPr="00A52CC0">
              <w:t>New Zealand</w:t>
            </w:r>
          </w:p>
        </w:tc>
        <w:tc>
          <w:tcPr>
            <w:tcW w:w="4548" w:type="dxa"/>
          </w:tcPr>
          <w:p w14:paraId="6A114104" w14:textId="4BA4C944" w:rsidR="00A52CC0" w:rsidRPr="00A52CC0" w:rsidRDefault="00831014" w:rsidP="005B56FE">
            <w:r>
              <w:t>2.</w:t>
            </w:r>
            <w:r w:rsidR="00EF49F4">
              <w:t>326</w:t>
            </w:r>
          </w:p>
        </w:tc>
      </w:tr>
      <w:tr w:rsidR="00A52CC0" w:rsidRPr="00A52CC0" w14:paraId="1407E093" w14:textId="7BAC1748" w:rsidTr="00A52CC0">
        <w:tc>
          <w:tcPr>
            <w:tcW w:w="5182" w:type="dxa"/>
          </w:tcPr>
          <w:p w14:paraId="53F90A2A" w14:textId="77777777" w:rsidR="00A52CC0" w:rsidRPr="00A52CC0" w:rsidRDefault="00A52CC0" w:rsidP="005B56FE">
            <w:r w:rsidRPr="00A52CC0">
              <w:t>Norway</w:t>
            </w:r>
          </w:p>
        </w:tc>
        <w:tc>
          <w:tcPr>
            <w:tcW w:w="4548" w:type="dxa"/>
          </w:tcPr>
          <w:p w14:paraId="14062476" w14:textId="557093E5" w:rsidR="00A52CC0" w:rsidRPr="00A52CC0" w:rsidRDefault="00831014" w:rsidP="005B56FE">
            <w:r>
              <w:t>4.</w:t>
            </w:r>
            <w:r w:rsidR="00404CA8">
              <w:t>492</w:t>
            </w:r>
          </w:p>
        </w:tc>
      </w:tr>
      <w:tr w:rsidR="00A52CC0" w:rsidRPr="00A52CC0" w14:paraId="4C18F754" w14:textId="69027DDA" w:rsidTr="00A52CC0">
        <w:tc>
          <w:tcPr>
            <w:tcW w:w="5182" w:type="dxa"/>
          </w:tcPr>
          <w:p w14:paraId="0D3F2FC9" w14:textId="77777777" w:rsidR="00A52CC0" w:rsidRPr="00A52CC0" w:rsidRDefault="00A52CC0" w:rsidP="005B56FE">
            <w:r w:rsidRPr="00A52CC0">
              <w:t>OECD – Total</w:t>
            </w:r>
          </w:p>
        </w:tc>
        <w:tc>
          <w:tcPr>
            <w:tcW w:w="4548" w:type="dxa"/>
          </w:tcPr>
          <w:p w14:paraId="1FA30A96" w14:textId="3CABE4E4" w:rsidR="00A52CC0" w:rsidRPr="00A52CC0" w:rsidRDefault="00493597" w:rsidP="005B56FE">
            <w:r>
              <w:t>1.977</w:t>
            </w:r>
          </w:p>
        </w:tc>
      </w:tr>
      <w:tr w:rsidR="00A52CC0" w:rsidRPr="00A52CC0" w14:paraId="3106F291" w14:textId="44514708" w:rsidTr="00A52CC0">
        <w:tc>
          <w:tcPr>
            <w:tcW w:w="5182" w:type="dxa"/>
          </w:tcPr>
          <w:p w14:paraId="74D52C07" w14:textId="77777777" w:rsidR="00A52CC0" w:rsidRPr="00A52CC0" w:rsidRDefault="00A52CC0" w:rsidP="005B56FE">
            <w:r w:rsidRPr="00A52CC0">
              <w:t>Poland</w:t>
            </w:r>
          </w:p>
        </w:tc>
        <w:tc>
          <w:tcPr>
            <w:tcW w:w="4548" w:type="dxa"/>
          </w:tcPr>
          <w:p w14:paraId="7D1ECAA1" w14:textId="688C9553" w:rsidR="00A52CC0" w:rsidRPr="00A52CC0" w:rsidRDefault="00831014" w:rsidP="005B56FE">
            <w:r>
              <w:t>1.9</w:t>
            </w:r>
            <w:r w:rsidR="00E43F3F">
              <w:t>48</w:t>
            </w:r>
          </w:p>
        </w:tc>
      </w:tr>
      <w:tr w:rsidR="00A52CC0" w:rsidRPr="00A52CC0" w14:paraId="45E8DE13" w14:textId="6599B6B7" w:rsidTr="00A52CC0">
        <w:tc>
          <w:tcPr>
            <w:tcW w:w="5182" w:type="dxa"/>
          </w:tcPr>
          <w:p w14:paraId="72947F69" w14:textId="77777777" w:rsidR="00A52CC0" w:rsidRPr="00A52CC0" w:rsidRDefault="00A52CC0" w:rsidP="005B56FE">
            <w:r w:rsidRPr="00A52CC0">
              <w:t>Portugal</w:t>
            </w:r>
          </w:p>
        </w:tc>
        <w:tc>
          <w:tcPr>
            <w:tcW w:w="4548" w:type="dxa"/>
          </w:tcPr>
          <w:p w14:paraId="55037AF2" w14:textId="7015BD9E" w:rsidR="00A52CC0" w:rsidRPr="00A52CC0" w:rsidRDefault="00831014" w:rsidP="005B56FE">
            <w:r>
              <w:t>1.7</w:t>
            </w:r>
            <w:r w:rsidR="00C158B0">
              <w:t>4</w:t>
            </w:r>
          </w:p>
        </w:tc>
      </w:tr>
      <w:tr w:rsidR="00A52CC0" w:rsidRPr="00A52CC0" w14:paraId="3450565B" w14:textId="113ADE71" w:rsidTr="00A52CC0">
        <w:tc>
          <w:tcPr>
            <w:tcW w:w="5182" w:type="dxa"/>
          </w:tcPr>
          <w:p w14:paraId="119C4D5B" w14:textId="77777777" w:rsidR="00A52CC0" w:rsidRPr="00A52CC0" w:rsidRDefault="00A52CC0" w:rsidP="005B56FE">
            <w:r w:rsidRPr="00A52CC0">
              <w:t>Slovak Republic</w:t>
            </w:r>
          </w:p>
        </w:tc>
        <w:tc>
          <w:tcPr>
            <w:tcW w:w="4548" w:type="dxa"/>
          </w:tcPr>
          <w:p w14:paraId="1A745095" w14:textId="25426FCA" w:rsidR="00A52CC0" w:rsidRPr="00A52CC0" w:rsidRDefault="00E02CFD" w:rsidP="005B56FE">
            <w:r>
              <w:t>1.8</w:t>
            </w:r>
            <w:r w:rsidR="006E1D56">
              <w:t>77</w:t>
            </w:r>
          </w:p>
        </w:tc>
      </w:tr>
      <w:tr w:rsidR="00A52CC0" w:rsidRPr="00A52CC0" w14:paraId="6AD9C87D" w14:textId="70ECCC25" w:rsidTr="00A52CC0">
        <w:tc>
          <w:tcPr>
            <w:tcW w:w="5182" w:type="dxa"/>
          </w:tcPr>
          <w:p w14:paraId="090DA0AD" w14:textId="77777777" w:rsidR="00A52CC0" w:rsidRPr="00A52CC0" w:rsidRDefault="00A52CC0" w:rsidP="005B56FE">
            <w:r w:rsidRPr="00A52CC0">
              <w:t>Slovenia</w:t>
            </w:r>
          </w:p>
        </w:tc>
        <w:tc>
          <w:tcPr>
            <w:tcW w:w="4548" w:type="dxa"/>
          </w:tcPr>
          <w:p w14:paraId="476095E3" w14:textId="7AE151CC" w:rsidR="00A52CC0" w:rsidRPr="00A52CC0" w:rsidRDefault="00E02CFD" w:rsidP="005B56FE">
            <w:r>
              <w:t>1.</w:t>
            </w:r>
            <w:r w:rsidR="00914451">
              <w:t>904</w:t>
            </w:r>
          </w:p>
        </w:tc>
      </w:tr>
      <w:tr w:rsidR="00A52CC0" w:rsidRPr="00A52CC0" w14:paraId="0EB1EB34" w14:textId="46199017" w:rsidTr="00A52CC0">
        <w:tc>
          <w:tcPr>
            <w:tcW w:w="5182" w:type="dxa"/>
          </w:tcPr>
          <w:p w14:paraId="3FED53BA" w14:textId="77777777" w:rsidR="00A52CC0" w:rsidRPr="00A52CC0" w:rsidRDefault="00A52CC0" w:rsidP="005B56FE">
            <w:r w:rsidRPr="00A52CC0">
              <w:t>Spain</w:t>
            </w:r>
          </w:p>
        </w:tc>
        <w:tc>
          <w:tcPr>
            <w:tcW w:w="4548" w:type="dxa"/>
          </w:tcPr>
          <w:p w14:paraId="5DB9AB7A" w14:textId="6AA54993" w:rsidR="00A52CC0" w:rsidRPr="00A52CC0" w:rsidRDefault="00E02CFD" w:rsidP="005B56FE">
            <w:r>
              <w:t>2.5</w:t>
            </w:r>
            <w:r w:rsidR="00017F18">
              <w:t>34</w:t>
            </w:r>
          </w:p>
        </w:tc>
      </w:tr>
      <w:tr w:rsidR="00A52CC0" w:rsidRPr="00A52CC0" w14:paraId="351DD492" w14:textId="62DA41F0" w:rsidTr="00A52CC0">
        <w:tc>
          <w:tcPr>
            <w:tcW w:w="5182" w:type="dxa"/>
          </w:tcPr>
          <w:p w14:paraId="5A98DB31" w14:textId="77777777" w:rsidR="00A52CC0" w:rsidRPr="00A52CC0" w:rsidRDefault="00A52CC0" w:rsidP="005B56FE">
            <w:r w:rsidRPr="00A52CC0">
              <w:t>Sweden</w:t>
            </w:r>
          </w:p>
        </w:tc>
        <w:tc>
          <w:tcPr>
            <w:tcW w:w="4548" w:type="dxa"/>
          </w:tcPr>
          <w:p w14:paraId="6A2090CA" w14:textId="6707161B" w:rsidR="00A52CC0" w:rsidRPr="00A52CC0" w:rsidRDefault="00E02CFD" w:rsidP="005B56FE">
            <w:r>
              <w:t>3.</w:t>
            </w:r>
            <w:r w:rsidR="009A01B5">
              <w:t>369</w:t>
            </w:r>
          </w:p>
        </w:tc>
      </w:tr>
      <w:tr w:rsidR="00A52CC0" w:rsidRPr="00A52CC0" w14:paraId="04EFE88F" w14:textId="3CDB37E5" w:rsidTr="00A52CC0">
        <w:tc>
          <w:tcPr>
            <w:tcW w:w="5182" w:type="dxa"/>
          </w:tcPr>
          <w:p w14:paraId="5470C2D9" w14:textId="77777777" w:rsidR="00A52CC0" w:rsidRPr="00A52CC0" w:rsidRDefault="00A52CC0" w:rsidP="005B56FE">
            <w:r w:rsidRPr="00A52CC0">
              <w:lastRenderedPageBreak/>
              <w:t>Switzerland</w:t>
            </w:r>
          </w:p>
        </w:tc>
        <w:tc>
          <w:tcPr>
            <w:tcW w:w="4548" w:type="dxa"/>
          </w:tcPr>
          <w:p w14:paraId="40FC2E7F" w14:textId="3504FDEC" w:rsidR="00A52CC0" w:rsidRPr="00A52CC0" w:rsidRDefault="00E02CFD" w:rsidP="005B56FE">
            <w:r>
              <w:t>2.7</w:t>
            </w:r>
            <w:r w:rsidR="00BB29A7">
              <w:t>39</w:t>
            </w:r>
          </w:p>
        </w:tc>
      </w:tr>
      <w:tr w:rsidR="00A52CC0" w:rsidRPr="00A52CC0" w14:paraId="1FC058BE" w14:textId="4617A0AB" w:rsidTr="00A52CC0">
        <w:tc>
          <w:tcPr>
            <w:tcW w:w="5182" w:type="dxa"/>
          </w:tcPr>
          <w:p w14:paraId="02B974BE" w14:textId="77777777" w:rsidR="00A52CC0" w:rsidRPr="00A52CC0" w:rsidRDefault="00A52CC0" w:rsidP="005B56FE">
            <w:r w:rsidRPr="00A52CC0">
              <w:t>Türkiye</w:t>
            </w:r>
          </w:p>
        </w:tc>
        <w:tc>
          <w:tcPr>
            <w:tcW w:w="4548" w:type="dxa"/>
          </w:tcPr>
          <w:p w14:paraId="137BA3EE" w14:textId="6BB1537C" w:rsidR="00A52CC0" w:rsidRPr="00A52CC0" w:rsidRDefault="00E02CFD" w:rsidP="005B56FE">
            <w:r>
              <w:t>0.</w:t>
            </w:r>
            <w:r w:rsidR="008C5417">
              <w:t>477</w:t>
            </w:r>
          </w:p>
        </w:tc>
      </w:tr>
      <w:tr w:rsidR="00A52CC0" w:rsidRPr="00A52CC0" w14:paraId="3103D85A" w14:textId="6C47185F" w:rsidTr="00A52CC0">
        <w:tc>
          <w:tcPr>
            <w:tcW w:w="5182" w:type="dxa"/>
          </w:tcPr>
          <w:p w14:paraId="311941F3" w14:textId="77777777" w:rsidR="00A52CC0" w:rsidRPr="00A52CC0" w:rsidRDefault="00A52CC0" w:rsidP="005B56FE">
            <w:r w:rsidRPr="00A52CC0">
              <w:t>United Kingdom</w:t>
            </w:r>
          </w:p>
        </w:tc>
        <w:tc>
          <w:tcPr>
            <w:tcW w:w="4548" w:type="dxa"/>
          </w:tcPr>
          <w:p w14:paraId="7E7EDE9B" w14:textId="7910A102" w:rsidR="00A52CC0" w:rsidRPr="00A52CC0" w:rsidRDefault="00E02CFD" w:rsidP="005B56FE">
            <w:r>
              <w:t>1.3</w:t>
            </w:r>
            <w:r w:rsidR="00D77691">
              <w:t>28</w:t>
            </w:r>
          </w:p>
        </w:tc>
      </w:tr>
      <w:tr w:rsidR="00A52CC0" w:rsidRPr="00A52CC0" w14:paraId="54470E38" w14:textId="77BE6F3A" w:rsidTr="00A52CC0">
        <w:tc>
          <w:tcPr>
            <w:tcW w:w="5182" w:type="dxa"/>
          </w:tcPr>
          <w:p w14:paraId="7B8FBCB3" w14:textId="77777777" w:rsidR="00A52CC0" w:rsidRPr="00A52CC0" w:rsidRDefault="00A52CC0" w:rsidP="005B56FE">
            <w:r w:rsidRPr="00A52CC0">
              <w:t>United States</w:t>
            </w:r>
          </w:p>
        </w:tc>
        <w:tc>
          <w:tcPr>
            <w:tcW w:w="4548" w:type="dxa"/>
          </w:tcPr>
          <w:p w14:paraId="5FBDF549" w14:textId="0E83BF91" w:rsidR="00A52CC0" w:rsidRPr="00A52CC0" w:rsidRDefault="00200FC1" w:rsidP="005B56FE">
            <w:r>
              <w:t>0.983</w:t>
            </w:r>
          </w:p>
        </w:tc>
      </w:tr>
    </w:tbl>
    <w:p w14:paraId="1589B49B" w14:textId="77777777" w:rsidR="00FC3D79" w:rsidRPr="008B67EA" w:rsidRDefault="00FC3D79" w:rsidP="00FC3D79">
      <w:pPr>
        <w:rPr>
          <w:b/>
          <w:bCs/>
          <w:lang w:val="en-US"/>
        </w:rPr>
      </w:pPr>
      <w:r w:rsidRPr="008B67EA">
        <w:rPr>
          <w:b/>
          <w:bCs/>
          <w:lang w:val="en-US"/>
        </w:rPr>
        <w:t xml:space="preserve">Average welfare expenditure per person constant prices, </w:t>
      </w:r>
      <w:r w:rsidRPr="008B67EA">
        <w:rPr>
          <w:b/>
          <w:bCs/>
          <w:lang w:val="en-US"/>
        </w:rPr>
        <w:br/>
        <w:t>(2001–02 to 2019–20) ($)</w:t>
      </w:r>
    </w:p>
    <w:tbl>
      <w:tblPr>
        <w:tblStyle w:val="TableGrid"/>
        <w:tblW w:w="0" w:type="auto"/>
        <w:tblLook w:val="04A0" w:firstRow="1" w:lastRow="0" w:firstColumn="1" w:lastColumn="0" w:noHBand="0" w:noVBand="1"/>
        <w:tblCaption w:val="Average welfare expenditure per person constant prices, (2001–02 to 2019–20) ($)"/>
      </w:tblPr>
      <w:tblGrid>
        <w:gridCol w:w="5026"/>
        <w:gridCol w:w="4704"/>
      </w:tblGrid>
      <w:tr w:rsidR="001977F3" w:rsidRPr="0027215C" w14:paraId="7162885F" w14:textId="77777777" w:rsidTr="0027215C">
        <w:tc>
          <w:tcPr>
            <w:tcW w:w="5026" w:type="dxa"/>
          </w:tcPr>
          <w:p w14:paraId="49BD312B" w14:textId="1AEF9BBC" w:rsidR="001977F3" w:rsidRPr="00D029D6" w:rsidRDefault="00F02A2A" w:rsidP="0093283D">
            <w:pPr>
              <w:rPr>
                <w:b/>
                <w:bCs/>
                <w:lang w:val="en-US"/>
              </w:rPr>
            </w:pPr>
            <w:r w:rsidRPr="00D029D6">
              <w:rPr>
                <w:b/>
                <w:bCs/>
                <w:lang w:val="en-US"/>
              </w:rPr>
              <w:t>Year</w:t>
            </w:r>
          </w:p>
        </w:tc>
        <w:tc>
          <w:tcPr>
            <w:tcW w:w="4704" w:type="dxa"/>
          </w:tcPr>
          <w:p w14:paraId="7A1421D3" w14:textId="3C64584A" w:rsidR="001977F3" w:rsidRPr="00D029D6" w:rsidRDefault="00F02A2A" w:rsidP="0093283D">
            <w:pPr>
              <w:rPr>
                <w:b/>
                <w:bCs/>
                <w:lang w:val="en-US"/>
              </w:rPr>
            </w:pPr>
            <w:r w:rsidRPr="00D029D6">
              <w:rPr>
                <w:b/>
                <w:bCs/>
                <w:lang w:val="en-US"/>
              </w:rPr>
              <w:t>Average welfare expenditure per person constant prices, ($)</w:t>
            </w:r>
          </w:p>
        </w:tc>
      </w:tr>
      <w:tr w:rsidR="0027215C" w:rsidRPr="0027215C" w14:paraId="3827614F" w14:textId="7B340232" w:rsidTr="0027215C">
        <w:tc>
          <w:tcPr>
            <w:tcW w:w="5026" w:type="dxa"/>
          </w:tcPr>
          <w:p w14:paraId="63BF2CD2" w14:textId="5A605F95" w:rsidR="0027215C" w:rsidRPr="0027215C" w:rsidRDefault="0027215C" w:rsidP="0093283D">
            <w:pPr>
              <w:rPr>
                <w:rFonts w:ascii="Avenir Book" w:hAnsi="Avenir Book"/>
              </w:rPr>
            </w:pPr>
            <w:r w:rsidRPr="0027215C">
              <w:rPr>
                <w:lang w:val="en-US"/>
              </w:rPr>
              <w:t>20</w:t>
            </w:r>
            <w:r w:rsidR="0031587D">
              <w:rPr>
                <w:lang w:val="en-US"/>
              </w:rPr>
              <w:t>0</w:t>
            </w:r>
            <w:r w:rsidRPr="0027215C">
              <w:rPr>
                <w:lang w:val="en-US"/>
              </w:rPr>
              <w:t>1-02</w:t>
            </w:r>
          </w:p>
        </w:tc>
        <w:tc>
          <w:tcPr>
            <w:tcW w:w="4704" w:type="dxa"/>
          </w:tcPr>
          <w:p w14:paraId="15453526" w14:textId="3E3FB876" w:rsidR="0027215C" w:rsidRPr="0027215C" w:rsidRDefault="00316BED" w:rsidP="0093283D">
            <w:pPr>
              <w:rPr>
                <w:lang w:val="en-US"/>
              </w:rPr>
            </w:pPr>
            <w:r>
              <w:rPr>
                <w:lang w:val="en-US"/>
              </w:rPr>
              <w:t>$5,</w:t>
            </w:r>
            <w:r w:rsidR="0047126B">
              <w:rPr>
                <w:lang w:val="en-US"/>
              </w:rPr>
              <w:t>481</w:t>
            </w:r>
          </w:p>
        </w:tc>
      </w:tr>
      <w:tr w:rsidR="00316BED" w:rsidRPr="0027215C" w14:paraId="276825CC" w14:textId="24394CB8" w:rsidTr="0027215C">
        <w:tc>
          <w:tcPr>
            <w:tcW w:w="5026" w:type="dxa"/>
          </w:tcPr>
          <w:p w14:paraId="59CCF88D" w14:textId="77777777" w:rsidR="00316BED" w:rsidRPr="0027215C" w:rsidRDefault="00316BED" w:rsidP="00316BED">
            <w:pPr>
              <w:rPr>
                <w:rFonts w:ascii="Avenir Book" w:hAnsi="Avenir Book"/>
              </w:rPr>
            </w:pPr>
            <w:r w:rsidRPr="0027215C">
              <w:rPr>
                <w:lang w:val="en-US"/>
              </w:rPr>
              <w:t>2002-03</w:t>
            </w:r>
          </w:p>
        </w:tc>
        <w:tc>
          <w:tcPr>
            <w:tcW w:w="4704" w:type="dxa"/>
          </w:tcPr>
          <w:p w14:paraId="4540F893" w14:textId="2D945ED6" w:rsidR="00316BED" w:rsidRPr="0027215C" w:rsidRDefault="00316BED" w:rsidP="00316BED">
            <w:pPr>
              <w:rPr>
                <w:lang w:val="en-US"/>
              </w:rPr>
            </w:pPr>
            <w:r>
              <w:rPr>
                <w:lang w:val="en-US"/>
              </w:rPr>
              <w:t>$5,</w:t>
            </w:r>
            <w:r w:rsidR="00DA457F">
              <w:rPr>
                <w:lang w:val="en-US"/>
              </w:rPr>
              <w:t>494</w:t>
            </w:r>
          </w:p>
        </w:tc>
      </w:tr>
      <w:tr w:rsidR="0027215C" w:rsidRPr="0027215C" w14:paraId="5651BD1A" w14:textId="54D1BFDB" w:rsidTr="0027215C">
        <w:tc>
          <w:tcPr>
            <w:tcW w:w="5026" w:type="dxa"/>
          </w:tcPr>
          <w:p w14:paraId="617EBE27" w14:textId="77777777" w:rsidR="0027215C" w:rsidRPr="0027215C" w:rsidRDefault="0027215C" w:rsidP="0093283D">
            <w:pPr>
              <w:rPr>
                <w:rFonts w:ascii="Avenir Book" w:hAnsi="Avenir Book"/>
              </w:rPr>
            </w:pPr>
            <w:r w:rsidRPr="0027215C">
              <w:rPr>
                <w:lang w:val="en-US"/>
              </w:rPr>
              <w:t>2003-04</w:t>
            </w:r>
          </w:p>
        </w:tc>
        <w:tc>
          <w:tcPr>
            <w:tcW w:w="4704" w:type="dxa"/>
          </w:tcPr>
          <w:p w14:paraId="0DBA1C7D" w14:textId="3006F4A9" w:rsidR="0027215C" w:rsidRPr="0027215C" w:rsidRDefault="00316BED" w:rsidP="0093283D">
            <w:pPr>
              <w:rPr>
                <w:lang w:val="en-US"/>
              </w:rPr>
            </w:pPr>
            <w:r>
              <w:rPr>
                <w:lang w:val="en-US"/>
              </w:rPr>
              <w:t>$</w:t>
            </w:r>
            <w:r w:rsidR="00B14F51">
              <w:rPr>
                <w:lang w:val="en-US"/>
              </w:rPr>
              <w:t>5,974</w:t>
            </w:r>
          </w:p>
        </w:tc>
      </w:tr>
      <w:tr w:rsidR="0027215C" w:rsidRPr="0027215C" w14:paraId="0F09A103" w14:textId="082C19B7" w:rsidTr="0027215C">
        <w:tc>
          <w:tcPr>
            <w:tcW w:w="5026" w:type="dxa"/>
          </w:tcPr>
          <w:p w14:paraId="18D06D9B" w14:textId="77777777" w:rsidR="0027215C" w:rsidRPr="0027215C" w:rsidRDefault="0027215C" w:rsidP="0093283D">
            <w:pPr>
              <w:rPr>
                <w:rFonts w:ascii="Avenir Book" w:hAnsi="Avenir Book"/>
              </w:rPr>
            </w:pPr>
            <w:r w:rsidRPr="0027215C">
              <w:rPr>
                <w:lang w:val="en-US"/>
              </w:rPr>
              <w:t>2004-05</w:t>
            </w:r>
          </w:p>
        </w:tc>
        <w:tc>
          <w:tcPr>
            <w:tcW w:w="4704" w:type="dxa"/>
          </w:tcPr>
          <w:p w14:paraId="1EE34358" w14:textId="15E4C4B9" w:rsidR="0027215C" w:rsidRPr="0027215C" w:rsidRDefault="00316BED" w:rsidP="0093283D">
            <w:pPr>
              <w:rPr>
                <w:lang w:val="en-US"/>
              </w:rPr>
            </w:pPr>
            <w:r>
              <w:rPr>
                <w:lang w:val="en-US"/>
              </w:rPr>
              <w:t>$</w:t>
            </w:r>
            <w:r w:rsidR="00EA3D76">
              <w:rPr>
                <w:lang w:val="en-US"/>
              </w:rPr>
              <w:t>5,7</w:t>
            </w:r>
            <w:r w:rsidR="00E34A5A">
              <w:rPr>
                <w:lang w:val="en-US"/>
              </w:rPr>
              <w:t>7</w:t>
            </w:r>
            <w:r w:rsidR="00314667">
              <w:rPr>
                <w:lang w:val="en-US"/>
              </w:rPr>
              <w:t>3</w:t>
            </w:r>
          </w:p>
        </w:tc>
      </w:tr>
      <w:tr w:rsidR="0027215C" w:rsidRPr="0027215C" w14:paraId="6E0D8B6B" w14:textId="0D27D352" w:rsidTr="0027215C">
        <w:tc>
          <w:tcPr>
            <w:tcW w:w="5026" w:type="dxa"/>
          </w:tcPr>
          <w:p w14:paraId="7F72B16C" w14:textId="77777777" w:rsidR="0027215C" w:rsidRPr="0027215C" w:rsidRDefault="0027215C" w:rsidP="0093283D">
            <w:pPr>
              <w:rPr>
                <w:rFonts w:ascii="Avenir Book" w:hAnsi="Avenir Book"/>
              </w:rPr>
            </w:pPr>
            <w:r w:rsidRPr="0027215C">
              <w:rPr>
                <w:lang w:val="en-US"/>
              </w:rPr>
              <w:t>2005-06</w:t>
            </w:r>
          </w:p>
        </w:tc>
        <w:tc>
          <w:tcPr>
            <w:tcW w:w="4704" w:type="dxa"/>
          </w:tcPr>
          <w:p w14:paraId="4BE2A490" w14:textId="045BB212" w:rsidR="0027215C" w:rsidRPr="0027215C" w:rsidRDefault="00EA3D76" w:rsidP="0093283D">
            <w:pPr>
              <w:rPr>
                <w:lang w:val="en-US"/>
              </w:rPr>
            </w:pPr>
            <w:r>
              <w:rPr>
                <w:lang w:val="en-US"/>
              </w:rPr>
              <w:t>$5,</w:t>
            </w:r>
            <w:r w:rsidR="001A79B6">
              <w:rPr>
                <w:lang w:val="en-US"/>
              </w:rPr>
              <w:t>779</w:t>
            </w:r>
          </w:p>
        </w:tc>
      </w:tr>
      <w:tr w:rsidR="0027215C" w:rsidRPr="0027215C" w14:paraId="61DF8AE3" w14:textId="032CD1BE" w:rsidTr="0027215C">
        <w:tc>
          <w:tcPr>
            <w:tcW w:w="5026" w:type="dxa"/>
          </w:tcPr>
          <w:p w14:paraId="18AA8C92" w14:textId="77777777" w:rsidR="0027215C" w:rsidRPr="0027215C" w:rsidRDefault="0027215C" w:rsidP="0093283D">
            <w:pPr>
              <w:rPr>
                <w:rFonts w:ascii="Avenir Book" w:hAnsi="Avenir Book"/>
              </w:rPr>
            </w:pPr>
            <w:r w:rsidRPr="0027215C">
              <w:rPr>
                <w:lang w:val="en-US"/>
              </w:rPr>
              <w:t>2006-07</w:t>
            </w:r>
          </w:p>
        </w:tc>
        <w:tc>
          <w:tcPr>
            <w:tcW w:w="4704" w:type="dxa"/>
          </w:tcPr>
          <w:p w14:paraId="697723B0" w14:textId="4CCB0D3E" w:rsidR="0027215C" w:rsidRPr="0027215C" w:rsidRDefault="007E6998" w:rsidP="0093283D">
            <w:pPr>
              <w:rPr>
                <w:lang w:val="en-US"/>
              </w:rPr>
            </w:pPr>
            <w:r>
              <w:rPr>
                <w:lang w:val="en-US"/>
              </w:rPr>
              <w:t>$</w:t>
            </w:r>
            <w:r w:rsidR="009B1372">
              <w:rPr>
                <w:lang w:val="en-US"/>
              </w:rPr>
              <w:t>5,951</w:t>
            </w:r>
          </w:p>
        </w:tc>
      </w:tr>
      <w:tr w:rsidR="0027215C" w:rsidRPr="0027215C" w14:paraId="4BA2F207" w14:textId="39E9CEF9" w:rsidTr="0027215C">
        <w:tc>
          <w:tcPr>
            <w:tcW w:w="5026" w:type="dxa"/>
          </w:tcPr>
          <w:p w14:paraId="57E01C1A" w14:textId="77777777" w:rsidR="0027215C" w:rsidRPr="0027215C" w:rsidRDefault="0027215C" w:rsidP="0093283D">
            <w:pPr>
              <w:rPr>
                <w:rFonts w:ascii="Avenir Book" w:hAnsi="Avenir Book"/>
              </w:rPr>
            </w:pPr>
            <w:r w:rsidRPr="0027215C">
              <w:rPr>
                <w:lang w:val="en-US"/>
              </w:rPr>
              <w:t>2007-08</w:t>
            </w:r>
          </w:p>
        </w:tc>
        <w:tc>
          <w:tcPr>
            <w:tcW w:w="4704" w:type="dxa"/>
          </w:tcPr>
          <w:p w14:paraId="59B606D0" w14:textId="24C7DFE9" w:rsidR="0027215C" w:rsidRPr="0027215C" w:rsidRDefault="003F520D" w:rsidP="0093283D">
            <w:pPr>
              <w:rPr>
                <w:lang w:val="en-US"/>
              </w:rPr>
            </w:pPr>
            <w:r>
              <w:rPr>
                <w:lang w:val="en-US"/>
              </w:rPr>
              <w:t>$6,0</w:t>
            </w:r>
            <w:r w:rsidR="003305E9">
              <w:rPr>
                <w:lang w:val="en-US"/>
              </w:rPr>
              <w:t>10</w:t>
            </w:r>
          </w:p>
        </w:tc>
      </w:tr>
      <w:tr w:rsidR="0027215C" w:rsidRPr="0027215C" w14:paraId="3DAC685A" w14:textId="3489DEBA" w:rsidTr="0027215C">
        <w:tc>
          <w:tcPr>
            <w:tcW w:w="5026" w:type="dxa"/>
          </w:tcPr>
          <w:p w14:paraId="452BD58D" w14:textId="77777777" w:rsidR="0027215C" w:rsidRPr="0027215C" w:rsidRDefault="0027215C" w:rsidP="0093283D">
            <w:pPr>
              <w:rPr>
                <w:rFonts w:ascii="Avenir Book" w:hAnsi="Avenir Book"/>
              </w:rPr>
            </w:pPr>
            <w:r w:rsidRPr="0027215C">
              <w:rPr>
                <w:lang w:val="en-US"/>
              </w:rPr>
              <w:t>2008-09</w:t>
            </w:r>
          </w:p>
        </w:tc>
        <w:tc>
          <w:tcPr>
            <w:tcW w:w="4704" w:type="dxa"/>
          </w:tcPr>
          <w:p w14:paraId="283251D9" w14:textId="22E5C610" w:rsidR="0027215C" w:rsidRPr="0027215C" w:rsidRDefault="003F520D" w:rsidP="0093283D">
            <w:pPr>
              <w:rPr>
                <w:lang w:val="en-US"/>
              </w:rPr>
            </w:pPr>
            <w:r>
              <w:rPr>
                <w:lang w:val="en-US"/>
              </w:rPr>
              <w:t>$7,</w:t>
            </w:r>
            <w:r w:rsidR="00902F78">
              <w:rPr>
                <w:lang w:val="en-US"/>
              </w:rPr>
              <w:t>481</w:t>
            </w:r>
          </w:p>
        </w:tc>
      </w:tr>
      <w:tr w:rsidR="0027215C" w:rsidRPr="0027215C" w14:paraId="272C7B82" w14:textId="34496BF4" w:rsidTr="0027215C">
        <w:tc>
          <w:tcPr>
            <w:tcW w:w="5026" w:type="dxa"/>
          </w:tcPr>
          <w:p w14:paraId="1A2C0E47" w14:textId="77777777" w:rsidR="0027215C" w:rsidRPr="0027215C" w:rsidRDefault="0027215C" w:rsidP="0093283D">
            <w:pPr>
              <w:rPr>
                <w:rFonts w:ascii="Avenir Book" w:hAnsi="Avenir Book"/>
              </w:rPr>
            </w:pPr>
            <w:r w:rsidRPr="0027215C">
              <w:rPr>
                <w:lang w:val="en-US"/>
              </w:rPr>
              <w:t>2009-10</w:t>
            </w:r>
          </w:p>
        </w:tc>
        <w:tc>
          <w:tcPr>
            <w:tcW w:w="4704" w:type="dxa"/>
          </w:tcPr>
          <w:p w14:paraId="7FBF2CA1" w14:textId="63EC142D" w:rsidR="0027215C" w:rsidRPr="0027215C" w:rsidRDefault="003F520D" w:rsidP="0093283D">
            <w:pPr>
              <w:rPr>
                <w:lang w:val="en-US"/>
              </w:rPr>
            </w:pPr>
            <w:r>
              <w:rPr>
                <w:lang w:val="en-US"/>
              </w:rPr>
              <w:t>$6,</w:t>
            </w:r>
            <w:r w:rsidR="0005492F">
              <w:rPr>
                <w:lang w:val="en-US"/>
              </w:rPr>
              <w:t>156</w:t>
            </w:r>
          </w:p>
        </w:tc>
      </w:tr>
      <w:tr w:rsidR="0027215C" w:rsidRPr="0027215C" w14:paraId="1C1FE047" w14:textId="24F104CF" w:rsidTr="0027215C">
        <w:tc>
          <w:tcPr>
            <w:tcW w:w="5026" w:type="dxa"/>
          </w:tcPr>
          <w:p w14:paraId="708AE92A" w14:textId="77777777" w:rsidR="0027215C" w:rsidRPr="0027215C" w:rsidRDefault="0027215C" w:rsidP="0093283D">
            <w:pPr>
              <w:rPr>
                <w:rFonts w:ascii="Avenir Book" w:hAnsi="Avenir Book"/>
              </w:rPr>
            </w:pPr>
            <w:r w:rsidRPr="0027215C">
              <w:rPr>
                <w:lang w:val="en-US"/>
              </w:rPr>
              <w:t>2010-11</w:t>
            </w:r>
          </w:p>
        </w:tc>
        <w:tc>
          <w:tcPr>
            <w:tcW w:w="4704" w:type="dxa"/>
          </w:tcPr>
          <w:p w14:paraId="4D524DF1" w14:textId="72CEDD4F" w:rsidR="0027215C" w:rsidRPr="0027215C" w:rsidRDefault="003F520D" w:rsidP="0093283D">
            <w:pPr>
              <w:rPr>
                <w:lang w:val="en-US"/>
              </w:rPr>
            </w:pPr>
            <w:r>
              <w:rPr>
                <w:lang w:val="en-US"/>
              </w:rPr>
              <w:t>$</w:t>
            </w:r>
            <w:r w:rsidR="00A86051">
              <w:rPr>
                <w:lang w:val="en-US"/>
              </w:rPr>
              <w:t>6,</w:t>
            </w:r>
            <w:r w:rsidR="008333DB">
              <w:rPr>
                <w:lang w:val="en-US"/>
              </w:rPr>
              <w:t>323</w:t>
            </w:r>
          </w:p>
        </w:tc>
      </w:tr>
      <w:tr w:rsidR="0027215C" w:rsidRPr="0027215C" w14:paraId="2A12FF03" w14:textId="32A15D02" w:rsidTr="0027215C">
        <w:tc>
          <w:tcPr>
            <w:tcW w:w="5026" w:type="dxa"/>
          </w:tcPr>
          <w:p w14:paraId="0DEBCC8D" w14:textId="77777777" w:rsidR="0027215C" w:rsidRPr="0027215C" w:rsidRDefault="0027215C" w:rsidP="0093283D">
            <w:pPr>
              <w:rPr>
                <w:rFonts w:ascii="Avenir Book" w:hAnsi="Avenir Book"/>
              </w:rPr>
            </w:pPr>
            <w:r w:rsidRPr="0027215C">
              <w:rPr>
                <w:lang w:val="en-US"/>
              </w:rPr>
              <w:t>2011-12</w:t>
            </w:r>
          </w:p>
        </w:tc>
        <w:tc>
          <w:tcPr>
            <w:tcW w:w="4704" w:type="dxa"/>
          </w:tcPr>
          <w:p w14:paraId="7379EAC4" w14:textId="050D0D2C" w:rsidR="0027215C" w:rsidRPr="0027215C" w:rsidRDefault="00A86051" w:rsidP="0093283D">
            <w:pPr>
              <w:rPr>
                <w:lang w:val="en-US"/>
              </w:rPr>
            </w:pPr>
            <w:r>
              <w:rPr>
                <w:lang w:val="en-US"/>
              </w:rPr>
              <w:t>$</w:t>
            </w:r>
            <w:r w:rsidR="00647CA4">
              <w:rPr>
                <w:lang w:val="en-US"/>
              </w:rPr>
              <w:t>6,</w:t>
            </w:r>
            <w:r w:rsidR="00F94FD0">
              <w:rPr>
                <w:lang w:val="en-US"/>
              </w:rPr>
              <w:t>645</w:t>
            </w:r>
          </w:p>
        </w:tc>
      </w:tr>
      <w:tr w:rsidR="00A86051" w:rsidRPr="0027215C" w14:paraId="357DB189" w14:textId="482CE432" w:rsidTr="0027215C">
        <w:tc>
          <w:tcPr>
            <w:tcW w:w="5026" w:type="dxa"/>
          </w:tcPr>
          <w:p w14:paraId="35CDDC00" w14:textId="77777777" w:rsidR="00A86051" w:rsidRPr="0027215C" w:rsidRDefault="00A86051" w:rsidP="00A86051">
            <w:pPr>
              <w:rPr>
                <w:rFonts w:ascii="Avenir Book" w:hAnsi="Avenir Book"/>
              </w:rPr>
            </w:pPr>
            <w:r w:rsidRPr="0027215C">
              <w:rPr>
                <w:lang w:val="en-US"/>
              </w:rPr>
              <w:t>2012-13</w:t>
            </w:r>
          </w:p>
        </w:tc>
        <w:tc>
          <w:tcPr>
            <w:tcW w:w="4704" w:type="dxa"/>
          </w:tcPr>
          <w:p w14:paraId="7D3B373D" w14:textId="60BF12FF" w:rsidR="00A86051" w:rsidRPr="0027215C" w:rsidRDefault="00A86051" w:rsidP="00A86051">
            <w:pPr>
              <w:rPr>
                <w:lang w:val="en-US"/>
              </w:rPr>
            </w:pPr>
            <w:r>
              <w:rPr>
                <w:lang w:val="en-US"/>
              </w:rPr>
              <w:t>$</w:t>
            </w:r>
            <w:r w:rsidR="00647CA4">
              <w:rPr>
                <w:lang w:val="en-US"/>
              </w:rPr>
              <w:t>6,</w:t>
            </w:r>
            <w:r w:rsidR="00B1085D">
              <w:rPr>
                <w:lang w:val="en-US"/>
              </w:rPr>
              <w:t>683</w:t>
            </w:r>
          </w:p>
        </w:tc>
      </w:tr>
      <w:tr w:rsidR="00A86051" w:rsidRPr="0027215C" w14:paraId="42838550" w14:textId="423FDE09" w:rsidTr="0027215C">
        <w:tc>
          <w:tcPr>
            <w:tcW w:w="5026" w:type="dxa"/>
          </w:tcPr>
          <w:p w14:paraId="32109DD3" w14:textId="77777777" w:rsidR="00A86051" w:rsidRPr="0027215C" w:rsidRDefault="00A86051" w:rsidP="00A86051">
            <w:pPr>
              <w:rPr>
                <w:rFonts w:ascii="Avenir Book" w:hAnsi="Avenir Book"/>
              </w:rPr>
            </w:pPr>
            <w:r w:rsidRPr="0027215C">
              <w:rPr>
                <w:lang w:val="en-US"/>
              </w:rPr>
              <w:t>2013-14</w:t>
            </w:r>
          </w:p>
        </w:tc>
        <w:tc>
          <w:tcPr>
            <w:tcW w:w="4704" w:type="dxa"/>
          </w:tcPr>
          <w:p w14:paraId="2735D3DE" w14:textId="1D489B74" w:rsidR="00A86051" w:rsidRPr="0027215C" w:rsidRDefault="00A86051" w:rsidP="00A86051">
            <w:pPr>
              <w:rPr>
                <w:lang w:val="en-US"/>
              </w:rPr>
            </w:pPr>
            <w:r>
              <w:rPr>
                <w:lang w:val="en-US"/>
              </w:rPr>
              <w:t>$</w:t>
            </w:r>
            <w:r w:rsidR="00647CA4">
              <w:rPr>
                <w:lang w:val="en-US"/>
              </w:rPr>
              <w:t>6,</w:t>
            </w:r>
            <w:r w:rsidR="002A703D">
              <w:rPr>
                <w:lang w:val="en-US"/>
              </w:rPr>
              <w:t>682</w:t>
            </w:r>
          </w:p>
        </w:tc>
      </w:tr>
      <w:tr w:rsidR="00A86051" w:rsidRPr="0027215C" w14:paraId="30B8573B" w14:textId="070E6AF5" w:rsidTr="0027215C">
        <w:tc>
          <w:tcPr>
            <w:tcW w:w="5026" w:type="dxa"/>
          </w:tcPr>
          <w:p w14:paraId="4A9E29D9" w14:textId="77777777" w:rsidR="00A86051" w:rsidRPr="0027215C" w:rsidRDefault="00A86051" w:rsidP="00A86051">
            <w:pPr>
              <w:rPr>
                <w:rFonts w:ascii="Avenir Book" w:hAnsi="Avenir Book"/>
              </w:rPr>
            </w:pPr>
            <w:r w:rsidRPr="0027215C">
              <w:rPr>
                <w:lang w:val="en-US"/>
              </w:rPr>
              <w:t>2014-15</w:t>
            </w:r>
          </w:p>
        </w:tc>
        <w:tc>
          <w:tcPr>
            <w:tcW w:w="4704" w:type="dxa"/>
          </w:tcPr>
          <w:p w14:paraId="4F29EEBA" w14:textId="05806A51" w:rsidR="00A86051" w:rsidRPr="0027215C" w:rsidRDefault="00A86051" w:rsidP="00A86051">
            <w:pPr>
              <w:rPr>
                <w:lang w:val="en-US"/>
              </w:rPr>
            </w:pPr>
            <w:r>
              <w:rPr>
                <w:lang w:val="en-US"/>
              </w:rPr>
              <w:t>$</w:t>
            </w:r>
            <w:r w:rsidR="004D534E">
              <w:rPr>
                <w:lang w:val="en-US"/>
              </w:rPr>
              <w:t>6</w:t>
            </w:r>
            <w:r w:rsidR="003322B4">
              <w:rPr>
                <w:lang w:val="en-US"/>
              </w:rPr>
              <w:t>,</w:t>
            </w:r>
            <w:r w:rsidR="009924CA">
              <w:rPr>
                <w:lang w:val="en-US"/>
              </w:rPr>
              <w:t>985</w:t>
            </w:r>
          </w:p>
        </w:tc>
      </w:tr>
      <w:tr w:rsidR="00A86051" w:rsidRPr="0027215C" w14:paraId="6795A062" w14:textId="33115816" w:rsidTr="0027215C">
        <w:tc>
          <w:tcPr>
            <w:tcW w:w="5026" w:type="dxa"/>
          </w:tcPr>
          <w:p w14:paraId="2AF72D67" w14:textId="77777777" w:rsidR="00A86051" w:rsidRPr="0027215C" w:rsidRDefault="00A86051" w:rsidP="00A86051">
            <w:pPr>
              <w:rPr>
                <w:rFonts w:ascii="Avenir Book" w:hAnsi="Avenir Book"/>
              </w:rPr>
            </w:pPr>
            <w:r w:rsidRPr="0027215C">
              <w:rPr>
                <w:lang w:val="en-US"/>
              </w:rPr>
              <w:t>2015-16</w:t>
            </w:r>
          </w:p>
        </w:tc>
        <w:tc>
          <w:tcPr>
            <w:tcW w:w="4704" w:type="dxa"/>
          </w:tcPr>
          <w:p w14:paraId="3B6D1930" w14:textId="2A7B493E" w:rsidR="00A86051" w:rsidRPr="0027215C" w:rsidRDefault="00A86051" w:rsidP="00A86051">
            <w:pPr>
              <w:rPr>
                <w:lang w:val="en-US"/>
              </w:rPr>
            </w:pPr>
            <w:r>
              <w:rPr>
                <w:lang w:val="en-US"/>
              </w:rPr>
              <w:t>$</w:t>
            </w:r>
            <w:r w:rsidR="004D534E">
              <w:rPr>
                <w:lang w:val="en-US"/>
              </w:rPr>
              <w:t>6</w:t>
            </w:r>
            <w:r w:rsidR="003322B4">
              <w:rPr>
                <w:lang w:val="en-US"/>
              </w:rPr>
              <w:t>,</w:t>
            </w:r>
            <w:r w:rsidR="004D534E">
              <w:rPr>
                <w:lang w:val="en-US"/>
              </w:rPr>
              <w:t>991</w:t>
            </w:r>
          </w:p>
        </w:tc>
      </w:tr>
      <w:tr w:rsidR="00A86051" w:rsidRPr="0027215C" w14:paraId="3779556E" w14:textId="04B0CC31" w:rsidTr="0027215C">
        <w:tc>
          <w:tcPr>
            <w:tcW w:w="5026" w:type="dxa"/>
          </w:tcPr>
          <w:p w14:paraId="7236B2E1" w14:textId="77777777" w:rsidR="00A86051" w:rsidRPr="0027215C" w:rsidRDefault="00A86051" w:rsidP="00A86051">
            <w:pPr>
              <w:rPr>
                <w:rFonts w:ascii="Avenir Book" w:hAnsi="Avenir Book"/>
              </w:rPr>
            </w:pPr>
            <w:r w:rsidRPr="0027215C">
              <w:rPr>
                <w:lang w:val="en-US"/>
              </w:rPr>
              <w:t>2016-17</w:t>
            </w:r>
          </w:p>
        </w:tc>
        <w:tc>
          <w:tcPr>
            <w:tcW w:w="4704" w:type="dxa"/>
          </w:tcPr>
          <w:p w14:paraId="0D9633B8" w14:textId="56B5A29E" w:rsidR="00A86051" w:rsidRPr="0027215C" w:rsidRDefault="00A86051" w:rsidP="00A86051">
            <w:pPr>
              <w:rPr>
                <w:lang w:val="en-US"/>
              </w:rPr>
            </w:pPr>
            <w:r>
              <w:rPr>
                <w:lang w:val="en-US"/>
              </w:rPr>
              <w:t>$</w:t>
            </w:r>
            <w:r w:rsidR="003322B4">
              <w:rPr>
                <w:lang w:val="en-US"/>
              </w:rPr>
              <w:t>6,7</w:t>
            </w:r>
            <w:r w:rsidR="00B46536">
              <w:rPr>
                <w:lang w:val="en-US"/>
              </w:rPr>
              <w:t>96</w:t>
            </w:r>
          </w:p>
        </w:tc>
      </w:tr>
      <w:tr w:rsidR="00A86051" w:rsidRPr="0027215C" w14:paraId="59514C5B" w14:textId="3FCC79A5" w:rsidTr="0027215C">
        <w:tc>
          <w:tcPr>
            <w:tcW w:w="5026" w:type="dxa"/>
          </w:tcPr>
          <w:p w14:paraId="44CF21D2" w14:textId="77777777" w:rsidR="00A86051" w:rsidRPr="0027215C" w:rsidRDefault="00A86051" w:rsidP="00A86051">
            <w:pPr>
              <w:rPr>
                <w:rFonts w:ascii="Avenir Book" w:hAnsi="Avenir Book"/>
              </w:rPr>
            </w:pPr>
            <w:r w:rsidRPr="0027215C">
              <w:rPr>
                <w:lang w:val="en-US"/>
              </w:rPr>
              <w:lastRenderedPageBreak/>
              <w:t>2017-18</w:t>
            </w:r>
          </w:p>
        </w:tc>
        <w:tc>
          <w:tcPr>
            <w:tcW w:w="4704" w:type="dxa"/>
          </w:tcPr>
          <w:p w14:paraId="226397EB" w14:textId="112C7219" w:rsidR="00A86051" w:rsidRPr="0027215C" w:rsidRDefault="00A86051" w:rsidP="00A86051">
            <w:pPr>
              <w:rPr>
                <w:lang w:val="en-US"/>
              </w:rPr>
            </w:pPr>
            <w:r>
              <w:rPr>
                <w:lang w:val="en-US"/>
              </w:rPr>
              <w:t>$</w:t>
            </w:r>
            <w:r w:rsidR="002C57FE">
              <w:rPr>
                <w:lang w:val="en-US"/>
              </w:rPr>
              <w:t>6,928</w:t>
            </w:r>
          </w:p>
        </w:tc>
      </w:tr>
      <w:tr w:rsidR="00A86051" w:rsidRPr="0027215C" w14:paraId="3C88BCD4" w14:textId="7C0A7076" w:rsidTr="0027215C">
        <w:tc>
          <w:tcPr>
            <w:tcW w:w="5026" w:type="dxa"/>
          </w:tcPr>
          <w:p w14:paraId="1EEB1B73" w14:textId="77777777" w:rsidR="00A86051" w:rsidRPr="0027215C" w:rsidRDefault="00A86051" w:rsidP="00A86051">
            <w:pPr>
              <w:rPr>
                <w:rFonts w:ascii="Avenir Book" w:hAnsi="Avenir Book"/>
              </w:rPr>
            </w:pPr>
            <w:r w:rsidRPr="0027215C">
              <w:rPr>
                <w:lang w:val="en-US"/>
              </w:rPr>
              <w:t>2018-19</w:t>
            </w:r>
          </w:p>
        </w:tc>
        <w:tc>
          <w:tcPr>
            <w:tcW w:w="4704" w:type="dxa"/>
          </w:tcPr>
          <w:p w14:paraId="37896284" w14:textId="7121F5BB" w:rsidR="00A86051" w:rsidRPr="0027215C" w:rsidRDefault="00A86051" w:rsidP="00A86051">
            <w:pPr>
              <w:rPr>
                <w:lang w:val="en-US"/>
              </w:rPr>
            </w:pPr>
            <w:r>
              <w:rPr>
                <w:lang w:val="en-US"/>
              </w:rPr>
              <w:t>$</w:t>
            </w:r>
            <w:r w:rsidR="008B053B">
              <w:rPr>
                <w:lang w:val="en-US"/>
              </w:rPr>
              <w:t>6,922</w:t>
            </w:r>
          </w:p>
        </w:tc>
      </w:tr>
      <w:tr w:rsidR="00A86051" w:rsidRPr="0027215C" w14:paraId="59ED0EFC" w14:textId="77F4FA2B" w:rsidTr="0027215C">
        <w:tc>
          <w:tcPr>
            <w:tcW w:w="5026" w:type="dxa"/>
          </w:tcPr>
          <w:p w14:paraId="64C0F7BE" w14:textId="77777777" w:rsidR="00A86051" w:rsidRPr="0027215C" w:rsidRDefault="00A86051" w:rsidP="00A86051">
            <w:pPr>
              <w:rPr>
                <w:rFonts w:ascii="Avenir Book" w:hAnsi="Avenir Book"/>
              </w:rPr>
            </w:pPr>
            <w:r w:rsidRPr="0027215C">
              <w:rPr>
                <w:lang w:val="en-US"/>
              </w:rPr>
              <w:t>2019-20</w:t>
            </w:r>
          </w:p>
        </w:tc>
        <w:tc>
          <w:tcPr>
            <w:tcW w:w="4704" w:type="dxa"/>
          </w:tcPr>
          <w:p w14:paraId="0C2E2DA6" w14:textId="3EDD002B" w:rsidR="00A86051" w:rsidRPr="0027215C" w:rsidRDefault="00A86051" w:rsidP="00A86051">
            <w:pPr>
              <w:rPr>
                <w:lang w:val="en-US"/>
              </w:rPr>
            </w:pPr>
            <w:r>
              <w:rPr>
                <w:lang w:val="en-US"/>
              </w:rPr>
              <w:t>$</w:t>
            </w:r>
            <w:r w:rsidR="008B67EA">
              <w:rPr>
                <w:lang w:val="en-US"/>
              </w:rPr>
              <w:t>7,</w:t>
            </w:r>
            <w:r w:rsidR="00BB1B2C">
              <w:rPr>
                <w:lang w:val="en-US"/>
              </w:rPr>
              <w:t>668</w:t>
            </w:r>
          </w:p>
        </w:tc>
      </w:tr>
    </w:tbl>
    <w:p w14:paraId="5A50C3DC" w14:textId="42FA94FF" w:rsidR="00B037B5" w:rsidRPr="001F3323" w:rsidRDefault="00C600E0" w:rsidP="00D029D6">
      <w:pPr>
        <w:spacing w:before="400"/>
      </w:pPr>
      <w:r>
        <w:t>Per Capita</w:t>
      </w:r>
      <w:r w:rsidR="008B67EA">
        <w:br/>
      </w:r>
      <w:r w:rsidR="00792DF7">
        <w:t>Fighting Inequality in Australia</w:t>
      </w:r>
      <w:r w:rsidR="00D029D6">
        <w:br/>
      </w:r>
      <w:r w:rsidR="001F3323">
        <w:t>p</w:t>
      </w:r>
      <w:r w:rsidR="00492445">
        <w:t>ercapita.org.au</w:t>
      </w:r>
    </w:p>
    <w:sectPr w:rsidR="00B037B5" w:rsidRPr="001F3323" w:rsidSect="00531754">
      <w:footerReference w:type="even" r:id="rId12"/>
      <w:footerReference w:type="default" r:id="rId13"/>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1BFB" w14:textId="77777777" w:rsidR="002E7520" w:rsidRDefault="002E7520" w:rsidP="00D6126D">
      <w:r>
        <w:separator/>
      </w:r>
    </w:p>
  </w:endnote>
  <w:endnote w:type="continuationSeparator" w:id="0">
    <w:p w14:paraId="778A842B" w14:textId="77777777" w:rsidR="002E7520" w:rsidRDefault="002E7520" w:rsidP="00D6126D">
      <w:r>
        <w:continuationSeparator/>
      </w:r>
    </w:p>
  </w:endnote>
  <w:endnote w:type="continuationNotice" w:id="1">
    <w:p w14:paraId="6CDF5C80" w14:textId="77777777" w:rsidR="002E7520" w:rsidRDefault="002E7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venir">
    <w:altName w:val="Calibri"/>
    <w:charset w:val="4D"/>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3524" w14:textId="5AD29AB5" w:rsidR="00D6126D" w:rsidRDefault="00D6126D" w:rsidP="007D70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630F">
      <w:rPr>
        <w:rStyle w:val="PageNumber"/>
        <w:noProof/>
      </w:rPr>
      <w:t>3</w:t>
    </w:r>
    <w:r>
      <w:rPr>
        <w:rStyle w:val="PageNumber"/>
      </w:rPr>
      <w:fldChar w:fldCharType="end"/>
    </w:r>
  </w:p>
  <w:p w14:paraId="489B7FB1" w14:textId="182D7D95" w:rsidR="00D6126D" w:rsidRDefault="00D6126D" w:rsidP="00D6126D">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4630F">
      <w:rPr>
        <w:rStyle w:val="PageNumber"/>
        <w:noProof/>
      </w:rPr>
      <w:t>3</w:t>
    </w:r>
    <w:r>
      <w:rPr>
        <w:rStyle w:val="PageNumber"/>
      </w:rPr>
      <w:fldChar w:fldCharType="end"/>
    </w:r>
  </w:p>
  <w:p w14:paraId="107E8C6F" w14:textId="77777777" w:rsidR="00D6126D" w:rsidRDefault="00D61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135811"/>
      <w:docPartObj>
        <w:docPartGallery w:val="Page Numbers (Bottom of Page)"/>
        <w:docPartUnique/>
      </w:docPartObj>
    </w:sdtPr>
    <w:sdtEndPr>
      <w:rPr>
        <w:rStyle w:val="PageNumber"/>
        <w:sz w:val="18"/>
        <w:szCs w:val="18"/>
      </w:rPr>
    </w:sdtEndPr>
    <w:sdtContent>
      <w:p w14:paraId="56334AF3" w14:textId="144676C9" w:rsidR="007D70A9" w:rsidRPr="007D70A9" w:rsidRDefault="007D70A9" w:rsidP="00BB409A">
        <w:pPr>
          <w:pStyle w:val="Footer"/>
          <w:framePr w:wrap="none" w:vAnchor="text" w:hAnchor="margin" w:xAlign="right" w:y="1"/>
          <w:rPr>
            <w:rStyle w:val="PageNumber"/>
            <w:sz w:val="18"/>
            <w:szCs w:val="18"/>
          </w:rPr>
        </w:pPr>
        <w:r w:rsidRPr="007D70A9">
          <w:rPr>
            <w:rStyle w:val="PageNumber"/>
            <w:sz w:val="18"/>
            <w:szCs w:val="18"/>
          </w:rPr>
          <w:fldChar w:fldCharType="begin"/>
        </w:r>
        <w:r w:rsidRPr="007D70A9">
          <w:rPr>
            <w:rStyle w:val="PageNumber"/>
            <w:sz w:val="18"/>
            <w:szCs w:val="18"/>
          </w:rPr>
          <w:instrText xml:space="preserve"> PAGE </w:instrText>
        </w:r>
        <w:r w:rsidRPr="007D70A9">
          <w:rPr>
            <w:rStyle w:val="PageNumber"/>
            <w:sz w:val="18"/>
            <w:szCs w:val="18"/>
          </w:rPr>
          <w:fldChar w:fldCharType="separate"/>
        </w:r>
        <w:r w:rsidRPr="007D70A9">
          <w:rPr>
            <w:rStyle w:val="PageNumber"/>
            <w:noProof/>
            <w:sz w:val="18"/>
            <w:szCs w:val="18"/>
          </w:rPr>
          <w:t>1</w:t>
        </w:r>
        <w:r w:rsidRPr="007D70A9">
          <w:rPr>
            <w:rStyle w:val="PageNumber"/>
            <w:sz w:val="18"/>
            <w:szCs w:val="18"/>
          </w:rPr>
          <w:fldChar w:fldCharType="end"/>
        </w:r>
      </w:p>
    </w:sdtContent>
  </w:sdt>
  <w:p w14:paraId="4FC0CDAA" w14:textId="329EE1BA" w:rsidR="005B56FE" w:rsidRDefault="005B5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BC56" w14:textId="77777777" w:rsidR="002E7520" w:rsidRDefault="002E7520" w:rsidP="00D6126D">
      <w:r>
        <w:separator/>
      </w:r>
    </w:p>
  </w:footnote>
  <w:footnote w:type="continuationSeparator" w:id="0">
    <w:p w14:paraId="69587219" w14:textId="77777777" w:rsidR="002E7520" w:rsidRDefault="002E7520" w:rsidP="00D6126D">
      <w:r>
        <w:continuationSeparator/>
      </w:r>
    </w:p>
  </w:footnote>
  <w:footnote w:type="continuationNotice" w:id="1">
    <w:p w14:paraId="7B457CA8" w14:textId="77777777" w:rsidR="002E7520" w:rsidRDefault="002E75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502"/>
    <w:multiLevelType w:val="multilevel"/>
    <w:tmpl w:val="D37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BE21D2"/>
    <w:multiLevelType w:val="hybridMultilevel"/>
    <w:tmpl w:val="E2C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76E31"/>
    <w:multiLevelType w:val="hybridMultilevel"/>
    <w:tmpl w:val="3712F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A0364C"/>
    <w:multiLevelType w:val="hybridMultilevel"/>
    <w:tmpl w:val="0120A22C"/>
    <w:lvl w:ilvl="0" w:tplc="135031C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E2205"/>
    <w:multiLevelType w:val="hybridMultilevel"/>
    <w:tmpl w:val="C182311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2222B1"/>
    <w:multiLevelType w:val="hybridMultilevel"/>
    <w:tmpl w:val="2DAEF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862079"/>
    <w:multiLevelType w:val="hybridMultilevel"/>
    <w:tmpl w:val="0D4E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4342E"/>
    <w:multiLevelType w:val="hybridMultilevel"/>
    <w:tmpl w:val="231EBE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5931064"/>
    <w:multiLevelType w:val="hybridMultilevel"/>
    <w:tmpl w:val="4CA49C2A"/>
    <w:lvl w:ilvl="0" w:tplc="86A29F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AD30B6"/>
    <w:multiLevelType w:val="hybridMultilevel"/>
    <w:tmpl w:val="C2222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E507C"/>
    <w:multiLevelType w:val="hybridMultilevel"/>
    <w:tmpl w:val="BA9EB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5F5FE4"/>
    <w:multiLevelType w:val="multilevel"/>
    <w:tmpl w:val="E142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4A3AE5"/>
    <w:multiLevelType w:val="hybridMultilevel"/>
    <w:tmpl w:val="37729B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F197179"/>
    <w:multiLevelType w:val="hybridMultilevel"/>
    <w:tmpl w:val="EA52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B67EAC"/>
    <w:multiLevelType w:val="hybridMultilevel"/>
    <w:tmpl w:val="A7503D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78922F6"/>
    <w:multiLevelType w:val="hybridMultilevel"/>
    <w:tmpl w:val="BD60BD22"/>
    <w:lvl w:ilvl="0" w:tplc="26BC70A4">
      <w:start w:val="1"/>
      <w:numFmt w:val="decimal"/>
      <w:lvlText w:val="%1."/>
      <w:lvlJc w:val="left"/>
      <w:pPr>
        <w:ind w:left="720" w:hanging="360"/>
      </w:pPr>
      <w:rPr>
        <w:rFonts w:ascii="Arial" w:hAnsi="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6060538">
    <w:abstractNumId w:val="0"/>
  </w:num>
  <w:num w:numId="2" w16cid:durableId="656347437">
    <w:abstractNumId w:val="11"/>
  </w:num>
  <w:num w:numId="3" w16cid:durableId="460265872">
    <w:abstractNumId w:val="10"/>
  </w:num>
  <w:num w:numId="4" w16cid:durableId="1732313185">
    <w:abstractNumId w:val="13"/>
  </w:num>
  <w:num w:numId="5" w16cid:durableId="876549704">
    <w:abstractNumId w:val="1"/>
  </w:num>
  <w:num w:numId="6" w16cid:durableId="206721554">
    <w:abstractNumId w:val="4"/>
  </w:num>
  <w:num w:numId="7" w16cid:durableId="1272199140">
    <w:abstractNumId w:val="6"/>
  </w:num>
  <w:num w:numId="8" w16cid:durableId="1819226395">
    <w:abstractNumId w:val="5"/>
  </w:num>
  <w:num w:numId="9" w16cid:durableId="686100266">
    <w:abstractNumId w:val="3"/>
  </w:num>
  <w:num w:numId="10" w16cid:durableId="1699887075">
    <w:abstractNumId w:val="2"/>
  </w:num>
  <w:num w:numId="11" w16cid:durableId="1181969062">
    <w:abstractNumId w:val="14"/>
  </w:num>
  <w:num w:numId="12" w16cid:durableId="529611210">
    <w:abstractNumId w:val="12"/>
  </w:num>
  <w:num w:numId="13" w16cid:durableId="59059066">
    <w:abstractNumId w:val="7"/>
  </w:num>
  <w:num w:numId="14" w16cid:durableId="857503569">
    <w:abstractNumId w:val="9"/>
  </w:num>
  <w:num w:numId="15" w16cid:durableId="1758016112">
    <w:abstractNumId w:val="8"/>
  </w:num>
  <w:num w:numId="16" w16cid:durableId="11521429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A9"/>
    <w:rsid w:val="00006E33"/>
    <w:rsid w:val="00017AD3"/>
    <w:rsid w:val="00017F18"/>
    <w:rsid w:val="000208F1"/>
    <w:rsid w:val="00021490"/>
    <w:rsid w:val="00030010"/>
    <w:rsid w:val="00036674"/>
    <w:rsid w:val="000465F7"/>
    <w:rsid w:val="0005492F"/>
    <w:rsid w:val="0005513E"/>
    <w:rsid w:val="00057506"/>
    <w:rsid w:val="0006103F"/>
    <w:rsid w:val="00063FE8"/>
    <w:rsid w:val="00066029"/>
    <w:rsid w:val="00071820"/>
    <w:rsid w:val="00072D2A"/>
    <w:rsid w:val="00081F78"/>
    <w:rsid w:val="00092790"/>
    <w:rsid w:val="00092A04"/>
    <w:rsid w:val="000967FE"/>
    <w:rsid w:val="000A2E8F"/>
    <w:rsid w:val="000A5F1F"/>
    <w:rsid w:val="000C6D26"/>
    <w:rsid w:val="000D05B6"/>
    <w:rsid w:val="000D0D33"/>
    <w:rsid w:val="000D3445"/>
    <w:rsid w:val="000D5086"/>
    <w:rsid w:val="000E308D"/>
    <w:rsid w:val="000F1F0E"/>
    <w:rsid w:val="000F3BD0"/>
    <w:rsid w:val="000F51F6"/>
    <w:rsid w:val="00100B6B"/>
    <w:rsid w:val="00102765"/>
    <w:rsid w:val="001037BE"/>
    <w:rsid w:val="00104195"/>
    <w:rsid w:val="00107170"/>
    <w:rsid w:val="001129C8"/>
    <w:rsid w:val="00117F1E"/>
    <w:rsid w:val="001220A2"/>
    <w:rsid w:val="00130B5B"/>
    <w:rsid w:val="00131714"/>
    <w:rsid w:val="00132BAE"/>
    <w:rsid w:val="00136D3E"/>
    <w:rsid w:val="00146ECE"/>
    <w:rsid w:val="00150747"/>
    <w:rsid w:val="00150FF3"/>
    <w:rsid w:val="00154184"/>
    <w:rsid w:val="00155942"/>
    <w:rsid w:val="00166B8D"/>
    <w:rsid w:val="001729DA"/>
    <w:rsid w:val="001736C7"/>
    <w:rsid w:val="00173A15"/>
    <w:rsid w:val="00176162"/>
    <w:rsid w:val="00182A37"/>
    <w:rsid w:val="00185E2C"/>
    <w:rsid w:val="00190216"/>
    <w:rsid w:val="00193E50"/>
    <w:rsid w:val="001977F3"/>
    <w:rsid w:val="001A3669"/>
    <w:rsid w:val="001A42F0"/>
    <w:rsid w:val="001A432D"/>
    <w:rsid w:val="001A79B6"/>
    <w:rsid w:val="001B2455"/>
    <w:rsid w:val="001B27DA"/>
    <w:rsid w:val="001B57FE"/>
    <w:rsid w:val="001C0653"/>
    <w:rsid w:val="001C06D8"/>
    <w:rsid w:val="001C3C3E"/>
    <w:rsid w:val="001C696C"/>
    <w:rsid w:val="001E0E84"/>
    <w:rsid w:val="001E5AFC"/>
    <w:rsid w:val="001F3323"/>
    <w:rsid w:val="001F72D0"/>
    <w:rsid w:val="00200772"/>
    <w:rsid w:val="00200FC1"/>
    <w:rsid w:val="002045D2"/>
    <w:rsid w:val="00205145"/>
    <w:rsid w:val="00210B29"/>
    <w:rsid w:val="00215352"/>
    <w:rsid w:val="00220963"/>
    <w:rsid w:val="002221D3"/>
    <w:rsid w:val="0022391B"/>
    <w:rsid w:val="002424C8"/>
    <w:rsid w:val="00254912"/>
    <w:rsid w:val="002644A6"/>
    <w:rsid w:val="0027215C"/>
    <w:rsid w:val="00276339"/>
    <w:rsid w:val="0028687D"/>
    <w:rsid w:val="002875BF"/>
    <w:rsid w:val="0029098D"/>
    <w:rsid w:val="00291ADC"/>
    <w:rsid w:val="00292783"/>
    <w:rsid w:val="00292ABF"/>
    <w:rsid w:val="002A4968"/>
    <w:rsid w:val="002A570A"/>
    <w:rsid w:val="002A6926"/>
    <w:rsid w:val="002A703D"/>
    <w:rsid w:val="002B1E82"/>
    <w:rsid w:val="002B200A"/>
    <w:rsid w:val="002B350E"/>
    <w:rsid w:val="002B3FB6"/>
    <w:rsid w:val="002B631D"/>
    <w:rsid w:val="002C154E"/>
    <w:rsid w:val="002C25AE"/>
    <w:rsid w:val="002C4B56"/>
    <w:rsid w:val="002C57FE"/>
    <w:rsid w:val="002C6390"/>
    <w:rsid w:val="002D4648"/>
    <w:rsid w:val="002E6494"/>
    <w:rsid w:val="002E7520"/>
    <w:rsid w:val="002F3FAB"/>
    <w:rsid w:val="002F7B2C"/>
    <w:rsid w:val="0030180C"/>
    <w:rsid w:val="00302E93"/>
    <w:rsid w:val="003054F5"/>
    <w:rsid w:val="003074DA"/>
    <w:rsid w:val="00314667"/>
    <w:rsid w:val="0031587D"/>
    <w:rsid w:val="00316BED"/>
    <w:rsid w:val="00321BF0"/>
    <w:rsid w:val="00326D2B"/>
    <w:rsid w:val="003305E9"/>
    <w:rsid w:val="0033068B"/>
    <w:rsid w:val="003322B4"/>
    <w:rsid w:val="00336D45"/>
    <w:rsid w:val="00342D12"/>
    <w:rsid w:val="0034758D"/>
    <w:rsid w:val="00352ECD"/>
    <w:rsid w:val="00355743"/>
    <w:rsid w:val="003817C9"/>
    <w:rsid w:val="00395F67"/>
    <w:rsid w:val="003B0D9F"/>
    <w:rsid w:val="003B3645"/>
    <w:rsid w:val="003B6BEE"/>
    <w:rsid w:val="003C31D1"/>
    <w:rsid w:val="003C3A0D"/>
    <w:rsid w:val="003C5740"/>
    <w:rsid w:val="003E2D1B"/>
    <w:rsid w:val="003F0B23"/>
    <w:rsid w:val="003F15CE"/>
    <w:rsid w:val="003F1B2F"/>
    <w:rsid w:val="003F2745"/>
    <w:rsid w:val="003F42D4"/>
    <w:rsid w:val="003F520D"/>
    <w:rsid w:val="00401EE7"/>
    <w:rsid w:val="004027CF"/>
    <w:rsid w:val="00404CA8"/>
    <w:rsid w:val="004135C9"/>
    <w:rsid w:val="004179B8"/>
    <w:rsid w:val="0042036B"/>
    <w:rsid w:val="00424BDF"/>
    <w:rsid w:val="00425687"/>
    <w:rsid w:val="00425ADF"/>
    <w:rsid w:val="004269D6"/>
    <w:rsid w:val="00434A32"/>
    <w:rsid w:val="0043552D"/>
    <w:rsid w:val="004454BF"/>
    <w:rsid w:val="00447A80"/>
    <w:rsid w:val="004552A6"/>
    <w:rsid w:val="00455C45"/>
    <w:rsid w:val="00465651"/>
    <w:rsid w:val="0046568E"/>
    <w:rsid w:val="0047126B"/>
    <w:rsid w:val="0047131A"/>
    <w:rsid w:val="00481376"/>
    <w:rsid w:val="0048160F"/>
    <w:rsid w:val="00490EE1"/>
    <w:rsid w:val="0049119F"/>
    <w:rsid w:val="00492284"/>
    <w:rsid w:val="00492445"/>
    <w:rsid w:val="00493597"/>
    <w:rsid w:val="004949DF"/>
    <w:rsid w:val="00496FC2"/>
    <w:rsid w:val="004A2ABA"/>
    <w:rsid w:val="004B1CB4"/>
    <w:rsid w:val="004C42AC"/>
    <w:rsid w:val="004C6C5A"/>
    <w:rsid w:val="004D390E"/>
    <w:rsid w:val="004D534E"/>
    <w:rsid w:val="004E0C23"/>
    <w:rsid w:val="004E6F6D"/>
    <w:rsid w:val="004F42FE"/>
    <w:rsid w:val="004F5B39"/>
    <w:rsid w:val="005004B6"/>
    <w:rsid w:val="00510224"/>
    <w:rsid w:val="005126D8"/>
    <w:rsid w:val="005138C7"/>
    <w:rsid w:val="00517364"/>
    <w:rsid w:val="00527692"/>
    <w:rsid w:val="00531754"/>
    <w:rsid w:val="005329EF"/>
    <w:rsid w:val="00533B33"/>
    <w:rsid w:val="005345A6"/>
    <w:rsid w:val="005468A3"/>
    <w:rsid w:val="00546B97"/>
    <w:rsid w:val="0055139F"/>
    <w:rsid w:val="00554242"/>
    <w:rsid w:val="0055497C"/>
    <w:rsid w:val="005549C3"/>
    <w:rsid w:val="00554DA5"/>
    <w:rsid w:val="00556B84"/>
    <w:rsid w:val="00561477"/>
    <w:rsid w:val="00561530"/>
    <w:rsid w:val="00562A16"/>
    <w:rsid w:val="00563871"/>
    <w:rsid w:val="00565E04"/>
    <w:rsid w:val="005713B3"/>
    <w:rsid w:val="00571F20"/>
    <w:rsid w:val="00577A43"/>
    <w:rsid w:val="005934D9"/>
    <w:rsid w:val="00595498"/>
    <w:rsid w:val="005A26D1"/>
    <w:rsid w:val="005B3C79"/>
    <w:rsid w:val="005B56FE"/>
    <w:rsid w:val="005C0121"/>
    <w:rsid w:val="005C0B7D"/>
    <w:rsid w:val="005C35B5"/>
    <w:rsid w:val="005D2BB9"/>
    <w:rsid w:val="005D4E83"/>
    <w:rsid w:val="005E41A5"/>
    <w:rsid w:val="005E4D0D"/>
    <w:rsid w:val="005F456C"/>
    <w:rsid w:val="005F632F"/>
    <w:rsid w:val="006076E9"/>
    <w:rsid w:val="00613350"/>
    <w:rsid w:val="00622971"/>
    <w:rsid w:val="006437C8"/>
    <w:rsid w:val="0064630F"/>
    <w:rsid w:val="00647CA4"/>
    <w:rsid w:val="00651A70"/>
    <w:rsid w:val="006603B6"/>
    <w:rsid w:val="00663229"/>
    <w:rsid w:val="00670A45"/>
    <w:rsid w:val="0067178B"/>
    <w:rsid w:val="00672B0A"/>
    <w:rsid w:val="006734F2"/>
    <w:rsid w:val="00674616"/>
    <w:rsid w:val="00676565"/>
    <w:rsid w:val="0067762B"/>
    <w:rsid w:val="006850FF"/>
    <w:rsid w:val="006903E4"/>
    <w:rsid w:val="00691D02"/>
    <w:rsid w:val="00693900"/>
    <w:rsid w:val="00695FF4"/>
    <w:rsid w:val="006A31B7"/>
    <w:rsid w:val="006A4C76"/>
    <w:rsid w:val="006A73C6"/>
    <w:rsid w:val="006B21FE"/>
    <w:rsid w:val="006B427C"/>
    <w:rsid w:val="006B7C94"/>
    <w:rsid w:val="006C68D4"/>
    <w:rsid w:val="006C69EB"/>
    <w:rsid w:val="006C749C"/>
    <w:rsid w:val="006C781A"/>
    <w:rsid w:val="006D2645"/>
    <w:rsid w:val="006D3D6A"/>
    <w:rsid w:val="006E1390"/>
    <w:rsid w:val="006E1D56"/>
    <w:rsid w:val="006F32A8"/>
    <w:rsid w:val="006F3A8D"/>
    <w:rsid w:val="006F3EEF"/>
    <w:rsid w:val="00707DCE"/>
    <w:rsid w:val="00720543"/>
    <w:rsid w:val="00723DA6"/>
    <w:rsid w:val="00725E36"/>
    <w:rsid w:val="0073279B"/>
    <w:rsid w:val="00737530"/>
    <w:rsid w:val="00745E23"/>
    <w:rsid w:val="00746C80"/>
    <w:rsid w:val="00747A6D"/>
    <w:rsid w:val="00751425"/>
    <w:rsid w:val="00756ED4"/>
    <w:rsid w:val="0077289A"/>
    <w:rsid w:val="007749F2"/>
    <w:rsid w:val="00775570"/>
    <w:rsid w:val="00777016"/>
    <w:rsid w:val="007822EF"/>
    <w:rsid w:val="007844C5"/>
    <w:rsid w:val="0078586E"/>
    <w:rsid w:val="00792DF7"/>
    <w:rsid w:val="007C66E0"/>
    <w:rsid w:val="007D70A9"/>
    <w:rsid w:val="007E02DE"/>
    <w:rsid w:val="007E3FBA"/>
    <w:rsid w:val="007E6998"/>
    <w:rsid w:val="007F10A6"/>
    <w:rsid w:val="00803F1F"/>
    <w:rsid w:val="00805AEF"/>
    <w:rsid w:val="008062CB"/>
    <w:rsid w:val="008148C6"/>
    <w:rsid w:val="008222D0"/>
    <w:rsid w:val="0083058C"/>
    <w:rsid w:val="00831014"/>
    <w:rsid w:val="00832495"/>
    <w:rsid w:val="008333DB"/>
    <w:rsid w:val="0083559F"/>
    <w:rsid w:val="008374A8"/>
    <w:rsid w:val="0084124A"/>
    <w:rsid w:val="00841C27"/>
    <w:rsid w:val="00863B43"/>
    <w:rsid w:val="00865E7C"/>
    <w:rsid w:val="00895683"/>
    <w:rsid w:val="008A2E45"/>
    <w:rsid w:val="008A3111"/>
    <w:rsid w:val="008A3D5B"/>
    <w:rsid w:val="008B053B"/>
    <w:rsid w:val="008B67EA"/>
    <w:rsid w:val="008B6C2E"/>
    <w:rsid w:val="008C1F02"/>
    <w:rsid w:val="008C5417"/>
    <w:rsid w:val="008D5342"/>
    <w:rsid w:val="008D67F5"/>
    <w:rsid w:val="008E03F3"/>
    <w:rsid w:val="008E1984"/>
    <w:rsid w:val="008E7C4E"/>
    <w:rsid w:val="008F3D67"/>
    <w:rsid w:val="0090241F"/>
    <w:rsid w:val="00902F78"/>
    <w:rsid w:val="00910E8D"/>
    <w:rsid w:val="00914451"/>
    <w:rsid w:val="00917ED0"/>
    <w:rsid w:val="00920847"/>
    <w:rsid w:val="0092261B"/>
    <w:rsid w:val="009256F4"/>
    <w:rsid w:val="00957D5E"/>
    <w:rsid w:val="00964C8E"/>
    <w:rsid w:val="00964EAE"/>
    <w:rsid w:val="00967214"/>
    <w:rsid w:val="009749D1"/>
    <w:rsid w:val="0098493F"/>
    <w:rsid w:val="00986503"/>
    <w:rsid w:val="00990D67"/>
    <w:rsid w:val="009924CA"/>
    <w:rsid w:val="009A01B5"/>
    <w:rsid w:val="009A22BA"/>
    <w:rsid w:val="009B1372"/>
    <w:rsid w:val="009B21B1"/>
    <w:rsid w:val="009B43A1"/>
    <w:rsid w:val="009C179A"/>
    <w:rsid w:val="009D6F29"/>
    <w:rsid w:val="009E32C3"/>
    <w:rsid w:val="009E759C"/>
    <w:rsid w:val="009F4AFF"/>
    <w:rsid w:val="009F4EF3"/>
    <w:rsid w:val="00A02678"/>
    <w:rsid w:val="00A20AB8"/>
    <w:rsid w:val="00A25188"/>
    <w:rsid w:val="00A34C9A"/>
    <w:rsid w:val="00A37EDE"/>
    <w:rsid w:val="00A47C5E"/>
    <w:rsid w:val="00A5108C"/>
    <w:rsid w:val="00A52CC0"/>
    <w:rsid w:val="00A55627"/>
    <w:rsid w:val="00A6512C"/>
    <w:rsid w:val="00A66ACD"/>
    <w:rsid w:val="00A71462"/>
    <w:rsid w:val="00A72191"/>
    <w:rsid w:val="00A73AD0"/>
    <w:rsid w:val="00A7695E"/>
    <w:rsid w:val="00A854BF"/>
    <w:rsid w:val="00A86051"/>
    <w:rsid w:val="00AA0C07"/>
    <w:rsid w:val="00AA61ED"/>
    <w:rsid w:val="00AB45C7"/>
    <w:rsid w:val="00AD1C22"/>
    <w:rsid w:val="00AE0FF4"/>
    <w:rsid w:val="00AE57F6"/>
    <w:rsid w:val="00AF78A6"/>
    <w:rsid w:val="00B037B5"/>
    <w:rsid w:val="00B07F3B"/>
    <w:rsid w:val="00B1085D"/>
    <w:rsid w:val="00B14F51"/>
    <w:rsid w:val="00B16D83"/>
    <w:rsid w:val="00B316DE"/>
    <w:rsid w:val="00B3487D"/>
    <w:rsid w:val="00B46536"/>
    <w:rsid w:val="00B46D33"/>
    <w:rsid w:val="00B55AEA"/>
    <w:rsid w:val="00B60B52"/>
    <w:rsid w:val="00B679FA"/>
    <w:rsid w:val="00B80F5E"/>
    <w:rsid w:val="00B87E0C"/>
    <w:rsid w:val="00B91A62"/>
    <w:rsid w:val="00B964F1"/>
    <w:rsid w:val="00BA3E98"/>
    <w:rsid w:val="00BA7E9F"/>
    <w:rsid w:val="00BB0ACB"/>
    <w:rsid w:val="00BB1B2C"/>
    <w:rsid w:val="00BB29A7"/>
    <w:rsid w:val="00BC7344"/>
    <w:rsid w:val="00BE329A"/>
    <w:rsid w:val="00BE32DA"/>
    <w:rsid w:val="00BE4F44"/>
    <w:rsid w:val="00BF11CB"/>
    <w:rsid w:val="00BF2B44"/>
    <w:rsid w:val="00BF3758"/>
    <w:rsid w:val="00BF74F5"/>
    <w:rsid w:val="00C11FF9"/>
    <w:rsid w:val="00C14C5B"/>
    <w:rsid w:val="00C14D9F"/>
    <w:rsid w:val="00C158B0"/>
    <w:rsid w:val="00C17345"/>
    <w:rsid w:val="00C304C4"/>
    <w:rsid w:val="00C31809"/>
    <w:rsid w:val="00C3593C"/>
    <w:rsid w:val="00C37330"/>
    <w:rsid w:val="00C448B1"/>
    <w:rsid w:val="00C55E77"/>
    <w:rsid w:val="00C600E0"/>
    <w:rsid w:val="00C6136E"/>
    <w:rsid w:val="00C61C70"/>
    <w:rsid w:val="00C761C1"/>
    <w:rsid w:val="00C762E5"/>
    <w:rsid w:val="00C81EDC"/>
    <w:rsid w:val="00C82F10"/>
    <w:rsid w:val="00C85C3A"/>
    <w:rsid w:val="00C86B83"/>
    <w:rsid w:val="00C94264"/>
    <w:rsid w:val="00C94C11"/>
    <w:rsid w:val="00CA02E3"/>
    <w:rsid w:val="00CA182A"/>
    <w:rsid w:val="00CA686C"/>
    <w:rsid w:val="00CB156E"/>
    <w:rsid w:val="00CB2953"/>
    <w:rsid w:val="00CB2E06"/>
    <w:rsid w:val="00CB5348"/>
    <w:rsid w:val="00CC2DE4"/>
    <w:rsid w:val="00CD1A7B"/>
    <w:rsid w:val="00CD1B99"/>
    <w:rsid w:val="00CD3C9C"/>
    <w:rsid w:val="00CE06AC"/>
    <w:rsid w:val="00CE3600"/>
    <w:rsid w:val="00CF1CEE"/>
    <w:rsid w:val="00D01B77"/>
    <w:rsid w:val="00D029D6"/>
    <w:rsid w:val="00D04978"/>
    <w:rsid w:val="00D13A1D"/>
    <w:rsid w:val="00D13FDC"/>
    <w:rsid w:val="00D17560"/>
    <w:rsid w:val="00D229AC"/>
    <w:rsid w:val="00D231FE"/>
    <w:rsid w:val="00D25665"/>
    <w:rsid w:val="00D272F7"/>
    <w:rsid w:val="00D274A9"/>
    <w:rsid w:val="00D31B53"/>
    <w:rsid w:val="00D34B5D"/>
    <w:rsid w:val="00D34DDF"/>
    <w:rsid w:val="00D35F64"/>
    <w:rsid w:val="00D4057F"/>
    <w:rsid w:val="00D41F88"/>
    <w:rsid w:val="00D43F31"/>
    <w:rsid w:val="00D510D8"/>
    <w:rsid w:val="00D51EE2"/>
    <w:rsid w:val="00D52FB2"/>
    <w:rsid w:val="00D60BC6"/>
    <w:rsid w:val="00D6126D"/>
    <w:rsid w:val="00D70321"/>
    <w:rsid w:val="00D76631"/>
    <w:rsid w:val="00D77691"/>
    <w:rsid w:val="00DA02D5"/>
    <w:rsid w:val="00DA0C1B"/>
    <w:rsid w:val="00DA1705"/>
    <w:rsid w:val="00DA370D"/>
    <w:rsid w:val="00DA457F"/>
    <w:rsid w:val="00DA52DF"/>
    <w:rsid w:val="00DC041D"/>
    <w:rsid w:val="00DC0B48"/>
    <w:rsid w:val="00DC150C"/>
    <w:rsid w:val="00DC6DE2"/>
    <w:rsid w:val="00DC7181"/>
    <w:rsid w:val="00DD6B26"/>
    <w:rsid w:val="00DE211D"/>
    <w:rsid w:val="00DE344F"/>
    <w:rsid w:val="00DE3797"/>
    <w:rsid w:val="00DE3A9B"/>
    <w:rsid w:val="00DE475D"/>
    <w:rsid w:val="00DF505B"/>
    <w:rsid w:val="00DF52CE"/>
    <w:rsid w:val="00DF749F"/>
    <w:rsid w:val="00E02CFD"/>
    <w:rsid w:val="00E07333"/>
    <w:rsid w:val="00E1545D"/>
    <w:rsid w:val="00E15F7F"/>
    <w:rsid w:val="00E23116"/>
    <w:rsid w:val="00E240E6"/>
    <w:rsid w:val="00E26BAA"/>
    <w:rsid w:val="00E304AE"/>
    <w:rsid w:val="00E316E0"/>
    <w:rsid w:val="00E327AC"/>
    <w:rsid w:val="00E34A5A"/>
    <w:rsid w:val="00E352E1"/>
    <w:rsid w:val="00E43D33"/>
    <w:rsid w:val="00E43F3F"/>
    <w:rsid w:val="00E445AA"/>
    <w:rsid w:val="00E45303"/>
    <w:rsid w:val="00E50C98"/>
    <w:rsid w:val="00E61BE5"/>
    <w:rsid w:val="00E63940"/>
    <w:rsid w:val="00E66611"/>
    <w:rsid w:val="00E6780A"/>
    <w:rsid w:val="00E7390D"/>
    <w:rsid w:val="00E750E7"/>
    <w:rsid w:val="00E755DD"/>
    <w:rsid w:val="00E84174"/>
    <w:rsid w:val="00E87A76"/>
    <w:rsid w:val="00E96514"/>
    <w:rsid w:val="00EA14FB"/>
    <w:rsid w:val="00EA3D76"/>
    <w:rsid w:val="00EA5E03"/>
    <w:rsid w:val="00EB3090"/>
    <w:rsid w:val="00EB7537"/>
    <w:rsid w:val="00EB7B5A"/>
    <w:rsid w:val="00EC1017"/>
    <w:rsid w:val="00EC3577"/>
    <w:rsid w:val="00EC46CB"/>
    <w:rsid w:val="00ED4BC5"/>
    <w:rsid w:val="00ED51BD"/>
    <w:rsid w:val="00EE5478"/>
    <w:rsid w:val="00EE7E7B"/>
    <w:rsid w:val="00EF1BE8"/>
    <w:rsid w:val="00EF324C"/>
    <w:rsid w:val="00EF49F4"/>
    <w:rsid w:val="00F019BC"/>
    <w:rsid w:val="00F02A2A"/>
    <w:rsid w:val="00F058F0"/>
    <w:rsid w:val="00F05976"/>
    <w:rsid w:val="00F16628"/>
    <w:rsid w:val="00F175DB"/>
    <w:rsid w:val="00F320EE"/>
    <w:rsid w:val="00F3390B"/>
    <w:rsid w:val="00F3456F"/>
    <w:rsid w:val="00F37509"/>
    <w:rsid w:val="00F43E3B"/>
    <w:rsid w:val="00F451DB"/>
    <w:rsid w:val="00F47198"/>
    <w:rsid w:val="00F614B1"/>
    <w:rsid w:val="00F80342"/>
    <w:rsid w:val="00F80E72"/>
    <w:rsid w:val="00F9058E"/>
    <w:rsid w:val="00F9271B"/>
    <w:rsid w:val="00F94FD0"/>
    <w:rsid w:val="00FA02D0"/>
    <w:rsid w:val="00FB3798"/>
    <w:rsid w:val="00FB4798"/>
    <w:rsid w:val="00FB5318"/>
    <w:rsid w:val="00FC21B9"/>
    <w:rsid w:val="00FC3D79"/>
    <w:rsid w:val="00FD04D9"/>
    <w:rsid w:val="00FD1262"/>
    <w:rsid w:val="00FD140D"/>
    <w:rsid w:val="00FE5FF1"/>
    <w:rsid w:val="00FF0157"/>
    <w:rsid w:val="00FF0222"/>
    <w:rsid w:val="062583CB"/>
    <w:rsid w:val="07AEFFE3"/>
    <w:rsid w:val="1660B331"/>
    <w:rsid w:val="29080EF1"/>
    <w:rsid w:val="3E3F76FE"/>
    <w:rsid w:val="4A374E9D"/>
    <w:rsid w:val="541A8551"/>
    <w:rsid w:val="5D8E9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C6C6"/>
  <w15:chartTrackingRefBased/>
  <w15:docId w15:val="{4282016F-634C-BD48-8D23-8566D998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5C9"/>
    <w:pPr>
      <w:spacing w:after="160" w:line="360" w:lineRule="auto"/>
    </w:pPr>
    <w:rPr>
      <w:rFonts w:ascii="Arial" w:hAnsi="Arial" w:cstheme="minorBidi"/>
      <w:szCs w:val="22"/>
    </w:rPr>
  </w:style>
  <w:style w:type="paragraph" w:styleId="Heading1">
    <w:name w:val="heading 1"/>
    <w:basedOn w:val="Normal"/>
    <w:next w:val="Normal"/>
    <w:link w:val="Heading1Char"/>
    <w:autoRedefine/>
    <w:uiPriority w:val="9"/>
    <w:qFormat/>
    <w:rsid w:val="00917ED0"/>
    <w:pPr>
      <w:keepNext/>
      <w:keepLines/>
      <w:spacing w:after="12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DE3A9B"/>
    <w:pPr>
      <w:keepNext/>
      <w:keepLines/>
      <w:spacing w:after="120"/>
      <w:jc w:val="both"/>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3F1B2F"/>
    <w:pPr>
      <w:keepNext/>
      <w:keepLines/>
      <w:spacing w:before="40"/>
      <w:jc w:val="both"/>
      <w:outlineLvl w:val="2"/>
    </w:pPr>
    <w:rPr>
      <w:rFonts w:eastAsiaTheme="majorEastAsia" w:cstheme="majorBidi"/>
      <w:b/>
    </w:rPr>
  </w:style>
  <w:style w:type="paragraph" w:styleId="Heading4">
    <w:name w:val="heading 4"/>
    <w:basedOn w:val="Normal"/>
    <w:next w:val="Normal"/>
    <w:link w:val="Heading4Char"/>
    <w:uiPriority w:val="9"/>
    <w:unhideWhenUsed/>
    <w:qFormat/>
    <w:rsid w:val="00531754"/>
    <w:pPr>
      <w:keepNext/>
      <w:keepLines/>
      <w:spacing w:before="40" w:after="0" w:line="240" w:lineRule="auto"/>
      <w:outlineLvl w:val="3"/>
    </w:pPr>
    <w:rPr>
      <w:rFonts w:asciiTheme="majorHAnsi" w:eastAsiaTheme="majorEastAsia" w:hAnsiTheme="majorHAnsi" w:cstheme="majorBidi"/>
      <w:i/>
      <w:iCs/>
      <w:color w:val="163A3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6D"/>
    <w:pPr>
      <w:tabs>
        <w:tab w:val="center" w:pos="4680"/>
        <w:tab w:val="right" w:pos="9360"/>
      </w:tabs>
    </w:pPr>
  </w:style>
  <w:style w:type="character" w:customStyle="1" w:styleId="HeaderChar">
    <w:name w:val="Header Char"/>
    <w:basedOn w:val="DefaultParagraphFont"/>
    <w:link w:val="Header"/>
    <w:uiPriority w:val="99"/>
    <w:rsid w:val="00D6126D"/>
  </w:style>
  <w:style w:type="paragraph" w:styleId="Footer">
    <w:name w:val="footer"/>
    <w:basedOn w:val="Normal"/>
    <w:link w:val="FooterChar"/>
    <w:uiPriority w:val="99"/>
    <w:unhideWhenUsed/>
    <w:rsid w:val="00D6126D"/>
    <w:pPr>
      <w:tabs>
        <w:tab w:val="center" w:pos="4680"/>
        <w:tab w:val="right" w:pos="9360"/>
      </w:tabs>
    </w:pPr>
  </w:style>
  <w:style w:type="character" w:customStyle="1" w:styleId="FooterChar">
    <w:name w:val="Footer Char"/>
    <w:basedOn w:val="DefaultParagraphFont"/>
    <w:link w:val="Footer"/>
    <w:uiPriority w:val="99"/>
    <w:rsid w:val="00D6126D"/>
  </w:style>
  <w:style w:type="paragraph" w:styleId="NoSpacing">
    <w:name w:val="No Spacing"/>
    <w:uiPriority w:val="1"/>
    <w:qFormat/>
    <w:rsid w:val="005138C7"/>
    <w:rPr>
      <w:rFonts w:eastAsiaTheme="minorEastAsia"/>
      <w:sz w:val="22"/>
      <w:szCs w:val="22"/>
      <w:lang w:val="en-US" w:eastAsia="zh-CN"/>
    </w:rPr>
  </w:style>
  <w:style w:type="character" w:styleId="PageNumber">
    <w:name w:val="page number"/>
    <w:basedOn w:val="DefaultParagraphFont"/>
    <w:uiPriority w:val="99"/>
    <w:semiHidden/>
    <w:unhideWhenUsed/>
    <w:rsid w:val="00D6126D"/>
  </w:style>
  <w:style w:type="character" w:customStyle="1" w:styleId="Heading1Char">
    <w:name w:val="Heading 1 Char"/>
    <w:basedOn w:val="DefaultParagraphFont"/>
    <w:link w:val="Heading1"/>
    <w:uiPriority w:val="9"/>
    <w:rsid w:val="00917ED0"/>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DE3A9B"/>
    <w:rPr>
      <w:rFonts w:ascii="Arial" w:eastAsiaTheme="majorEastAsia" w:hAnsi="Arial" w:cstheme="majorBidi"/>
      <w:b/>
      <w:sz w:val="28"/>
      <w:szCs w:val="26"/>
    </w:rPr>
  </w:style>
  <w:style w:type="character" w:styleId="Hyperlink">
    <w:name w:val="Hyperlink"/>
    <w:basedOn w:val="DefaultParagraphFont"/>
    <w:uiPriority w:val="99"/>
    <w:unhideWhenUsed/>
    <w:rsid w:val="006C69EB"/>
    <w:rPr>
      <w:rFonts w:ascii="Arial" w:hAnsi="Arial"/>
      <w:b w:val="0"/>
      <w:i w:val="0"/>
      <w:color w:val="auto"/>
      <w:sz w:val="24"/>
      <w:u w:val="single"/>
    </w:rPr>
  </w:style>
  <w:style w:type="paragraph" w:styleId="Title">
    <w:name w:val="Title"/>
    <w:basedOn w:val="Normal"/>
    <w:link w:val="TitleChar"/>
    <w:autoRedefine/>
    <w:uiPriority w:val="2"/>
    <w:unhideWhenUsed/>
    <w:qFormat/>
    <w:rsid w:val="00863B43"/>
    <w:pPr>
      <w:spacing w:before="240" w:line="288" w:lineRule="auto"/>
      <w:contextualSpacing/>
    </w:pPr>
    <w:rPr>
      <w:rFonts w:eastAsiaTheme="majorEastAsia" w:cstheme="majorBidi"/>
      <w:caps/>
      <w:spacing w:val="6"/>
      <w:sz w:val="48"/>
      <w:szCs w:val="56"/>
      <w:lang w:val="en-US" w:eastAsia="ja-JP"/>
    </w:rPr>
  </w:style>
  <w:style w:type="character" w:customStyle="1" w:styleId="TitleChar">
    <w:name w:val="Title Char"/>
    <w:basedOn w:val="DefaultParagraphFont"/>
    <w:link w:val="Title"/>
    <w:uiPriority w:val="2"/>
    <w:rsid w:val="00863B43"/>
    <w:rPr>
      <w:rFonts w:ascii="Arial" w:eastAsiaTheme="majorEastAsia" w:hAnsi="Arial" w:cstheme="majorBidi"/>
      <w:caps/>
      <w:spacing w:val="6"/>
      <w:sz w:val="48"/>
      <w:szCs w:val="56"/>
      <w:lang w:val="en-US" w:eastAsia="ja-JP"/>
    </w:rPr>
  </w:style>
  <w:style w:type="character" w:styleId="IntenseEmphasis">
    <w:name w:val="Intense Emphasis"/>
    <w:basedOn w:val="DefaultParagraphFont"/>
    <w:uiPriority w:val="21"/>
    <w:qFormat/>
    <w:rsid w:val="00071820"/>
    <w:rPr>
      <w:rFonts w:ascii="Avenir" w:hAnsi="Avenir"/>
      <w:b w:val="0"/>
      <w:i/>
      <w:iCs/>
      <w:color w:val="1E4E42" w:themeColor="accent1"/>
      <w:sz w:val="22"/>
    </w:rPr>
  </w:style>
  <w:style w:type="character" w:customStyle="1" w:styleId="Heading3Char">
    <w:name w:val="Heading 3 Char"/>
    <w:basedOn w:val="DefaultParagraphFont"/>
    <w:link w:val="Heading3"/>
    <w:uiPriority w:val="9"/>
    <w:rsid w:val="003F1B2F"/>
    <w:rPr>
      <w:rFonts w:ascii="Arial" w:eastAsiaTheme="majorEastAsia" w:hAnsi="Arial" w:cstheme="majorBidi"/>
      <w:b/>
      <w:szCs w:val="22"/>
    </w:rPr>
  </w:style>
  <w:style w:type="character" w:customStyle="1" w:styleId="Heading4Char">
    <w:name w:val="Heading 4 Char"/>
    <w:basedOn w:val="DefaultParagraphFont"/>
    <w:link w:val="Heading4"/>
    <w:uiPriority w:val="9"/>
    <w:rsid w:val="00531754"/>
    <w:rPr>
      <w:rFonts w:asciiTheme="majorHAnsi" w:eastAsiaTheme="majorEastAsia" w:hAnsiTheme="majorHAnsi" w:cstheme="majorBidi"/>
      <w:i/>
      <w:iCs/>
      <w:color w:val="163A31" w:themeColor="accent1" w:themeShade="BF"/>
      <w:sz w:val="22"/>
    </w:rPr>
  </w:style>
  <w:style w:type="paragraph" w:customStyle="1" w:styleId="msonormal0">
    <w:name w:val="msonormal"/>
    <w:basedOn w:val="Normal"/>
    <w:rsid w:val="00531754"/>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
    <w:name w:val="paragraph"/>
    <w:basedOn w:val="Normal"/>
    <w:rsid w:val="00531754"/>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textrun">
    <w:name w:val="textrun"/>
    <w:basedOn w:val="DefaultParagraphFont"/>
    <w:rsid w:val="00531754"/>
  </w:style>
  <w:style w:type="character" w:customStyle="1" w:styleId="normaltextrun">
    <w:name w:val="normaltextrun"/>
    <w:basedOn w:val="DefaultParagraphFont"/>
    <w:rsid w:val="00531754"/>
  </w:style>
  <w:style w:type="character" w:customStyle="1" w:styleId="eop">
    <w:name w:val="eop"/>
    <w:basedOn w:val="DefaultParagraphFont"/>
    <w:rsid w:val="00531754"/>
  </w:style>
  <w:style w:type="character" w:customStyle="1" w:styleId="linebreakblob">
    <w:name w:val="linebreakblob"/>
    <w:basedOn w:val="DefaultParagraphFont"/>
    <w:rsid w:val="00531754"/>
  </w:style>
  <w:style w:type="character" w:customStyle="1" w:styleId="scxw138476419">
    <w:name w:val="scxw138476419"/>
    <w:basedOn w:val="DefaultParagraphFont"/>
    <w:rsid w:val="00531754"/>
  </w:style>
  <w:style w:type="character" w:customStyle="1" w:styleId="contentcontrolboundarysink">
    <w:name w:val="contentcontrolboundarysink"/>
    <w:basedOn w:val="DefaultParagraphFont"/>
    <w:rsid w:val="00531754"/>
  </w:style>
  <w:style w:type="character" w:customStyle="1" w:styleId="contentcontrol">
    <w:name w:val="contentcontrol"/>
    <w:basedOn w:val="DefaultParagraphFont"/>
    <w:rsid w:val="00531754"/>
  </w:style>
  <w:style w:type="character" w:customStyle="1" w:styleId="wacimagecontainer">
    <w:name w:val="wacimagecontainer"/>
    <w:basedOn w:val="DefaultParagraphFont"/>
    <w:rsid w:val="00531754"/>
  </w:style>
  <w:style w:type="character" w:customStyle="1" w:styleId="wacimageborder">
    <w:name w:val="wacimageborder"/>
    <w:basedOn w:val="DefaultParagraphFont"/>
    <w:rsid w:val="00531754"/>
  </w:style>
  <w:style w:type="character" w:customStyle="1" w:styleId="tabrun">
    <w:name w:val="tabrun"/>
    <w:basedOn w:val="DefaultParagraphFont"/>
    <w:rsid w:val="00531754"/>
  </w:style>
  <w:style w:type="character" w:customStyle="1" w:styleId="tabchar">
    <w:name w:val="tabchar"/>
    <w:basedOn w:val="DefaultParagraphFont"/>
    <w:rsid w:val="00531754"/>
  </w:style>
  <w:style w:type="character" w:customStyle="1" w:styleId="tableaderchars">
    <w:name w:val="tableaderchars"/>
    <w:basedOn w:val="DefaultParagraphFont"/>
    <w:rsid w:val="00531754"/>
  </w:style>
  <w:style w:type="paragraph" w:customStyle="1" w:styleId="outlineelement">
    <w:name w:val="outlineelement"/>
    <w:basedOn w:val="Normal"/>
    <w:rsid w:val="00531754"/>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Paragraph">
    <w:name w:val="List Paragraph"/>
    <w:basedOn w:val="Normal"/>
    <w:autoRedefine/>
    <w:uiPriority w:val="34"/>
    <w:qFormat/>
    <w:rsid w:val="0083058C"/>
    <w:pPr>
      <w:numPr>
        <w:numId w:val="9"/>
      </w:numPr>
      <w:spacing w:after="0"/>
      <w:contextualSpacing/>
    </w:pPr>
    <w:rPr>
      <w:rFonts w:eastAsia="Times New Roman" w:cs="Times New Roman"/>
      <w:szCs w:val="24"/>
    </w:rPr>
  </w:style>
  <w:style w:type="paragraph" w:styleId="TOCHeading">
    <w:name w:val="TOC Heading"/>
    <w:basedOn w:val="Heading1"/>
    <w:next w:val="Normal"/>
    <w:uiPriority w:val="39"/>
    <w:unhideWhenUsed/>
    <w:qFormat/>
    <w:rsid w:val="00030010"/>
    <w:pPr>
      <w:outlineLvl w:val="9"/>
    </w:pPr>
    <w:rPr>
      <w:lang w:val="en-US"/>
    </w:rPr>
  </w:style>
  <w:style w:type="paragraph" w:styleId="TOC1">
    <w:name w:val="toc 1"/>
    <w:basedOn w:val="Normal"/>
    <w:next w:val="Normal"/>
    <w:autoRedefine/>
    <w:uiPriority w:val="39"/>
    <w:unhideWhenUsed/>
    <w:rsid w:val="00957D5E"/>
    <w:pPr>
      <w:tabs>
        <w:tab w:val="right" w:leader="dot" w:pos="9016"/>
      </w:tabs>
      <w:spacing w:before="120" w:after="120" w:line="240" w:lineRule="auto"/>
    </w:pPr>
    <w:rPr>
      <w:rFonts w:eastAsia="Times New Roman" w:cstheme="minorHAnsi"/>
      <w:b/>
      <w:bCs/>
      <w:sz w:val="20"/>
      <w:szCs w:val="20"/>
    </w:rPr>
  </w:style>
  <w:style w:type="paragraph" w:styleId="TOC2">
    <w:name w:val="toc 2"/>
    <w:basedOn w:val="Normal"/>
    <w:next w:val="Normal"/>
    <w:autoRedefine/>
    <w:uiPriority w:val="39"/>
    <w:unhideWhenUsed/>
    <w:rsid w:val="00957D5E"/>
    <w:pPr>
      <w:tabs>
        <w:tab w:val="right" w:leader="dot" w:pos="9730"/>
      </w:tabs>
      <w:spacing w:after="0" w:line="240" w:lineRule="auto"/>
      <w:ind w:left="220"/>
    </w:pPr>
    <w:rPr>
      <w:rFonts w:eastAsia="Times New Roman" w:cstheme="minorHAnsi"/>
      <w:noProof/>
      <w:sz w:val="20"/>
      <w:szCs w:val="20"/>
    </w:rPr>
  </w:style>
  <w:style w:type="paragraph" w:styleId="TOC3">
    <w:name w:val="toc 3"/>
    <w:basedOn w:val="Normal"/>
    <w:next w:val="Normal"/>
    <w:autoRedefine/>
    <w:uiPriority w:val="39"/>
    <w:unhideWhenUsed/>
    <w:rsid w:val="00957D5E"/>
    <w:pPr>
      <w:spacing w:after="0" w:line="240" w:lineRule="auto"/>
      <w:ind w:left="440"/>
    </w:pPr>
    <w:rPr>
      <w:rFonts w:eastAsia="Times New Roman" w:cstheme="minorHAnsi"/>
      <w:iCs/>
      <w:sz w:val="20"/>
      <w:szCs w:val="20"/>
    </w:rPr>
  </w:style>
  <w:style w:type="paragraph" w:customStyle="1" w:styleId="colourtext">
    <w:name w:val="colour text"/>
    <w:basedOn w:val="Normal"/>
    <w:link w:val="colourtextChar"/>
    <w:qFormat/>
    <w:rsid w:val="00531754"/>
    <w:pPr>
      <w:spacing w:after="0" w:line="276" w:lineRule="auto"/>
    </w:pPr>
    <w:rPr>
      <w:rFonts w:ascii="Calibri" w:eastAsia="Calibri" w:hAnsi="Calibri" w:cs="Calibri"/>
      <w:b/>
      <w:bCs/>
      <w:color w:val="CC9900"/>
      <w:szCs w:val="24"/>
      <w:lang w:val="en-GB" w:eastAsia="en-AU"/>
    </w:rPr>
  </w:style>
  <w:style w:type="character" w:customStyle="1" w:styleId="colourtextChar">
    <w:name w:val="colour text Char"/>
    <w:basedOn w:val="DefaultParagraphFont"/>
    <w:link w:val="colourtext"/>
    <w:rsid w:val="00531754"/>
    <w:rPr>
      <w:rFonts w:ascii="Calibri" w:eastAsia="Calibri" w:hAnsi="Calibri" w:cs="Calibri"/>
      <w:b/>
      <w:bCs/>
      <w:color w:val="CC9900"/>
      <w:lang w:val="en-GB" w:eastAsia="en-AU"/>
    </w:rPr>
  </w:style>
  <w:style w:type="paragraph" w:styleId="TOC4">
    <w:name w:val="toc 4"/>
    <w:basedOn w:val="Normal"/>
    <w:next w:val="Normal"/>
    <w:autoRedefine/>
    <w:uiPriority w:val="39"/>
    <w:semiHidden/>
    <w:unhideWhenUsed/>
    <w:rsid w:val="00531754"/>
    <w:pPr>
      <w:spacing w:after="0" w:line="240" w:lineRule="auto"/>
      <w:ind w:left="660"/>
    </w:pPr>
    <w:rPr>
      <w:rFonts w:eastAsia="Times New Roman" w:cstheme="minorHAnsi"/>
      <w:sz w:val="18"/>
      <w:szCs w:val="18"/>
    </w:rPr>
  </w:style>
  <w:style w:type="paragraph" w:styleId="TOC5">
    <w:name w:val="toc 5"/>
    <w:basedOn w:val="Normal"/>
    <w:next w:val="Normal"/>
    <w:autoRedefine/>
    <w:uiPriority w:val="39"/>
    <w:semiHidden/>
    <w:unhideWhenUsed/>
    <w:rsid w:val="00531754"/>
    <w:pPr>
      <w:spacing w:after="0" w:line="240" w:lineRule="auto"/>
      <w:ind w:left="880"/>
    </w:pPr>
    <w:rPr>
      <w:rFonts w:eastAsia="Times New Roman" w:cstheme="minorHAnsi"/>
      <w:sz w:val="18"/>
      <w:szCs w:val="18"/>
    </w:rPr>
  </w:style>
  <w:style w:type="paragraph" w:styleId="TOC6">
    <w:name w:val="toc 6"/>
    <w:basedOn w:val="Normal"/>
    <w:next w:val="Normal"/>
    <w:autoRedefine/>
    <w:uiPriority w:val="39"/>
    <w:semiHidden/>
    <w:unhideWhenUsed/>
    <w:rsid w:val="00531754"/>
    <w:pPr>
      <w:spacing w:after="0" w:line="240" w:lineRule="auto"/>
      <w:ind w:left="1100"/>
    </w:pPr>
    <w:rPr>
      <w:rFonts w:eastAsia="Times New Roman" w:cstheme="minorHAnsi"/>
      <w:sz w:val="18"/>
      <w:szCs w:val="18"/>
    </w:rPr>
  </w:style>
  <w:style w:type="paragraph" w:styleId="TOC7">
    <w:name w:val="toc 7"/>
    <w:basedOn w:val="Normal"/>
    <w:next w:val="Normal"/>
    <w:autoRedefine/>
    <w:uiPriority w:val="39"/>
    <w:semiHidden/>
    <w:unhideWhenUsed/>
    <w:rsid w:val="00531754"/>
    <w:pPr>
      <w:spacing w:after="0" w:line="240" w:lineRule="auto"/>
      <w:ind w:left="1320"/>
    </w:pPr>
    <w:rPr>
      <w:rFonts w:eastAsia="Times New Roman" w:cstheme="minorHAnsi"/>
      <w:sz w:val="18"/>
      <w:szCs w:val="18"/>
    </w:rPr>
  </w:style>
  <w:style w:type="paragraph" w:styleId="TOC8">
    <w:name w:val="toc 8"/>
    <w:basedOn w:val="Normal"/>
    <w:next w:val="Normal"/>
    <w:autoRedefine/>
    <w:uiPriority w:val="39"/>
    <w:semiHidden/>
    <w:unhideWhenUsed/>
    <w:rsid w:val="00531754"/>
    <w:pPr>
      <w:spacing w:after="0" w:line="240" w:lineRule="auto"/>
      <w:ind w:left="1540"/>
    </w:pPr>
    <w:rPr>
      <w:rFonts w:eastAsia="Times New Roman" w:cstheme="minorHAnsi"/>
      <w:sz w:val="18"/>
      <w:szCs w:val="18"/>
    </w:rPr>
  </w:style>
  <w:style w:type="paragraph" w:styleId="TOC9">
    <w:name w:val="toc 9"/>
    <w:basedOn w:val="Normal"/>
    <w:next w:val="Normal"/>
    <w:autoRedefine/>
    <w:uiPriority w:val="39"/>
    <w:semiHidden/>
    <w:unhideWhenUsed/>
    <w:rsid w:val="00531754"/>
    <w:pPr>
      <w:spacing w:after="0" w:line="240" w:lineRule="auto"/>
      <w:ind w:left="1760"/>
    </w:pPr>
    <w:rPr>
      <w:rFonts w:eastAsia="Times New Roman" w:cstheme="minorHAnsi"/>
      <w:sz w:val="18"/>
      <w:szCs w:val="18"/>
    </w:rPr>
  </w:style>
  <w:style w:type="table" w:styleId="TableGrid">
    <w:name w:val="Table Grid"/>
    <w:basedOn w:val="TableNormal"/>
    <w:uiPriority w:val="39"/>
    <w:rsid w:val="0053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1754"/>
    <w:pPr>
      <w:spacing w:after="0" w:line="240" w:lineRule="auto"/>
    </w:pPr>
    <w:rPr>
      <w:rFonts w:ascii="Avenir Book" w:eastAsia="Times New Roman" w:hAnsi="Avenir Book" w:cs="Times New Roman"/>
      <w:sz w:val="20"/>
      <w:szCs w:val="20"/>
    </w:rPr>
  </w:style>
  <w:style w:type="character" w:customStyle="1" w:styleId="FootnoteTextChar">
    <w:name w:val="Footnote Text Char"/>
    <w:basedOn w:val="DefaultParagraphFont"/>
    <w:link w:val="FootnoteText"/>
    <w:uiPriority w:val="99"/>
    <w:semiHidden/>
    <w:rsid w:val="00531754"/>
    <w:rPr>
      <w:rFonts w:eastAsia="Times New Roman" w:cs="Times New Roman"/>
      <w:sz w:val="20"/>
      <w:szCs w:val="20"/>
    </w:rPr>
  </w:style>
  <w:style w:type="character" w:styleId="FootnoteReference">
    <w:name w:val="footnote reference"/>
    <w:basedOn w:val="DefaultParagraphFont"/>
    <w:uiPriority w:val="99"/>
    <w:semiHidden/>
    <w:unhideWhenUsed/>
    <w:rsid w:val="00531754"/>
    <w:rPr>
      <w:vertAlign w:val="superscript"/>
    </w:rPr>
  </w:style>
  <w:style w:type="paragraph" w:styleId="Revision">
    <w:name w:val="Revision"/>
    <w:hidden/>
    <w:uiPriority w:val="99"/>
    <w:semiHidden/>
    <w:rsid w:val="00531754"/>
    <w:rPr>
      <w:rFonts w:eastAsia="Times New Roman" w:cs="Times New Roman"/>
      <w:sz w:val="22"/>
    </w:rPr>
  </w:style>
  <w:style w:type="character" w:styleId="CommentReference">
    <w:name w:val="annotation reference"/>
    <w:basedOn w:val="DefaultParagraphFont"/>
    <w:uiPriority w:val="99"/>
    <w:semiHidden/>
    <w:unhideWhenUsed/>
    <w:rsid w:val="00531754"/>
    <w:rPr>
      <w:sz w:val="16"/>
      <w:szCs w:val="16"/>
    </w:rPr>
  </w:style>
  <w:style w:type="paragraph" w:styleId="CommentText">
    <w:name w:val="annotation text"/>
    <w:basedOn w:val="Normal"/>
    <w:link w:val="CommentTextChar"/>
    <w:uiPriority w:val="99"/>
    <w:unhideWhenUsed/>
    <w:rsid w:val="00531754"/>
    <w:pPr>
      <w:spacing w:after="0" w:line="240" w:lineRule="auto"/>
    </w:pPr>
    <w:rPr>
      <w:rFonts w:ascii="Avenir Book" w:eastAsia="Times New Roman" w:hAnsi="Avenir Book" w:cs="Times New Roman"/>
      <w:sz w:val="20"/>
      <w:szCs w:val="20"/>
    </w:rPr>
  </w:style>
  <w:style w:type="character" w:customStyle="1" w:styleId="CommentTextChar">
    <w:name w:val="Comment Text Char"/>
    <w:basedOn w:val="DefaultParagraphFont"/>
    <w:link w:val="CommentText"/>
    <w:uiPriority w:val="99"/>
    <w:rsid w:val="0053175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1754"/>
    <w:rPr>
      <w:b/>
      <w:bCs/>
    </w:rPr>
  </w:style>
  <w:style w:type="character" w:customStyle="1" w:styleId="CommentSubjectChar">
    <w:name w:val="Comment Subject Char"/>
    <w:basedOn w:val="CommentTextChar"/>
    <w:link w:val="CommentSubject"/>
    <w:uiPriority w:val="99"/>
    <w:semiHidden/>
    <w:rsid w:val="00531754"/>
    <w:rPr>
      <w:rFonts w:eastAsia="Times New Roman" w:cs="Times New Roman"/>
      <w:b/>
      <w:bCs/>
      <w:sz w:val="20"/>
      <w:szCs w:val="20"/>
    </w:rPr>
  </w:style>
  <w:style w:type="character" w:styleId="UnresolvedMention">
    <w:name w:val="Unresolved Mention"/>
    <w:basedOn w:val="DefaultParagraphFont"/>
    <w:uiPriority w:val="99"/>
    <w:unhideWhenUsed/>
    <w:rsid w:val="00531754"/>
    <w:rPr>
      <w:color w:val="605E5C"/>
      <w:shd w:val="clear" w:color="auto" w:fill="E1DFDD"/>
    </w:rPr>
  </w:style>
  <w:style w:type="character" w:styleId="FollowedHyperlink">
    <w:name w:val="FollowedHyperlink"/>
    <w:basedOn w:val="DefaultParagraphFont"/>
    <w:uiPriority w:val="99"/>
    <w:semiHidden/>
    <w:unhideWhenUsed/>
    <w:rsid w:val="00531754"/>
    <w:rPr>
      <w:color w:val="CD773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4991">
      <w:bodyDiv w:val="1"/>
      <w:marLeft w:val="0"/>
      <w:marRight w:val="0"/>
      <w:marTop w:val="0"/>
      <w:marBottom w:val="0"/>
      <w:divBdr>
        <w:top w:val="none" w:sz="0" w:space="0" w:color="auto"/>
        <w:left w:val="none" w:sz="0" w:space="0" w:color="auto"/>
        <w:bottom w:val="none" w:sz="0" w:space="0" w:color="auto"/>
        <w:right w:val="none" w:sz="0" w:space="0" w:color="auto"/>
      </w:divBdr>
      <w:divsChild>
        <w:div w:id="206962846">
          <w:marLeft w:val="0"/>
          <w:marRight w:val="0"/>
          <w:marTop w:val="0"/>
          <w:marBottom w:val="0"/>
          <w:divBdr>
            <w:top w:val="none" w:sz="0" w:space="0" w:color="auto"/>
            <w:left w:val="none" w:sz="0" w:space="0" w:color="auto"/>
            <w:bottom w:val="none" w:sz="0" w:space="0" w:color="auto"/>
            <w:right w:val="none" w:sz="0" w:space="0" w:color="auto"/>
          </w:divBdr>
        </w:div>
        <w:div w:id="1121923063">
          <w:marLeft w:val="0"/>
          <w:marRight w:val="0"/>
          <w:marTop w:val="0"/>
          <w:marBottom w:val="0"/>
          <w:divBdr>
            <w:top w:val="none" w:sz="0" w:space="0" w:color="auto"/>
            <w:left w:val="none" w:sz="0" w:space="0" w:color="auto"/>
            <w:bottom w:val="none" w:sz="0" w:space="0" w:color="auto"/>
            <w:right w:val="none" w:sz="0" w:space="0" w:color="auto"/>
          </w:divBdr>
        </w:div>
        <w:div w:id="467745342">
          <w:marLeft w:val="0"/>
          <w:marRight w:val="0"/>
          <w:marTop w:val="0"/>
          <w:marBottom w:val="0"/>
          <w:divBdr>
            <w:top w:val="none" w:sz="0" w:space="0" w:color="auto"/>
            <w:left w:val="none" w:sz="0" w:space="0" w:color="auto"/>
            <w:bottom w:val="none" w:sz="0" w:space="0" w:color="auto"/>
            <w:right w:val="none" w:sz="0" w:space="0" w:color="auto"/>
          </w:divBdr>
        </w:div>
        <w:div w:id="2033996589">
          <w:marLeft w:val="0"/>
          <w:marRight w:val="0"/>
          <w:marTop w:val="0"/>
          <w:marBottom w:val="0"/>
          <w:divBdr>
            <w:top w:val="none" w:sz="0" w:space="0" w:color="auto"/>
            <w:left w:val="none" w:sz="0" w:space="0" w:color="auto"/>
            <w:bottom w:val="none" w:sz="0" w:space="0" w:color="auto"/>
            <w:right w:val="none" w:sz="0" w:space="0" w:color="auto"/>
          </w:divBdr>
        </w:div>
        <w:div w:id="373964747">
          <w:marLeft w:val="0"/>
          <w:marRight w:val="0"/>
          <w:marTop w:val="0"/>
          <w:marBottom w:val="0"/>
          <w:divBdr>
            <w:top w:val="none" w:sz="0" w:space="0" w:color="auto"/>
            <w:left w:val="none" w:sz="0" w:space="0" w:color="auto"/>
            <w:bottom w:val="none" w:sz="0" w:space="0" w:color="auto"/>
            <w:right w:val="none" w:sz="0" w:space="0" w:color="auto"/>
          </w:divBdr>
        </w:div>
        <w:div w:id="1563565128">
          <w:marLeft w:val="0"/>
          <w:marRight w:val="0"/>
          <w:marTop w:val="0"/>
          <w:marBottom w:val="0"/>
          <w:divBdr>
            <w:top w:val="none" w:sz="0" w:space="0" w:color="auto"/>
            <w:left w:val="none" w:sz="0" w:space="0" w:color="auto"/>
            <w:bottom w:val="none" w:sz="0" w:space="0" w:color="auto"/>
            <w:right w:val="none" w:sz="0" w:space="0" w:color="auto"/>
          </w:divBdr>
        </w:div>
        <w:div w:id="328169503">
          <w:marLeft w:val="0"/>
          <w:marRight w:val="0"/>
          <w:marTop w:val="0"/>
          <w:marBottom w:val="0"/>
          <w:divBdr>
            <w:top w:val="none" w:sz="0" w:space="0" w:color="auto"/>
            <w:left w:val="none" w:sz="0" w:space="0" w:color="auto"/>
            <w:bottom w:val="none" w:sz="0" w:space="0" w:color="auto"/>
            <w:right w:val="none" w:sz="0" w:space="0" w:color="auto"/>
          </w:divBdr>
        </w:div>
        <w:div w:id="1448348590">
          <w:marLeft w:val="0"/>
          <w:marRight w:val="0"/>
          <w:marTop w:val="0"/>
          <w:marBottom w:val="0"/>
          <w:divBdr>
            <w:top w:val="none" w:sz="0" w:space="0" w:color="auto"/>
            <w:left w:val="none" w:sz="0" w:space="0" w:color="auto"/>
            <w:bottom w:val="none" w:sz="0" w:space="0" w:color="auto"/>
            <w:right w:val="none" w:sz="0" w:space="0" w:color="auto"/>
          </w:divBdr>
        </w:div>
        <w:div w:id="536629368">
          <w:marLeft w:val="0"/>
          <w:marRight w:val="0"/>
          <w:marTop w:val="0"/>
          <w:marBottom w:val="0"/>
          <w:divBdr>
            <w:top w:val="none" w:sz="0" w:space="0" w:color="auto"/>
            <w:left w:val="none" w:sz="0" w:space="0" w:color="auto"/>
            <w:bottom w:val="none" w:sz="0" w:space="0" w:color="auto"/>
            <w:right w:val="none" w:sz="0" w:space="0" w:color="auto"/>
          </w:divBdr>
        </w:div>
        <w:div w:id="511378276">
          <w:marLeft w:val="0"/>
          <w:marRight w:val="0"/>
          <w:marTop w:val="0"/>
          <w:marBottom w:val="0"/>
          <w:divBdr>
            <w:top w:val="none" w:sz="0" w:space="0" w:color="auto"/>
            <w:left w:val="none" w:sz="0" w:space="0" w:color="auto"/>
            <w:bottom w:val="none" w:sz="0" w:space="0" w:color="auto"/>
            <w:right w:val="none" w:sz="0" w:space="0" w:color="auto"/>
          </w:divBdr>
        </w:div>
        <w:div w:id="413671912">
          <w:marLeft w:val="0"/>
          <w:marRight w:val="0"/>
          <w:marTop w:val="0"/>
          <w:marBottom w:val="0"/>
          <w:divBdr>
            <w:top w:val="none" w:sz="0" w:space="0" w:color="auto"/>
            <w:left w:val="none" w:sz="0" w:space="0" w:color="auto"/>
            <w:bottom w:val="none" w:sz="0" w:space="0" w:color="auto"/>
            <w:right w:val="none" w:sz="0" w:space="0" w:color="auto"/>
          </w:divBdr>
        </w:div>
        <w:div w:id="1211846446">
          <w:marLeft w:val="0"/>
          <w:marRight w:val="0"/>
          <w:marTop w:val="0"/>
          <w:marBottom w:val="0"/>
          <w:divBdr>
            <w:top w:val="none" w:sz="0" w:space="0" w:color="auto"/>
            <w:left w:val="none" w:sz="0" w:space="0" w:color="auto"/>
            <w:bottom w:val="none" w:sz="0" w:space="0" w:color="auto"/>
            <w:right w:val="none" w:sz="0" w:space="0" w:color="auto"/>
          </w:divBdr>
        </w:div>
        <w:div w:id="908881678">
          <w:marLeft w:val="0"/>
          <w:marRight w:val="0"/>
          <w:marTop w:val="0"/>
          <w:marBottom w:val="0"/>
          <w:divBdr>
            <w:top w:val="none" w:sz="0" w:space="0" w:color="auto"/>
            <w:left w:val="none" w:sz="0" w:space="0" w:color="auto"/>
            <w:bottom w:val="none" w:sz="0" w:space="0" w:color="auto"/>
            <w:right w:val="none" w:sz="0" w:space="0" w:color="auto"/>
          </w:divBdr>
        </w:div>
      </w:divsChild>
    </w:div>
    <w:div w:id="792871473">
      <w:bodyDiv w:val="1"/>
      <w:marLeft w:val="0"/>
      <w:marRight w:val="0"/>
      <w:marTop w:val="0"/>
      <w:marBottom w:val="0"/>
      <w:divBdr>
        <w:top w:val="none" w:sz="0" w:space="0" w:color="auto"/>
        <w:left w:val="none" w:sz="0" w:space="0" w:color="auto"/>
        <w:bottom w:val="none" w:sz="0" w:space="0" w:color="auto"/>
        <w:right w:val="none" w:sz="0" w:space="0" w:color="auto"/>
      </w:divBdr>
    </w:div>
    <w:div w:id="1157501623">
      <w:bodyDiv w:val="1"/>
      <w:marLeft w:val="0"/>
      <w:marRight w:val="0"/>
      <w:marTop w:val="0"/>
      <w:marBottom w:val="0"/>
      <w:divBdr>
        <w:top w:val="none" w:sz="0" w:space="0" w:color="auto"/>
        <w:left w:val="none" w:sz="0" w:space="0" w:color="auto"/>
        <w:bottom w:val="none" w:sz="0" w:space="0" w:color="auto"/>
        <w:right w:val="none" w:sz="0" w:space="0" w:color="auto"/>
      </w:divBdr>
      <w:divsChild>
        <w:div w:id="1951426085">
          <w:marLeft w:val="0"/>
          <w:marRight w:val="0"/>
          <w:marTop w:val="0"/>
          <w:marBottom w:val="0"/>
          <w:divBdr>
            <w:top w:val="none" w:sz="0" w:space="0" w:color="auto"/>
            <w:left w:val="none" w:sz="0" w:space="0" w:color="auto"/>
            <w:bottom w:val="none" w:sz="0" w:space="0" w:color="auto"/>
            <w:right w:val="none" w:sz="0" w:space="0" w:color="auto"/>
          </w:divBdr>
        </w:div>
      </w:divsChild>
    </w:div>
    <w:div w:id="1515222780">
      <w:bodyDiv w:val="1"/>
      <w:marLeft w:val="0"/>
      <w:marRight w:val="0"/>
      <w:marTop w:val="0"/>
      <w:marBottom w:val="0"/>
      <w:divBdr>
        <w:top w:val="none" w:sz="0" w:space="0" w:color="auto"/>
        <w:left w:val="none" w:sz="0" w:space="0" w:color="auto"/>
        <w:bottom w:val="none" w:sz="0" w:space="0" w:color="auto"/>
        <w:right w:val="none" w:sz="0" w:space="0" w:color="auto"/>
      </w:divBdr>
    </w:div>
    <w:div w:id="16943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capita.org.au/our_work/the-per-capita-tax-survey-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gov.au/ongoing/report-on-government-services/2023/community-services/services-for-people-with-dis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hw.gov.au/reports/disability/people-with-disability-in-australia/contents/housing/homelessness-servic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er Capita">
      <a:dk1>
        <a:srgbClr val="000000"/>
      </a:dk1>
      <a:lt1>
        <a:srgbClr val="FFFFFF"/>
      </a:lt1>
      <a:dk2>
        <a:srgbClr val="787973"/>
      </a:dk2>
      <a:lt2>
        <a:srgbClr val="DDDCD3"/>
      </a:lt2>
      <a:accent1>
        <a:srgbClr val="1E4E42"/>
      </a:accent1>
      <a:accent2>
        <a:srgbClr val="95784E"/>
      </a:accent2>
      <a:accent3>
        <a:srgbClr val="9FC18F"/>
      </a:accent3>
      <a:accent4>
        <a:srgbClr val="CD302A"/>
      </a:accent4>
      <a:accent5>
        <a:srgbClr val="F8CEBC"/>
      </a:accent5>
      <a:accent6>
        <a:srgbClr val="263776"/>
      </a:accent6>
      <a:hlink>
        <a:srgbClr val="CD7731"/>
      </a:hlink>
      <a:folHlink>
        <a:srgbClr val="CD773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BC87-9330-44B6-811B-F64B3CE6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16240</Words>
  <Characters>92572</Characters>
  <Application>Microsoft Office Word</Application>
  <DocSecurity>0</DocSecurity>
  <Lines>771</Lines>
  <Paragraphs>217</Paragraphs>
  <ScaleCrop>false</ScaleCrop>
  <Company/>
  <LinksUpToDate>false</LinksUpToDate>
  <CharactersWithSpaces>108595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one stop shop</dc:title>
  <dc:subject/>
  <dc:creator>Microsoft Office User</dc:creator>
  <cp:keywords/>
  <dc:description/>
  <cp:lastModifiedBy>Carolina Pachioli</cp:lastModifiedBy>
  <cp:revision>431</cp:revision>
  <cp:lastPrinted>2023-03-24T06:49:00Z</cp:lastPrinted>
  <dcterms:created xsi:type="dcterms:W3CDTF">2023-03-24T06:12:00Z</dcterms:created>
  <dcterms:modified xsi:type="dcterms:W3CDTF">2023-03-29T07:51:00Z</dcterms:modified>
</cp:coreProperties>
</file>