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4CC43" w14:textId="77777777" w:rsidR="00467B00" w:rsidRDefault="000F1A04" w:rsidP="00360D33">
      <w:pPr>
        <w:pStyle w:val="Heading1"/>
      </w:pPr>
      <w:r>
        <w:t xml:space="preserve">Person-centred </w:t>
      </w:r>
      <w:r w:rsidR="00B7283D">
        <w:t>Performance Management</w:t>
      </w:r>
    </w:p>
    <w:p w14:paraId="529CD279" w14:textId="77777777" w:rsidR="00E47D7B" w:rsidRDefault="00E47D7B" w:rsidP="00360D33">
      <w:pPr>
        <w:pStyle w:val="Heading2"/>
      </w:pPr>
      <w:r>
        <w:t xml:space="preserve">What is </w:t>
      </w:r>
      <w:r w:rsidR="00BF6F4D">
        <w:t xml:space="preserve">person-centred </w:t>
      </w:r>
      <w:r w:rsidR="00FB68E1">
        <w:t>performance management</w:t>
      </w:r>
      <w:r>
        <w:t>?</w:t>
      </w:r>
    </w:p>
    <w:p w14:paraId="65434545" w14:textId="320BF906" w:rsidR="00BF6F4D" w:rsidRDefault="00AC6315" w:rsidP="00360D33">
      <w:r>
        <w:t>‘</w:t>
      </w:r>
      <w:r w:rsidR="009E7B35">
        <w:t>Person</w:t>
      </w:r>
      <w:r>
        <w:t>-centred performance management’</w:t>
      </w:r>
      <w:r w:rsidR="009E7B35">
        <w:t xml:space="preserve"> uses familiar human resource management terminology, but with a slightly different meaning than we might be used to</w:t>
      </w:r>
      <w:r w:rsidR="00DE4A0F">
        <w:t>.</w:t>
      </w:r>
      <w:r w:rsidR="00BF6F4D">
        <w:t xml:space="preserve"> Person-centred performance management</w:t>
      </w:r>
      <w:r w:rsidR="000F1A04">
        <w:t>:</w:t>
      </w:r>
    </w:p>
    <w:p w14:paraId="60C555AF" w14:textId="105D1F11" w:rsidR="00BF6F4D" w:rsidRDefault="000F1A04" w:rsidP="00360D33">
      <w:pPr>
        <w:pStyle w:val="ListParagraph"/>
        <w:numPr>
          <w:ilvl w:val="0"/>
          <w:numId w:val="16"/>
        </w:numPr>
      </w:pPr>
      <w:r>
        <w:t>I</w:t>
      </w:r>
      <w:r w:rsidR="00BF6F4D" w:rsidRPr="005E3112">
        <w:t>s a person-centred approach</w:t>
      </w:r>
    </w:p>
    <w:p w14:paraId="0D7510D1" w14:textId="77777777" w:rsidR="00BA520A" w:rsidRPr="005E3112" w:rsidRDefault="000F1A04" w:rsidP="00360D33">
      <w:pPr>
        <w:pStyle w:val="ListParagraph"/>
        <w:numPr>
          <w:ilvl w:val="0"/>
          <w:numId w:val="16"/>
        </w:numPr>
      </w:pPr>
      <w:r>
        <w:t>A</w:t>
      </w:r>
      <w:r w:rsidR="00BA520A">
        <w:t>grees and clearly articulates performance goals and targets</w:t>
      </w:r>
    </w:p>
    <w:p w14:paraId="5F12C72A" w14:textId="77777777" w:rsidR="00BF6F4D" w:rsidRDefault="000F1A04" w:rsidP="00360D33">
      <w:pPr>
        <w:pStyle w:val="ListParagraph"/>
        <w:numPr>
          <w:ilvl w:val="0"/>
          <w:numId w:val="16"/>
        </w:numPr>
      </w:pPr>
      <w:r>
        <w:t>R</w:t>
      </w:r>
      <w:r w:rsidR="00BF6F4D">
        <w:t>eviews performance in all the capability areas required by the role</w:t>
      </w:r>
    </w:p>
    <w:p w14:paraId="6E6F7AA9" w14:textId="77777777" w:rsidR="00BF6F4D" w:rsidRPr="005E3112" w:rsidRDefault="000F1A04" w:rsidP="00360D33">
      <w:pPr>
        <w:pStyle w:val="ListParagraph"/>
        <w:numPr>
          <w:ilvl w:val="0"/>
          <w:numId w:val="16"/>
        </w:numPr>
      </w:pPr>
      <w:r>
        <w:t>F</w:t>
      </w:r>
      <w:r w:rsidR="00BF6F4D">
        <w:t xml:space="preserve">ocuses on developing the </w:t>
      </w:r>
      <w:r>
        <w:t>capabilities</w:t>
      </w:r>
      <w:r w:rsidR="00BF6F4D">
        <w:t xml:space="preserve"> required to meet performance expectations at the job level</w:t>
      </w:r>
    </w:p>
    <w:p w14:paraId="45C18E85" w14:textId="77777777" w:rsidR="008B0282" w:rsidRDefault="000F1A04" w:rsidP="00360D33">
      <w:pPr>
        <w:pStyle w:val="ListParagraph"/>
        <w:numPr>
          <w:ilvl w:val="0"/>
          <w:numId w:val="16"/>
        </w:numPr>
      </w:pPr>
      <w:r>
        <w:t>S</w:t>
      </w:r>
      <w:r w:rsidR="00BF6F4D" w:rsidRPr="005E3112">
        <w:t>upport</w:t>
      </w:r>
      <w:r w:rsidR="00BF6F4D">
        <w:t>s</w:t>
      </w:r>
      <w:r w:rsidR="00BF6F4D" w:rsidRPr="005E3112">
        <w:t xml:space="preserve"> </w:t>
      </w:r>
      <w:r w:rsidR="00BF6F4D">
        <w:t>a</w:t>
      </w:r>
      <w:r>
        <w:t>n</w:t>
      </w:r>
      <w:r w:rsidR="00BF6F4D">
        <w:t xml:space="preserve"> environment of </w:t>
      </w:r>
      <w:r w:rsidR="00DE4A0F">
        <w:t xml:space="preserve">job </w:t>
      </w:r>
      <w:r w:rsidR="00BF6F4D" w:rsidRPr="005E3112">
        <w:t>performance</w:t>
      </w:r>
      <w:r w:rsidR="00DE4A0F">
        <w:t>,</w:t>
      </w:r>
      <w:r w:rsidR="00BF6F4D" w:rsidRPr="005E3112">
        <w:t xml:space="preserve"> </w:t>
      </w:r>
      <w:r w:rsidR="00DE4A0F">
        <w:t xml:space="preserve">goal </w:t>
      </w:r>
      <w:r w:rsidR="00BF6F4D" w:rsidRPr="005E3112">
        <w:t xml:space="preserve">achievement and wellbeing </w:t>
      </w:r>
    </w:p>
    <w:p w14:paraId="2D85582A" w14:textId="77777777" w:rsidR="00341F8B" w:rsidRPr="00093FF0" w:rsidRDefault="000F1A04" w:rsidP="00360D33">
      <w:pPr>
        <w:pStyle w:val="ListParagraph"/>
        <w:numPr>
          <w:ilvl w:val="0"/>
          <w:numId w:val="16"/>
        </w:numPr>
      </w:pPr>
      <w:r>
        <w:t>I</w:t>
      </w:r>
      <w:r w:rsidR="008B0282">
        <w:t xml:space="preserve">s </w:t>
      </w:r>
      <w:r w:rsidR="008B0282" w:rsidRPr="000F1A04">
        <w:t>not</w:t>
      </w:r>
      <w:r w:rsidR="008B0282" w:rsidRPr="00341F8B">
        <w:rPr>
          <w:i/>
        </w:rPr>
        <w:t xml:space="preserve"> </w:t>
      </w:r>
      <w:r w:rsidR="008B0282">
        <w:t>a legal or industrial relations process designed to exit people for poor performance</w:t>
      </w:r>
    </w:p>
    <w:p w14:paraId="6F94008C" w14:textId="704BACD5" w:rsidR="008B0282" w:rsidRDefault="00BF6F4D" w:rsidP="00360D33">
      <w:r>
        <w:t xml:space="preserve">Person-centred performance management is </w:t>
      </w:r>
      <w:r w:rsidR="008B0282">
        <w:t>most effective</w:t>
      </w:r>
      <w:r w:rsidR="000F1A04">
        <w:t xml:space="preserve"> when understood as a core process of </w:t>
      </w:r>
      <w:r>
        <w:t xml:space="preserve">person-centred </w:t>
      </w:r>
      <w:r w:rsidR="008B0282">
        <w:t xml:space="preserve">people management </w:t>
      </w:r>
      <w:r w:rsidR="00AC6315">
        <w:t>i</w:t>
      </w:r>
      <w:r w:rsidR="008B0282">
        <w:t xml:space="preserve">n </w:t>
      </w:r>
      <w:r w:rsidR="000F1A04">
        <w:t>an organis</w:t>
      </w:r>
      <w:r w:rsidR="008B0282">
        <w:t>ation</w:t>
      </w:r>
      <w:r w:rsidR="009E7B35">
        <w:t xml:space="preserve"> delivering</w:t>
      </w:r>
      <w:r w:rsidR="000F1A04">
        <w:t xml:space="preserve"> person-centred services</w:t>
      </w:r>
      <w:r w:rsidR="008B0282">
        <w:t>.</w:t>
      </w:r>
      <w:r w:rsidR="00D3688E" w:rsidRPr="00D3688E">
        <w:t xml:space="preserve"> </w:t>
      </w:r>
      <w:r w:rsidR="00D3688E">
        <w:t>For the remainder of this document, person-centred performance management is simply referred to as ‘performance management’.</w:t>
      </w:r>
    </w:p>
    <w:p w14:paraId="1BE5EB08" w14:textId="77777777" w:rsidR="00DC133E" w:rsidRDefault="009E7B35" w:rsidP="00360D33">
      <w:r>
        <w:t>P</w:t>
      </w:r>
      <w:r w:rsidR="00DC133E">
        <w:t>erformance management does these important things:</w:t>
      </w:r>
    </w:p>
    <w:p w14:paraId="5E76423C" w14:textId="0EE2A179" w:rsidR="00DC133E" w:rsidRPr="00246C44" w:rsidRDefault="00AC6315" w:rsidP="00360D33">
      <w:pPr>
        <w:pStyle w:val="ListParagraph"/>
        <w:numPr>
          <w:ilvl w:val="0"/>
          <w:numId w:val="15"/>
        </w:numPr>
      </w:pPr>
      <w:r>
        <w:t>B</w:t>
      </w:r>
      <w:r w:rsidR="00DC133E" w:rsidRPr="00246C44">
        <w:t>uilds on existing person-centred information gathered with a staff member through processes such as recruitment</w:t>
      </w:r>
      <w:r>
        <w:t>, supervision and team planning</w:t>
      </w:r>
    </w:p>
    <w:p w14:paraId="79D7D7B4" w14:textId="2BFDD87E" w:rsidR="00DC133E" w:rsidRPr="00246C44" w:rsidRDefault="00AC6315" w:rsidP="00360D33">
      <w:pPr>
        <w:pStyle w:val="ListParagraph"/>
        <w:numPr>
          <w:ilvl w:val="0"/>
          <w:numId w:val="15"/>
        </w:numPr>
      </w:pPr>
      <w:r>
        <w:t>F</w:t>
      </w:r>
      <w:r w:rsidR="00DC133E" w:rsidRPr="00246C44">
        <w:t xml:space="preserve">ocuses on developing the capabilities required to meet performance expectations </w:t>
      </w:r>
      <w:r>
        <w:t>at the staff member’s job level</w:t>
      </w:r>
    </w:p>
    <w:p w14:paraId="687B0169" w14:textId="1DE094A3" w:rsidR="008B0282" w:rsidRDefault="00F414E1" w:rsidP="00360D33">
      <w:r>
        <w:t xml:space="preserve">A disability service is </w:t>
      </w:r>
      <w:r w:rsidR="00AC6315">
        <w:t>best positioned to deliver high-</w:t>
      </w:r>
      <w:r>
        <w:t>quality person-centred services when the people management is carried out in a person-centred and values-based way.</w:t>
      </w:r>
      <w:r w:rsidR="00AC6315">
        <w:t xml:space="preserve"> This includes the processes of</w:t>
      </w:r>
      <w:r>
        <w:t xml:space="preserve"> </w:t>
      </w:r>
      <w:r w:rsidR="00BF6F4D">
        <w:t>job design, grading, position description developm</w:t>
      </w:r>
      <w:r w:rsidR="008B0282">
        <w:t>ent, recruitment and selection</w:t>
      </w:r>
      <w:r w:rsidR="000F1A04">
        <w:t>,</w:t>
      </w:r>
      <w:r w:rsidR="008B0282">
        <w:t xml:space="preserve"> </w:t>
      </w:r>
      <w:r w:rsidR="00BF6F4D">
        <w:t>induction</w:t>
      </w:r>
      <w:r>
        <w:t>, supervision and performance appraisal, and performance management</w:t>
      </w:r>
      <w:r w:rsidR="000F1A04">
        <w:t>.</w:t>
      </w:r>
    </w:p>
    <w:p w14:paraId="51F1FE12" w14:textId="77777777" w:rsidR="00DE4A0F" w:rsidRDefault="00DE4A0F" w:rsidP="00360D33">
      <w:pPr>
        <w:pStyle w:val="Heading2"/>
      </w:pPr>
      <w:r>
        <w:t>Why is it important?</w:t>
      </w:r>
    </w:p>
    <w:p w14:paraId="4BACEC14" w14:textId="7987A866" w:rsidR="00522B64" w:rsidRDefault="00341F8B" w:rsidP="00360D33">
      <w:r>
        <w:t>Effective performance management is important for service quality, safeguarding, cost effectiveness and organisational culture. P</w:t>
      </w:r>
      <w:r w:rsidR="00522B64">
        <w:t xml:space="preserve">erformance management discussions </w:t>
      </w:r>
      <w:r>
        <w:t>provide a way to</w:t>
      </w:r>
      <w:r w:rsidR="00522B64">
        <w:t xml:space="preserve"> </w:t>
      </w:r>
      <w:r>
        <w:t xml:space="preserve">discuss, agree, </w:t>
      </w:r>
      <w:r w:rsidR="00522B64">
        <w:t>articulate and measure performance against agreed goals and targets</w:t>
      </w:r>
      <w:r w:rsidR="00F414E1">
        <w:t>. These discussions also</w:t>
      </w:r>
      <w:r w:rsidR="00AC6315">
        <w:t xml:space="preserve"> focus on developing</w:t>
      </w:r>
      <w:r w:rsidR="00F414E1">
        <w:t xml:space="preserve"> </w:t>
      </w:r>
      <w:r w:rsidR="00522B64">
        <w:t>capabilities to achieve performance expectations.</w:t>
      </w:r>
    </w:p>
    <w:p w14:paraId="43E9988D" w14:textId="107C3136" w:rsidR="00522B64" w:rsidRDefault="00AC6315" w:rsidP="00360D33">
      <w:r>
        <w:t>P</w:t>
      </w:r>
      <w:r w:rsidR="00522B64">
        <w:t>erformance management is relevant for all employees in all positions throughout their employment with the organi</w:t>
      </w:r>
      <w:r w:rsidR="00F414E1">
        <w:t>s</w:t>
      </w:r>
      <w:r w:rsidR="00522B64">
        <w:t>ation</w:t>
      </w:r>
      <w:r w:rsidR="00F414E1">
        <w:t>. This includes</w:t>
      </w:r>
      <w:r w:rsidR="00522B64">
        <w:t xml:space="preserve"> staff members during </w:t>
      </w:r>
      <w:r w:rsidR="00F414E1">
        <w:t xml:space="preserve">their </w:t>
      </w:r>
      <w:r w:rsidR="00522B64">
        <w:t xml:space="preserve">probation </w:t>
      </w:r>
      <w:r w:rsidR="00F414E1">
        <w:t xml:space="preserve">period as well as </w:t>
      </w:r>
      <w:r w:rsidR="00522B64">
        <w:t>long</w:t>
      </w:r>
      <w:r w:rsidR="00F414E1">
        <w:t>er-</w:t>
      </w:r>
      <w:r w:rsidR="00522B64">
        <w:t>term employees.</w:t>
      </w:r>
    </w:p>
    <w:p w14:paraId="738E3887" w14:textId="77777777" w:rsidR="00DE4A0F" w:rsidRDefault="00341F8B" w:rsidP="00360D33">
      <w:r>
        <w:t xml:space="preserve">Even </w:t>
      </w:r>
      <w:r w:rsidR="009E7B35">
        <w:t>without other person-centred processes</w:t>
      </w:r>
      <w:r>
        <w:t xml:space="preserve">, performance management </w:t>
      </w:r>
      <w:r w:rsidR="00C275FE">
        <w:t xml:space="preserve">can </w:t>
      </w:r>
      <w:r>
        <w:t>support person-centred service d</w:t>
      </w:r>
      <w:r w:rsidR="009E7B35">
        <w:t xml:space="preserve">elivery by concentrating on </w:t>
      </w:r>
      <w:r>
        <w:t xml:space="preserve">desired </w:t>
      </w:r>
      <w:r w:rsidR="009E7B35">
        <w:t xml:space="preserve">performance </w:t>
      </w:r>
      <w:r>
        <w:t>outcome</w:t>
      </w:r>
      <w:r w:rsidR="009E7B35">
        <w:t>s</w:t>
      </w:r>
      <w:r>
        <w:t xml:space="preserve"> and the </w:t>
      </w:r>
      <w:r>
        <w:lastRenderedPageBreak/>
        <w:t>capability re</w:t>
      </w:r>
      <w:r w:rsidR="00F414E1">
        <w:t xml:space="preserve">quired to meet those outcomes. </w:t>
      </w:r>
      <w:r>
        <w:t>However</w:t>
      </w:r>
      <w:r w:rsidR="00F414E1">
        <w:t>,</w:t>
      </w:r>
      <w:r>
        <w:t xml:space="preserve"> when it builds on effective person-centred supervision and performance appraisal meetings, it can become </w:t>
      </w:r>
      <w:r w:rsidR="00DE4A0F">
        <w:t xml:space="preserve">a significant lever for </w:t>
      </w:r>
      <w:r w:rsidR="00093FF0">
        <w:t xml:space="preserve">positively </w:t>
      </w:r>
      <w:r w:rsidR="00DE4A0F">
        <w:t>transf</w:t>
      </w:r>
      <w:r>
        <w:t>orming organisational culture</w:t>
      </w:r>
      <w:r w:rsidR="00093FF0">
        <w:t>.</w:t>
      </w:r>
      <w:r>
        <w:t xml:space="preserve"> </w:t>
      </w:r>
    </w:p>
    <w:p w14:paraId="321B950B" w14:textId="77777777" w:rsidR="005146F7" w:rsidRDefault="005146F7" w:rsidP="00360D33">
      <w:pPr>
        <w:pStyle w:val="Heading2"/>
      </w:pPr>
      <w:r>
        <w:t>How is it different from supervision and performance appraisals?</w:t>
      </w:r>
    </w:p>
    <w:p w14:paraId="3997B512" w14:textId="77777777" w:rsidR="00AC6315" w:rsidRDefault="005146F7" w:rsidP="00360D33">
      <w:pPr>
        <w:rPr>
          <w:color w:val="FF0000"/>
        </w:rPr>
      </w:pPr>
      <w:r>
        <w:t>A person-centred approach to supervision and performance appraisal sets the foundation and climate for performance management meetings. Supervision discussions establish and maintain a positive working relationship and workplace climate between the supervisor, staff member and wider team.</w:t>
      </w:r>
    </w:p>
    <w:p w14:paraId="6731A687" w14:textId="0C0A4A76" w:rsidR="005146F7" w:rsidRDefault="005146F7" w:rsidP="00360D33">
      <w:r>
        <w:t>For more information about person-centred supervision and performance appraisal see the supervision and performance appraisal information sheet in this series.</w:t>
      </w:r>
    </w:p>
    <w:p w14:paraId="76CE7995" w14:textId="77777777" w:rsidR="005A5E5B" w:rsidRDefault="00D70D4C" w:rsidP="00360D33">
      <w:pPr>
        <w:pStyle w:val="Heading2"/>
      </w:pPr>
      <w:r>
        <w:t xml:space="preserve">How does </w:t>
      </w:r>
      <w:r w:rsidR="005146F7">
        <w:t>it</w:t>
      </w:r>
      <w:r w:rsidR="00FB68E1">
        <w:t xml:space="preserve"> work?</w:t>
      </w:r>
    </w:p>
    <w:p w14:paraId="6A1B4296" w14:textId="77777777" w:rsidR="005146F7" w:rsidRPr="00246C44" w:rsidRDefault="00D3688E" w:rsidP="00360D33">
      <w:r>
        <w:t xml:space="preserve">Performance management is carried out through regular review meetings between an employee and their line manager. </w:t>
      </w:r>
      <w:r w:rsidR="009E7B35">
        <w:t>The line manager</w:t>
      </w:r>
      <w:r w:rsidR="005146F7" w:rsidRPr="00246C44">
        <w:t xml:space="preserve"> should aim to act as a coach and supporter in these regular conversations, </w:t>
      </w:r>
      <w:r w:rsidR="005146F7">
        <w:t>using their</w:t>
      </w:r>
      <w:r w:rsidR="005146F7" w:rsidRPr="00246C44">
        <w:t xml:space="preserve"> discretion as to the appropriate style and approach.</w:t>
      </w:r>
    </w:p>
    <w:p w14:paraId="32D65F44" w14:textId="77777777" w:rsidR="00FB68E1" w:rsidRDefault="00D3688E" w:rsidP="00360D33">
      <w:r>
        <w:t>During</w:t>
      </w:r>
      <w:r w:rsidR="00FB68E1">
        <w:t xml:space="preserve"> the</w:t>
      </w:r>
      <w:r>
        <w:t xml:space="preserve"> meetings</w:t>
      </w:r>
      <w:r w:rsidR="00196F3D">
        <w:t>, together they</w:t>
      </w:r>
      <w:r>
        <w:t>:</w:t>
      </w:r>
    </w:p>
    <w:p w14:paraId="65118752" w14:textId="77777777" w:rsidR="00FB68E1" w:rsidRDefault="00196F3D" w:rsidP="00360D33">
      <w:pPr>
        <w:pStyle w:val="ListParagraph"/>
        <w:numPr>
          <w:ilvl w:val="0"/>
          <w:numId w:val="15"/>
        </w:numPr>
      </w:pPr>
      <w:r>
        <w:t>Review the r</w:t>
      </w:r>
      <w:r w:rsidR="00FB68E1">
        <w:t>equired capabilities for</w:t>
      </w:r>
      <w:r>
        <w:t xml:space="preserve"> the staff member’s job level</w:t>
      </w:r>
    </w:p>
    <w:p w14:paraId="6C8149E6" w14:textId="77777777" w:rsidR="00FB68E1" w:rsidRDefault="00196F3D" w:rsidP="00360D33">
      <w:pPr>
        <w:pStyle w:val="ListParagraph"/>
        <w:numPr>
          <w:ilvl w:val="0"/>
          <w:numId w:val="15"/>
        </w:numPr>
      </w:pPr>
      <w:r>
        <w:t>Agree on p</w:t>
      </w:r>
      <w:r w:rsidR="00FB68E1">
        <w:t>er</w:t>
      </w:r>
      <w:r>
        <w:t>formance expectations</w:t>
      </w:r>
    </w:p>
    <w:p w14:paraId="36FCF916" w14:textId="77777777" w:rsidR="00FB68E1" w:rsidRDefault="00196F3D" w:rsidP="00360D33">
      <w:pPr>
        <w:pStyle w:val="ListParagraph"/>
        <w:numPr>
          <w:ilvl w:val="0"/>
          <w:numId w:val="15"/>
        </w:numPr>
      </w:pPr>
      <w:r>
        <w:t>Agree on the d</w:t>
      </w:r>
      <w:r w:rsidR="00FB68E1">
        <w:t>evelopment requirements to meet per</w:t>
      </w:r>
      <w:r>
        <w:t>formance expectations</w:t>
      </w:r>
    </w:p>
    <w:p w14:paraId="21EC96A3" w14:textId="38B0C94D" w:rsidR="00FB68E1" w:rsidRDefault="00196F3D" w:rsidP="00360D33">
      <w:pPr>
        <w:pStyle w:val="ListParagraph"/>
        <w:numPr>
          <w:ilvl w:val="0"/>
          <w:numId w:val="15"/>
        </w:numPr>
      </w:pPr>
      <w:r>
        <w:t>Agree on and assign a</w:t>
      </w:r>
      <w:r w:rsidR="00AC6315">
        <w:t>ctions</w:t>
      </w:r>
    </w:p>
    <w:p w14:paraId="0C5BB64C" w14:textId="77777777" w:rsidR="005146F7" w:rsidRPr="005146F7" w:rsidRDefault="005146F7" w:rsidP="00360D33">
      <w:r w:rsidRPr="005146F7">
        <w:t xml:space="preserve">For further detail on </w:t>
      </w:r>
      <w:r>
        <w:t>any of the following information</w:t>
      </w:r>
      <w:r w:rsidRPr="005146F7">
        <w:t>, refer to the person-centred people management tools from the link below.</w:t>
      </w:r>
    </w:p>
    <w:p w14:paraId="356D353C" w14:textId="77777777" w:rsidR="00DC133E" w:rsidRDefault="00DC133E" w:rsidP="00360D33">
      <w:pPr>
        <w:pStyle w:val="Heading3"/>
      </w:pPr>
      <w:r w:rsidRPr="00DF5348">
        <w:t xml:space="preserve">Top tips for </w:t>
      </w:r>
      <w:r>
        <w:t>performance management</w:t>
      </w:r>
    </w:p>
    <w:p w14:paraId="39A01E68" w14:textId="4BC1AE83" w:rsidR="00DC133E" w:rsidRPr="00C77BB4" w:rsidRDefault="00DC133E" w:rsidP="00360D33">
      <w:pPr>
        <w:pStyle w:val="ListParagraph"/>
        <w:numPr>
          <w:ilvl w:val="0"/>
          <w:numId w:val="15"/>
        </w:numPr>
      </w:pPr>
      <w:r>
        <w:t>Use</w:t>
      </w:r>
      <w:r w:rsidRPr="00C77BB4">
        <w:t xml:space="preserve"> the </w:t>
      </w:r>
      <w:r w:rsidR="00AC6315" w:rsidRPr="00C77BB4">
        <w:t>Workforce Capability Framework</w:t>
      </w:r>
    </w:p>
    <w:p w14:paraId="4EBB4CEE" w14:textId="77777777" w:rsidR="00DC133E" w:rsidRPr="00C77BB4" w:rsidRDefault="00DC133E" w:rsidP="00360D33">
      <w:pPr>
        <w:pStyle w:val="ListParagraph"/>
        <w:numPr>
          <w:ilvl w:val="0"/>
          <w:numId w:val="15"/>
        </w:numPr>
      </w:pPr>
      <w:r>
        <w:t>Ensure</w:t>
      </w:r>
      <w:r w:rsidRPr="00C77BB4">
        <w:t xml:space="preserve"> conversations are consistent with the staff member’s job level</w:t>
      </w:r>
    </w:p>
    <w:p w14:paraId="02831570" w14:textId="77777777" w:rsidR="00DC133E" w:rsidRPr="00C77BB4" w:rsidRDefault="00DC133E" w:rsidP="00360D33">
      <w:pPr>
        <w:pStyle w:val="ListParagraph"/>
        <w:numPr>
          <w:ilvl w:val="0"/>
          <w:numId w:val="15"/>
        </w:numPr>
      </w:pPr>
      <w:r>
        <w:t>Have</w:t>
      </w:r>
      <w:r w:rsidRPr="00C77BB4">
        <w:t xml:space="preserve"> a planned approach to the discussion so that the staff member’s performance in all the capability areas required by the role can be discussed</w:t>
      </w:r>
    </w:p>
    <w:p w14:paraId="79DA2E65" w14:textId="77777777" w:rsidR="00DC133E" w:rsidRPr="00C77BB4" w:rsidRDefault="00DC133E" w:rsidP="00360D33">
      <w:pPr>
        <w:pStyle w:val="ListParagraph"/>
        <w:numPr>
          <w:ilvl w:val="0"/>
          <w:numId w:val="15"/>
        </w:numPr>
      </w:pPr>
      <w:r w:rsidRPr="00C77BB4">
        <w:t>Follow your organisation’s template or format and associated policy or procedure</w:t>
      </w:r>
    </w:p>
    <w:p w14:paraId="4232C830" w14:textId="77777777" w:rsidR="00DC133E" w:rsidRPr="00DF5348" w:rsidRDefault="00DC133E" w:rsidP="00360D33">
      <w:pPr>
        <w:pStyle w:val="ListParagraph"/>
        <w:numPr>
          <w:ilvl w:val="0"/>
          <w:numId w:val="15"/>
        </w:numPr>
      </w:pPr>
      <w:r>
        <w:t>Only undertake</w:t>
      </w:r>
      <w:r w:rsidRPr="00C77BB4">
        <w:t xml:space="preserve"> a formal performance review as the direct supervisor with line management responsibility for the staff member concerned</w:t>
      </w:r>
    </w:p>
    <w:p w14:paraId="3136AEC8" w14:textId="465E3DB5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DC133E">
        <w:t>Schedule the review meeting well in advance</w:t>
      </w:r>
      <w:r>
        <w:t xml:space="preserve"> - i</w:t>
      </w:r>
      <w:r w:rsidR="00AC6315">
        <w:t>deally</w:t>
      </w:r>
      <w:r w:rsidRPr="00DC133E">
        <w:t xml:space="preserve"> </w:t>
      </w:r>
      <w:r w:rsidR="00AC6315">
        <w:t>three, six, or 12-</w:t>
      </w:r>
      <w:r w:rsidRPr="00DC133E">
        <w:t>monthly</w:t>
      </w:r>
    </w:p>
    <w:p w14:paraId="19DC043A" w14:textId="2872218C" w:rsidR="00DC133E" w:rsidRDefault="00DC133E" w:rsidP="00360D33">
      <w:pPr>
        <w:pStyle w:val="ListParagraph"/>
        <w:numPr>
          <w:ilvl w:val="0"/>
          <w:numId w:val="15"/>
        </w:numPr>
      </w:pPr>
      <w:r w:rsidRPr="00DC133E">
        <w:t xml:space="preserve">Both people should </w:t>
      </w:r>
      <w:r>
        <w:t>prepare for the review</w:t>
      </w:r>
      <w:r w:rsidR="00AB7501">
        <w:t xml:space="preserve"> by, for example, bring</w:t>
      </w:r>
      <w:r w:rsidR="00AC6315">
        <w:t>ing</w:t>
      </w:r>
      <w:r w:rsidR="00AB7501">
        <w:t xml:space="preserve"> any required information, and/or reviewing previous meeting records</w:t>
      </w:r>
    </w:p>
    <w:p w14:paraId="289AE92F" w14:textId="77777777" w:rsidR="005146F7" w:rsidRPr="005146F7" w:rsidRDefault="005146F7" w:rsidP="00360D33">
      <w:pPr>
        <w:pStyle w:val="ListParagraph"/>
        <w:numPr>
          <w:ilvl w:val="0"/>
          <w:numId w:val="15"/>
        </w:numPr>
      </w:pPr>
      <w:r w:rsidRPr="005146F7">
        <w:t>Always use concrete examples, and ensure the facts are clear and, ideally,</w:t>
      </w:r>
      <w:r>
        <w:t xml:space="preserve"> agreed on</w:t>
      </w:r>
    </w:p>
    <w:p w14:paraId="59F067D2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AB7501">
        <w:t xml:space="preserve">Deal </w:t>
      </w:r>
      <w:r w:rsidR="009E7B35">
        <w:t xml:space="preserve">positively </w:t>
      </w:r>
      <w:r w:rsidRPr="00AB7501">
        <w:t>with any anxiety or worry</w:t>
      </w:r>
    </w:p>
    <w:p w14:paraId="76CBC285" w14:textId="4625F308" w:rsidR="00DC133E" w:rsidRPr="005146F7" w:rsidRDefault="00AC6315" w:rsidP="00360D33">
      <w:pPr>
        <w:pStyle w:val="ListParagraph"/>
        <w:numPr>
          <w:ilvl w:val="0"/>
          <w:numId w:val="15"/>
        </w:numPr>
      </w:pPr>
      <w:r>
        <w:t xml:space="preserve">Tailor your approach with attention to factors such as </w:t>
      </w:r>
      <w:r w:rsidR="005146F7">
        <w:t>l</w:t>
      </w:r>
      <w:r w:rsidR="00DC133E" w:rsidRPr="00AB7501">
        <w:t>ocation</w:t>
      </w:r>
      <w:r w:rsidR="005146F7">
        <w:t>, t</w:t>
      </w:r>
      <w:r w:rsidR="00DC133E" w:rsidRPr="00AB7501">
        <w:t>iming</w:t>
      </w:r>
      <w:r w:rsidR="005146F7">
        <w:t>, p</w:t>
      </w:r>
      <w:r w:rsidR="00DC133E" w:rsidRPr="00AB7501">
        <w:t>repared drafts</w:t>
      </w:r>
      <w:r w:rsidR="005146F7">
        <w:t>, d</w:t>
      </w:r>
      <w:r w:rsidR="00DC133E" w:rsidRPr="00AB7501">
        <w:t>ot points</w:t>
      </w:r>
      <w:r w:rsidR="005146F7">
        <w:t>, w</w:t>
      </w:r>
      <w:r w:rsidR="00DC133E" w:rsidRPr="00AB7501">
        <w:t>hiteboard</w:t>
      </w:r>
      <w:r>
        <w:t>s</w:t>
      </w:r>
    </w:p>
    <w:p w14:paraId="01F2635A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AB7501">
        <w:t>Approach the meeting with a degree of flexibility</w:t>
      </w:r>
      <w:r w:rsidR="005146F7">
        <w:t>; s</w:t>
      </w:r>
      <w:r w:rsidRPr="00AB7501">
        <w:t>everal discussi</w:t>
      </w:r>
      <w:r w:rsidR="005146F7">
        <w:t>ons can be more useful than one</w:t>
      </w:r>
    </w:p>
    <w:p w14:paraId="4ADA3110" w14:textId="77777777" w:rsidR="00DC133E" w:rsidRDefault="00DC133E" w:rsidP="00360D33">
      <w:pPr>
        <w:pStyle w:val="ListParagraph"/>
        <w:numPr>
          <w:ilvl w:val="0"/>
          <w:numId w:val="15"/>
        </w:numPr>
      </w:pPr>
      <w:r w:rsidRPr="00AB7501">
        <w:lastRenderedPageBreak/>
        <w:t>Be clear on the goal of the meeting</w:t>
      </w:r>
      <w:r w:rsidR="005146F7">
        <w:t xml:space="preserve"> but flexible on the approach</w:t>
      </w:r>
    </w:p>
    <w:p w14:paraId="2F990397" w14:textId="77777777" w:rsidR="005146F7" w:rsidRDefault="005146F7" w:rsidP="00360D33">
      <w:pPr>
        <w:pStyle w:val="ListParagraph"/>
        <w:numPr>
          <w:ilvl w:val="0"/>
          <w:numId w:val="15"/>
        </w:numPr>
      </w:pPr>
      <w:r w:rsidRPr="005146F7">
        <w:t>Do not resort to using email to keep performance on track</w:t>
      </w:r>
      <w:r>
        <w:t xml:space="preserve"> - </w:t>
      </w:r>
      <w:r w:rsidR="00360D33">
        <w:t>w</w:t>
      </w:r>
      <w:r w:rsidRPr="005146F7">
        <w:t>ork performance issues need to be discussed, and the level of translation and understanding on the part of the staff member needs to be assessed and supported in discussion</w:t>
      </w:r>
    </w:p>
    <w:p w14:paraId="1C2B7AFE" w14:textId="6D1E76F3" w:rsidR="005146F7" w:rsidRPr="005146F7" w:rsidRDefault="005146F7" w:rsidP="00360D33">
      <w:pPr>
        <w:pStyle w:val="ListParagraph"/>
        <w:numPr>
          <w:ilvl w:val="0"/>
          <w:numId w:val="15"/>
        </w:numPr>
      </w:pPr>
      <w:r w:rsidRPr="005146F7">
        <w:t>Email is fine for confirmation of meeting points or for record-keeping after the d</w:t>
      </w:r>
      <w:r w:rsidR="00AC6315">
        <w:t>iscussion</w:t>
      </w:r>
    </w:p>
    <w:p w14:paraId="4B1A3285" w14:textId="3CA0090C" w:rsidR="00DC133E" w:rsidRPr="00246C44" w:rsidRDefault="00AC6315" w:rsidP="00360D33">
      <w:pPr>
        <w:pStyle w:val="Heading3"/>
      </w:pPr>
      <w:r>
        <w:t>First m</w:t>
      </w:r>
      <w:r w:rsidR="00DC133E" w:rsidRPr="00246C44">
        <w:t>eeting – Set expectations and find facts</w:t>
      </w:r>
    </w:p>
    <w:p w14:paraId="471106C3" w14:textId="77777777" w:rsidR="00360D33" w:rsidRPr="00E22FC1" w:rsidRDefault="00360D33" w:rsidP="00360D33">
      <w:pPr>
        <w:pStyle w:val="ListParagraph"/>
        <w:numPr>
          <w:ilvl w:val="0"/>
          <w:numId w:val="15"/>
        </w:numPr>
      </w:pPr>
      <w:r w:rsidRPr="00E22FC1">
        <w:t>Listen</w:t>
      </w:r>
    </w:p>
    <w:p w14:paraId="733D36A3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 xml:space="preserve">Create </w:t>
      </w:r>
      <w:r>
        <w:t>a</w:t>
      </w:r>
      <w:r w:rsidRPr="00C77BB4">
        <w:t xml:space="preserve"> positive environment</w:t>
      </w:r>
    </w:p>
    <w:p w14:paraId="0E65F637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>Keep the conversation positive and productive</w:t>
      </w:r>
    </w:p>
    <w:p w14:paraId="78A35E24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>Balance specific feedback on poor performance with specific feedback about things that have gone well</w:t>
      </w:r>
    </w:p>
    <w:p w14:paraId="2E5F73D4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 xml:space="preserve">Use </w:t>
      </w:r>
      <w:r w:rsidR="005146F7">
        <w:t xml:space="preserve">the </w:t>
      </w:r>
      <w:r w:rsidRPr="00C77BB4">
        <w:t>staff member’</w:t>
      </w:r>
      <w:r>
        <w:t>s one-page profile</w:t>
      </w:r>
    </w:p>
    <w:p w14:paraId="1EEB6376" w14:textId="77777777" w:rsidR="00DC133E" w:rsidRPr="00E22FC1" w:rsidRDefault="00DC133E" w:rsidP="00360D33">
      <w:pPr>
        <w:pStyle w:val="ListParagraph"/>
        <w:numPr>
          <w:ilvl w:val="0"/>
          <w:numId w:val="15"/>
        </w:numPr>
      </w:pPr>
      <w:r w:rsidRPr="00E22FC1">
        <w:t>Ask questions such as</w:t>
      </w:r>
      <w:r w:rsidR="005146F7">
        <w:t>,</w:t>
      </w:r>
      <w:r w:rsidRPr="00E22FC1">
        <w:t xml:space="preserve"> “Do you have what’s important to you at work?” and</w:t>
      </w:r>
      <w:r w:rsidR="005146F7">
        <w:t>,</w:t>
      </w:r>
      <w:r w:rsidRPr="00E22FC1">
        <w:t xml:space="preserve"> “Am I supporting you in the right way?”</w:t>
      </w:r>
    </w:p>
    <w:p w14:paraId="4753585E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E22FC1">
        <w:t>Reflect on results and performance</w:t>
      </w:r>
    </w:p>
    <w:p w14:paraId="6371F852" w14:textId="1EE1ECF9" w:rsidR="00DC133E" w:rsidRPr="00246C44" w:rsidRDefault="00AC6315" w:rsidP="00360D33">
      <w:pPr>
        <w:pStyle w:val="Heading3"/>
      </w:pPr>
      <w:r>
        <w:t>Second me</w:t>
      </w:r>
      <w:r w:rsidR="00DC133E" w:rsidRPr="00246C44">
        <w:t>eting - Finalise the review and assign performance ratings</w:t>
      </w:r>
    </w:p>
    <w:p w14:paraId="26504A64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 xml:space="preserve">Discuss </w:t>
      </w:r>
      <w:r>
        <w:t xml:space="preserve">the </w:t>
      </w:r>
      <w:r w:rsidRPr="00C77BB4">
        <w:t>review outcome</w:t>
      </w:r>
    </w:p>
    <w:p w14:paraId="7142A7AE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 xml:space="preserve">Agree </w:t>
      </w:r>
      <w:r>
        <w:t xml:space="preserve">on </w:t>
      </w:r>
      <w:r w:rsidRPr="00C77BB4">
        <w:t>development needs</w:t>
      </w:r>
      <w:r w:rsidR="005146F7">
        <w:t xml:space="preserve"> - t</w:t>
      </w:r>
      <w:r w:rsidRPr="00E22FC1">
        <w:t>hink of the development plan as a resource documenting agreed ways of closing a staff member’s skill gap and enhancing existing skills and strengths</w:t>
      </w:r>
    </w:p>
    <w:p w14:paraId="2527B7BF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>Review and develop performance measures for the next review period</w:t>
      </w:r>
    </w:p>
    <w:p w14:paraId="7FC0E5D6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>Review the existing Position Description to see if any adjustments</w:t>
      </w:r>
      <w:r>
        <w:t xml:space="preserve"> are</w:t>
      </w:r>
      <w:r w:rsidRPr="00C77BB4">
        <w:t xml:space="preserve"> required</w:t>
      </w:r>
    </w:p>
    <w:p w14:paraId="263E3F93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 xml:space="preserve">Encourage </w:t>
      </w:r>
      <w:r>
        <w:t xml:space="preserve">the </w:t>
      </w:r>
      <w:r w:rsidRPr="00C77BB4">
        <w:t>staff member to use the Workforce Capability Framework and the Disability Career Planner to support their own career planning</w:t>
      </w:r>
    </w:p>
    <w:p w14:paraId="3D19B58E" w14:textId="77777777" w:rsidR="00DC133E" w:rsidRPr="00246C44" w:rsidRDefault="005146F7" w:rsidP="00360D33">
      <w:pPr>
        <w:pStyle w:val="Heading3"/>
      </w:pPr>
      <w:r>
        <w:t>Next</w:t>
      </w:r>
    </w:p>
    <w:p w14:paraId="1E56E98C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5146F7">
        <w:t>Undertake follow-up or documentation required</w:t>
      </w:r>
    </w:p>
    <w:p w14:paraId="074A54FD" w14:textId="77777777" w:rsidR="00DC133E" w:rsidRPr="005146F7" w:rsidRDefault="00DC133E" w:rsidP="00360D33">
      <w:pPr>
        <w:pStyle w:val="ListParagraph"/>
        <w:numPr>
          <w:ilvl w:val="0"/>
          <w:numId w:val="15"/>
        </w:numPr>
      </w:pPr>
      <w:r w:rsidRPr="00C77BB4">
        <w:t xml:space="preserve">Prepare for </w:t>
      </w:r>
      <w:r>
        <w:t xml:space="preserve">the </w:t>
      </w:r>
      <w:r w:rsidRPr="00C77BB4">
        <w:t>next review period</w:t>
      </w:r>
    </w:p>
    <w:p w14:paraId="49AB1912" w14:textId="77777777" w:rsidR="00DE4A0F" w:rsidRDefault="00DE4A0F" w:rsidP="00360D33">
      <w:pPr>
        <w:pStyle w:val="Heading2"/>
      </w:pPr>
      <w:r>
        <w:t>What if someone is not performing to expectations?</w:t>
      </w:r>
    </w:p>
    <w:p w14:paraId="43ED92FE" w14:textId="77777777" w:rsidR="00093FF0" w:rsidRPr="00360D33" w:rsidRDefault="005146F7" w:rsidP="00360D33">
      <w:r w:rsidRPr="00360D33">
        <w:t>The chance of a job fit mismatch between the staff member and their job is less likely i</w:t>
      </w:r>
      <w:r w:rsidR="00093FF0" w:rsidRPr="00360D33">
        <w:t xml:space="preserve">f </w:t>
      </w:r>
      <w:r w:rsidR="00511D52" w:rsidRPr="00360D33">
        <w:t xml:space="preserve">person-centred, values-based people management practices are used. This includes the approach taken to </w:t>
      </w:r>
      <w:r w:rsidR="006910D7" w:rsidRPr="00360D33">
        <w:t>job design</w:t>
      </w:r>
      <w:r w:rsidR="00093FF0" w:rsidRPr="00360D33">
        <w:t xml:space="preserve">, </w:t>
      </w:r>
      <w:r w:rsidR="006910D7" w:rsidRPr="00360D33">
        <w:t>p</w:t>
      </w:r>
      <w:r w:rsidR="00093FF0" w:rsidRPr="00360D33">
        <w:t>osition description</w:t>
      </w:r>
      <w:r w:rsidR="00511D52" w:rsidRPr="00360D33">
        <w:t xml:space="preserve"> development</w:t>
      </w:r>
      <w:r w:rsidR="00093FF0" w:rsidRPr="00360D33">
        <w:t>, recruit</w:t>
      </w:r>
      <w:r w:rsidR="006910D7" w:rsidRPr="00360D33">
        <w:t>ment</w:t>
      </w:r>
      <w:r w:rsidR="00093FF0" w:rsidRPr="00360D33">
        <w:t>, induct</w:t>
      </w:r>
      <w:r w:rsidR="006910D7" w:rsidRPr="00360D33">
        <w:t>ion</w:t>
      </w:r>
      <w:r w:rsidR="00511D52" w:rsidRPr="00360D33">
        <w:t>, supervision and performance appraisal, and performance management</w:t>
      </w:r>
      <w:r w:rsidR="00093FF0" w:rsidRPr="00360D33">
        <w:t>.</w:t>
      </w:r>
    </w:p>
    <w:p w14:paraId="0C2CF0BF" w14:textId="6050BDDE" w:rsidR="00093FF0" w:rsidRDefault="00093FF0" w:rsidP="00360D33">
      <w:r>
        <w:t>When a person begins employment, ongoing supervision and performance appraisal conversations set the tone for a positive and productive person-centred work environment and model person-centred service delivery.</w:t>
      </w:r>
      <w:r w:rsidR="006910D7">
        <w:t xml:space="preserve"> Once again</w:t>
      </w:r>
      <w:r w:rsidR="00AC6315">
        <w:t>,</w:t>
      </w:r>
      <w:r w:rsidR="006910D7">
        <w:t xml:space="preserve"> the risk of poor performance lessens to the degree that a positive work environment influences positive work performance.</w:t>
      </w:r>
    </w:p>
    <w:p w14:paraId="331C7407" w14:textId="4B84A468" w:rsidR="00093FF0" w:rsidRDefault="00093FF0" w:rsidP="00360D33">
      <w:r>
        <w:t xml:space="preserve">Performance management </w:t>
      </w:r>
      <w:r w:rsidR="006910D7">
        <w:t>meetings</w:t>
      </w:r>
      <w:r w:rsidR="009E7B35">
        <w:t xml:space="preserve"> support</w:t>
      </w:r>
      <w:r>
        <w:t xml:space="preserve"> clear exploration, agreement and articulation of performance expectations and the capab</w:t>
      </w:r>
      <w:r w:rsidR="009E7B35">
        <w:t>ilities</w:t>
      </w:r>
      <w:r w:rsidR="006910D7">
        <w:t xml:space="preserve"> required to perform well</w:t>
      </w:r>
      <w:r w:rsidR="00AC6315">
        <w:t>.</w:t>
      </w:r>
      <w:r w:rsidR="006910D7">
        <w:t xml:space="preserve"> </w:t>
      </w:r>
      <w:r w:rsidR="009E7B35">
        <w:t xml:space="preserve">They are held </w:t>
      </w:r>
      <w:r w:rsidR="006910D7">
        <w:t>at pre-</w:t>
      </w:r>
      <w:r w:rsidR="006910D7">
        <w:lastRenderedPageBreak/>
        <w:t>determined intervals through</w:t>
      </w:r>
      <w:r w:rsidR="00AC6315">
        <w:t>out</w:t>
      </w:r>
      <w:r w:rsidR="006910D7">
        <w:t xml:space="preserve"> the year. How often depends on the person’s role, the performance goals and targets and capability development needs.</w:t>
      </w:r>
    </w:p>
    <w:p w14:paraId="659C0390" w14:textId="77777777" w:rsidR="00093FF0" w:rsidRDefault="006910D7" w:rsidP="00360D33">
      <w:r>
        <w:t>If</w:t>
      </w:r>
      <w:r w:rsidR="00093FF0">
        <w:t xml:space="preserve"> someone is underperforming, this framework provides a </w:t>
      </w:r>
      <w:r w:rsidR="00511D52">
        <w:t>holistic</w:t>
      </w:r>
      <w:r w:rsidR="00093FF0">
        <w:t xml:space="preserve"> way of discussing, addressing and planning for performance success</w:t>
      </w:r>
      <w:r>
        <w:t xml:space="preserve"> by focusing on required capabilities to fill the position requirements</w:t>
      </w:r>
      <w:r w:rsidR="00093FF0">
        <w:t>.</w:t>
      </w:r>
    </w:p>
    <w:p w14:paraId="2D418F0B" w14:textId="497855A1" w:rsidR="006910D7" w:rsidRDefault="006910D7" w:rsidP="00360D33">
      <w:r>
        <w:t>In this way, the chances of an employee collabor</w:t>
      </w:r>
      <w:r w:rsidR="00AC6315">
        <w:t>atively identifying and problem-</w:t>
      </w:r>
      <w:r>
        <w:t>solving performance issues are greatly enhanced.</w:t>
      </w:r>
    </w:p>
    <w:p w14:paraId="471969C5" w14:textId="5CC331F9" w:rsidR="00DE4A0F" w:rsidRPr="005B6008" w:rsidRDefault="00AC6315" w:rsidP="00360D33">
      <w:r>
        <w:t>S</w:t>
      </w:r>
      <w:r w:rsidR="00093FF0">
        <w:t xml:space="preserve">hould </w:t>
      </w:r>
      <w:r w:rsidR="006910D7">
        <w:t xml:space="preserve">deeper issues of performance concern arise, the employee identifies they are not suited for the role, or performance is consistently not meeting expectations, then </w:t>
      </w:r>
      <w:r w:rsidR="00511D52">
        <w:t>human resource</w:t>
      </w:r>
      <w:r w:rsidR="006910D7">
        <w:t xml:space="preserve"> advice </w:t>
      </w:r>
      <w:r w:rsidR="009E7B35">
        <w:t xml:space="preserve">and support </w:t>
      </w:r>
      <w:r w:rsidR="006910D7">
        <w:t xml:space="preserve">should be sought, perhaps including an appropriate workplace relations </w:t>
      </w:r>
      <w:r w:rsidR="00511D52">
        <w:t>process.</w:t>
      </w:r>
    </w:p>
    <w:p w14:paraId="34FB7D10" w14:textId="3AA412C2" w:rsidR="008B5C00" w:rsidRPr="00845311" w:rsidRDefault="00760CA2" w:rsidP="00360D33">
      <w:pPr>
        <w:pStyle w:val="Heading2"/>
      </w:pPr>
      <w:r>
        <w:t>If you want to know more</w:t>
      </w:r>
      <w:r w:rsidR="00AC6315">
        <w:t>:</w:t>
      </w:r>
    </w:p>
    <w:p w14:paraId="2EF9A821" w14:textId="77777777" w:rsidR="00360D33" w:rsidRDefault="0014470F" w:rsidP="003E20F3">
      <w:pPr>
        <w:pStyle w:val="ListParagraph"/>
        <w:numPr>
          <w:ilvl w:val="0"/>
          <w:numId w:val="22"/>
        </w:numPr>
        <w:rPr>
          <w:rStyle w:val="Heading3Char"/>
        </w:rPr>
      </w:pPr>
      <w:hyperlink r:id="rId8" w:history="1">
        <w:r w:rsidR="00360D33" w:rsidRPr="003E20F3">
          <w:rPr>
            <w:rStyle w:val="Hyperlink"/>
            <w:rFonts w:eastAsiaTheme="majorEastAsia" w:cstheme="majorBidi"/>
          </w:rPr>
          <w:t>Person-centred people management resources</w:t>
        </w:r>
      </w:hyperlink>
    </w:p>
    <w:p w14:paraId="3AB3C13F" w14:textId="76579FAC" w:rsidR="00360D33" w:rsidRDefault="00360D33" w:rsidP="00360D33">
      <w:r>
        <w:t>NDS, in partnership with He</w:t>
      </w:r>
      <w:r w:rsidR="00AC6315">
        <w:t>len Sanderson and Associates (global leader</w:t>
      </w:r>
      <w:r>
        <w:t xml:space="preserve"> in person-centred practices)</w:t>
      </w:r>
      <w:r w:rsidR="00AC6315">
        <w:t>,</w:t>
      </w:r>
      <w:r>
        <w:t xml:space="preserve"> has developed a range of person-centred people management resources. These include tools, tips, techniques and templates to support disability provid</w:t>
      </w:r>
      <w:r w:rsidR="00731CC4">
        <w:t>ers to implement this approach.</w:t>
      </w:r>
    </w:p>
    <w:p w14:paraId="1D095DC3" w14:textId="77777777" w:rsidR="00360D33" w:rsidRDefault="0014470F" w:rsidP="003E20F3">
      <w:pPr>
        <w:pStyle w:val="ListParagraph"/>
        <w:numPr>
          <w:ilvl w:val="0"/>
          <w:numId w:val="22"/>
        </w:numPr>
        <w:rPr>
          <w:rStyle w:val="Heading3Char"/>
        </w:rPr>
      </w:pPr>
      <w:hyperlink r:id="rId9" w:history="1">
        <w:r w:rsidR="00360D33" w:rsidRPr="003E20F3">
          <w:rPr>
            <w:rStyle w:val="Hyperlink"/>
            <w:rFonts w:eastAsiaTheme="majorEastAsia" w:cstheme="majorBidi"/>
          </w:rPr>
          <w:t>Disability sector Workforce Capability Framework</w:t>
        </w:r>
      </w:hyperlink>
    </w:p>
    <w:p w14:paraId="0B5ECD72" w14:textId="77777777" w:rsidR="00360D33" w:rsidRDefault="00360D33" w:rsidP="00360D33">
      <w:r>
        <w:t>The disability sector Workforce Capability Framework is a helpful for understanding the capability level required for various roles. This framework can also be used as the basis for job design, position description development and job grading.</w:t>
      </w:r>
    </w:p>
    <w:p w14:paraId="4EFC4C74" w14:textId="77777777" w:rsidR="00360D33" w:rsidRPr="003E20F3" w:rsidRDefault="0014470F" w:rsidP="003E20F3">
      <w:pPr>
        <w:pStyle w:val="ListParagraph"/>
        <w:numPr>
          <w:ilvl w:val="0"/>
          <w:numId w:val="22"/>
        </w:numPr>
        <w:rPr>
          <w:color w:val="365F91" w:themeColor="accent1" w:themeShade="BF"/>
        </w:rPr>
      </w:pPr>
      <w:hyperlink r:id="rId10" w:history="1">
        <w:r w:rsidR="00360D33" w:rsidRPr="003E20F3">
          <w:rPr>
            <w:rStyle w:val="Hyperlink"/>
            <w:rFonts w:eastAsiaTheme="majorEastAsia" w:cstheme="majorBidi"/>
          </w:rPr>
          <w:t>Helen Sanderson and Associates</w:t>
        </w:r>
        <w:r w:rsidR="00360D33" w:rsidRPr="00BB4B80">
          <w:rPr>
            <w:rStyle w:val="Hyperlink"/>
          </w:rPr>
          <w:t xml:space="preserve"> website</w:t>
        </w:r>
      </w:hyperlink>
    </w:p>
    <w:p w14:paraId="400DE744" w14:textId="77777777" w:rsidR="00360D33" w:rsidRPr="00BB4B80" w:rsidRDefault="00360D33" w:rsidP="00360D33">
      <w:r w:rsidRPr="00BB4B80">
        <w:t xml:space="preserve">Stirk, S. and Sanderson, H. (2012) </w:t>
      </w:r>
      <w:r>
        <w:t>‘</w:t>
      </w:r>
      <w:r w:rsidRPr="00BB4B80">
        <w:t>Creating person-centred organisations: Strategies and tools for managing change in health, socia</w:t>
      </w:r>
      <w:r>
        <w:t xml:space="preserve">l care and the voluntary sector’. </w:t>
      </w:r>
      <w:r w:rsidRPr="00BB4B80">
        <w:t xml:space="preserve">Jessica Kingsley Publishers: </w:t>
      </w:r>
      <w:r>
        <w:t>London, UK.</w:t>
      </w:r>
    </w:p>
    <w:p w14:paraId="706DEF78" w14:textId="77777777" w:rsidR="00360D33" w:rsidRDefault="00360D33" w:rsidP="00360D33">
      <w:r w:rsidRPr="00BB4B80">
        <w:t xml:space="preserve">Sanderson, H and Lepkowsky, M.B. </w:t>
      </w:r>
      <w:r>
        <w:t>(2014) ‘</w:t>
      </w:r>
      <w:r w:rsidRPr="00BB4B80">
        <w:t>Person-centred teams: A practical guide to delivering personalization through effective team-work</w:t>
      </w:r>
      <w:r>
        <w:t xml:space="preserve">’. </w:t>
      </w:r>
      <w:r w:rsidRPr="00BB4B80">
        <w:t>Jessica Kingsley Publishers: London</w:t>
      </w:r>
      <w:r>
        <w:t>, UK.</w:t>
      </w:r>
    </w:p>
    <w:p w14:paraId="4488D1A5" w14:textId="77777777" w:rsidR="007810F7" w:rsidRPr="007810F7" w:rsidRDefault="007810F7" w:rsidP="00360D33"/>
    <w:p w14:paraId="2B909DED" w14:textId="77777777" w:rsidR="00731CC4" w:rsidRDefault="00364DD9" w:rsidP="00360D33">
      <w:r w:rsidRPr="00364DD9">
        <w:t xml:space="preserve">This information sheet is part of a People and Culture </w:t>
      </w:r>
      <w:r w:rsidR="00731CC4">
        <w:t>Project</w:t>
      </w:r>
      <w:r w:rsidRPr="00364DD9">
        <w:t xml:space="preserve"> funded in 2017 by the Tasmani</w:t>
      </w:r>
      <w:r w:rsidR="00731CC4">
        <w:t>an Department of State Growth.</w:t>
      </w:r>
    </w:p>
    <w:p w14:paraId="4FDF74F1" w14:textId="5F240A57" w:rsidR="00B7283D" w:rsidRDefault="00364DD9" w:rsidP="00360D33">
      <w:r w:rsidRPr="00364DD9">
        <w:t xml:space="preserve">Search for People and Culture </w:t>
      </w:r>
      <w:r w:rsidR="00731CC4">
        <w:t>Project</w:t>
      </w:r>
      <w:r w:rsidRPr="00364DD9">
        <w:t xml:space="preserve"> if you wou</w:t>
      </w:r>
      <w:r w:rsidR="00B7283D">
        <w:t>ld like to see the full suite.</w:t>
      </w:r>
    </w:p>
    <w:p w14:paraId="04AD9DE0" w14:textId="415FBFC3" w:rsidR="00731CC4" w:rsidRDefault="00731CC4" w:rsidP="00360D33">
      <w:pPr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4AC1610F" wp14:editId="39DBD3F9">
            <wp:extent cx="3343275" cy="1114425"/>
            <wp:effectExtent l="0" t="0" r="9525" b="9525"/>
            <wp:docPr id="1" name="Picture 1" descr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manian Govern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F72D" w14:textId="77777777" w:rsidR="00360D33" w:rsidRPr="00BB4B80" w:rsidRDefault="00360D33" w:rsidP="00360D33">
      <w:pPr>
        <w:rPr>
          <w:b/>
        </w:rPr>
      </w:pPr>
      <w:r w:rsidRPr="00BB4B80">
        <w:rPr>
          <w:b/>
        </w:rPr>
        <w:lastRenderedPageBreak/>
        <w:t>Contact us</w:t>
      </w:r>
    </w:p>
    <w:p w14:paraId="1C6BD132" w14:textId="77777777" w:rsidR="00731CC4" w:rsidRDefault="00360D33" w:rsidP="00360D33">
      <w:r w:rsidRPr="00154F2D">
        <w:t xml:space="preserve">Cath Ralston, </w:t>
      </w:r>
    </w:p>
    <w:p w14:paraId="7DE57F77" w14:textId="5D5383AC" w:rsidR="00760CA2" w:rsidRPr="00535408" w:rsidRDefault="00360D33" w:rsidP="00360D33">
      <w:r>
        <w:t>Senior Sector Development Consultant, NDS</w:t>
      </w:r>
      <w:r>
        <w:br/>
      </w:r>
      <w:hyperlink r:id="rId12" w:history="1">
        <w:r w:rsidRPr="00596EF2">
          <w:rPr>
            <w:rStyle w:val="Hyperlink"/>
          </w:rPr>
          <w:t>cath.ralston@nds.org.au</w:t>
        </w:r>
      </w:hyperlink>
      <w:r>
        <w:rPr>
          <w:rStyle w:val="Hyperlink"/>
        </w:rPr>
        <w:br/>
      </w:r>
      <w:r>
        <w:t>Phone: 03 6212 7305</w:t>
      </w:r>
      <w:r>
        <w:br/>
        <w:t>Mobile: 0427 645 142</w:t>
      </w:r>
      <w:bookmarkStart w:id="0" w:name="_GoBack"/>
      <w:bookmarkEnd w:id="0"/>
    </w:p>
    <w:sectPr w:rsidR="00760CA2" w:rsidRPr="00535408" w:rsidSect="00CD394A">
      <w:endnotePr>
        <w:numFmt w:val="decimal"/>
      </w:endnotePr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3AD17" w14:textId="77777777" w:rsidR="004720EE" w:rsidRDefault="004720EE" w:rsidP="00360D33">
      <w:r>
        <w:separator/>
      </w:r>
    </w:p>
  </w:endnote>
  <w:endnote w:type="continuationSeparator" w:id="0">
    <w:p w14:paraId="422BC91D" w14:textId="77777777" w:rsidR="004720EE" w:rsidRDefault="004720EE" w:rsidP="0036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7FDD3" w14:textId="77777777" w:rsidR="004720EE" w:rsidRDefault="004720EE" w:rsidP="00360D33">
      <w:r>
        <w:separator/>
      </w:r>
    </w:p>
  </w:footnote>
  <w:footnote w:type="continuationSeparator" w:id="0">
    <w:p w14:paraId="3EF23706" w14:textId="77777777" w:rsidR="004720EE" w:rsidRDefault="004720EE" w:rsidP="0036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E7"/>
    <w:multiLevelType w:val="hybridMultilevel"/>
    <w:tmpl w:val="AD94934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682573F"/>
    <w:multiLevelType w:val="hybridMultilevel"/>
    <w:tmpl w:val="B84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A01A2"/>
    <w:multiLevelType w:val="hybridMultilevel"/>
    <w:tmpl w:val="875A1A50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0F4913E1"/>
    <w:multiLevelType w:val="hybridMultilevel"/>
    <w:tmpl w:val="8A6244B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3EA1B54"/>
    <w:multiLevelType w:val="hybridMultilevel"/>
    <w:tmpl w:val="E160C6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31809"/>
    <w:multiLevelType w:val="hybridMultilevel"/>
    <w:tmpl w:val="7A1E697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5816E7B"/>
    <w:multiLevelType w:val="hybridMultilevel"/>
    <w:tmpl w:val="429A7B5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E1A6232"/>
    <w:multiLevelType w:val="hybridMultilevel"/>
    <w:tmpl w:val="D2C43C9A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8">
    <w:nsid w:val="3196789C"/>
    <w:multiLevelType w:val="hybridMultilevel"/>
    <w:tmpl w:val="B4C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7E0D"/>
    <w:multiLevelType w:val="hybridMultilevel"/>
    <w:tmpl w:val="1DF6B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F4A3E"/>
    <w:multiLevelType w:val="hybridMultilevel"/>
    <w:tmpl w:val="E3C6AF52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756D4"/>
    <w:multiLevelType w:val="hybridMultilevel"/>
    <w:tmpl w:val="BA88658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94361B2"/>
    <w:multiLevelType w:val="hybridMultilevel"/>
    <w:tmpl w:val="5D0E3BDC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C65E6"/>
    <w:multiLevelType w:val="hybridMultilevel"/>
    <w:tmpl w:val="DB2A71A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54E8165F"/>
    <w:multiLevelType w:val="hybridMultilevel"/>
    <w:tmpl w:val="E56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1CA3"/>
    <w:multiLevelType w:val="hybridMultilevel"/>
    <w:tmpl w:val="AB8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4EBB"/>
    <w:multiLevelType w:val="hybridMultilevel"/>
    <w:tmpl w:val="68B68DC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0072A2B"/>
    <w:multiLevelType w:val="hybridMultilevel"/>
    <w:tmpl w:val="2330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9327C"/>
    <w:multiLevelType w:val="hybridMultilevel"/>
    <w:tmpl w:val="92E49EF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6FD16C1F"/>
    <w:multiLevelType w:val="hybridMultilevel"/>
    <w:tmpl w:val="6288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C4508"/>
    <w:multiLevelType w:val="hybridMultilevel"/>
    <w:tmpl w:val="712E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076DE"/>
    <w:multiLevelType w:val="hybridMultilevel"/>
    <w:tmpl w:val="F948D78C"/>
    <w:lvl w:ilvl="0" w:tplc="44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21"/>
  </w:num>
  <w:num w:numId="13">
    <w:abstractNumId w:val="14"/>
  </w:num>
  <w:num w:numId="14">
    <w:abstractNumId w:val="8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C"/>
    <w:rsid w:val="00093BA4"/>
    <w:rsid w:val="00093FF0"/>
    <w:rsid w:val="000C32C0"/>
    <w:rsid w:val="000F1A04"/>
    <w:rsid w:val="001428A0"/>
    <w:rsid w:val="0014470F"/>
    <w:rsid w:val="00154F2D"/>
    <w:rsid w:val="00196F3D"/>
    <w:rsid w:val="001D62BD"/>
    <w:rsid w:val="00260E47"/>
    <w:rsid w:val="0032536F"/>
    <w:rsid w:val="00341F8B"/>
    <w:rsid w:val="00360D33"/>
    <w:rsid w:val="00361031"/>
    <w:rsid w:val="00364DD9"/>
    <w:rsid w:val="003E20F3"/>
    <w:rsid w:val="00436E91"/>
    <w:rsid w:val="00443FC4"/>
    <w:rsid w:val="00467B00"/>
    <w:rsid w:val="004720EE"/>
    <w:rsid w:val="00480C02"/>
    <w:rsid w:val="004935AE"/>
    <w:rsid w:val="00511D52"/>
    <w:rsid w:val="005146F7"/>
    <w:rsid w:val="00522B64"/>
    <w:rsid w:val="00535408"/>
    <w:rsid w:val="005368ED"/>
    <w:rsid w:val="005A5E5B"/>
    <w:rsid w:val="005B538B"/>
    <w:rsid w:val="005B6008"/>
    <w:rsid w:val="006910D7"/>
    <w:rsid w:val="00707928"/>
    <w:rsid w:val="00731CC4"/>
    <w:rsid w:val="00746C7F"/>
    <w:rsid w:val="00760CA2"/>
    <w:rsid w:val="0077015A"/>
    <w:rsid w:val="007810F7"/>
    <w:rsid w:val="007F3BF4"/>
    <w:rsid w:val="00845311"/>
    <w:rsid w:val="00845C51"/>
    <w:rsid w:val="00877D91"/>
    <w:rsid w:val="00890D97"/>
    <w:rsid w:val="008B0282"/>
    <w:rsid w:val="008B5C00"/>
    <w:rsid w:val="008D74F0"/>
    <w:rsid w:val="009533D2"/>
    <w:rsid w:val="00971F7D"/>
    <w:rsid w:val="009764CC"/>
    <w:rsid w:val="009E7B35"/>
    <w:rsid w:val="009F0C9A"/>
    <w:rsid w:val="00A339E4"/>
    <w:rsid w:val="00A945D1"/>
    <w:rsid w:val="00AB7501"/>
    <w:rsid w:val="00AC6315"/>
    <w:rsid w:val="00B177B1"/>
    <w:rsid w:val="00B24CAA"/>
    <w:rsid w:val="00B3555F"/>
    <w:rsid w:val="00B41D89"/>
    <w:rsid w:val="00B63DF2"/>
    <w:rsid w:val="00B7283D"/>
    <w:rsid w:val="00BA520A"/>
    <w:rsid w:val="00BF6F4D"/>
    <w:rsid w:val="00C275FE"/>
    <w:rsid w:val="00C82275"/>
    <w:rsid w:val="00CA4CB3"/>
    <w:rsid w:val="00CC48D9"/>
    <w:rsid w:val="00CD394A"/>
    <w:rsid w:val="00CE1312"/>
    <w:rsid w:val="00D25FA8"/>
    <w:rsid w:val="00D3688E"/>
    <w:rsid w:val="00D674FB"/>
    <w:rsid w:val="00D70D4C"/>
    <w:rsid w:val="00D84627"/>
    <w:rsid w:val="00DC133E"/>
    <w:rsid w:val="00DE4A0F"/>
    <w:rsid w:val="00DF1C3A"/>
    <w:rsid w:val="00E47D7B"/>
    <w:rsid w:val="00E73CFD"/>
    <w:rsid w:val="00E871B0"/>
    <w:rsid w:val="00ED6714"/>
    <w:rsid w:val="00F252E7"/>
    <w:rsid w:val="00F414E1"/>
    <w:rsid w:val="00F9432B"/>
    <w:rsid w:val="00F9646E"/>
    <w:rsid w:val="00FB68E1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702B0"/>
  <w14:defaultImageDpi w14:val="300"/>
  <w15:docId w15:val="{42AC7D83-1752-48E9-80EA-5FAF042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33"/>
    <w:pPr>
      <w:spacing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83D"/>
    <w:pPr>
      <w:keepNext/>
      <w:keepLines/>
      <w:spacing w:before="120"/>
      <w:outlineLvl w:val="0"/>
    </w:pPr>
    <w:rPr>
      <w:rFonts w:eastAsiaTheme="majorEastAsia"/>
      <w:b/>
      <w:color w:val="365F91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83D"/>
    <w:pPr>
      <w:keepNext/>
      <w:keepLines/>
      <w:spacing w:before="120"/>
      <w:outlineLvl w:val="1"/>
    </w:pPr>
    <w:rPr>
      <w:rFonts w:eastAsiaTheme="majorEastAsia" w:cstheme="majorBidi"/>
      <w:b/>
      <w:bCs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83D"/>
    <w:pPr>
      <w:keepNext/>
      <w:keepLines/>
      <w:spacing w:before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64CC"/>
  </w:style>
  <w:style w:type="character" w:customStyle="1" w:styleId="FootnoteTextChar">
    <w:name w:val="Footnote Text Char"/>
    <w:basedOn w:val="DefaultParagraphFont"/>
    <w:link w:val="FootnoteText"/>
    <w:uiPriority w:val="99"/>
    <w:rsid w:val="009764CC"/>
  </w:style>
  <w:style w:type="character" w:styleId="FootnoteReference">
    <w:name w:val="footnote reference"/>
    <w:basedOn w:val="DefaultParagraphFont"/>
    <w:uiPriority w:val="99"/>
    <w:unhideWhenUsed/>
    <w:rsid w:val="009764C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64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76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4F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D62BD"/>
  </w:style>
  <w:style w:type="character" w:customStyle="1" w:styleId="EndnoteTextChar">
    <w:name w:val="Endnote Text Char"/>
    <w:basedOn w:val="DefaultParagraphFont"/>
    <w:link w:val="EndnoteText"/>
    <w:uiPriority w:val="99"/>
    <w:rsid w:val="001D62BD"/>
  </w:style>
  <w:style w:type="character" w:styleId="EndnoteReference">
    <w:name w:val="endnote reference"/>
    <w:basedOn w:val="DefaultParagraphFont"/>
    <w:uiPriority w:val="99"/>
    <w:unhideWhenUsed/>
    <w:rsid w:val="001D62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5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83D"/>
    <w:rPr>
      <w:rFonts w:ascii="Arial" w:eastAsiaTheme="majorEastAsia" w:hAnsi="Arial" w:cs="Arial"/>
      <w:b/>
      <w:color w:val="365F91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83D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83D"/>
    <w:rPr>
      <w:rFonts w:ascii="Arial" w:eastAsiaTheme="majorEastAsia" w:hAnsi="Arial" w:cstheme="majorBidi"/>
      <w:b/>
      <w:b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45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careers.com.au/person-centred-people-management-resour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h.ralston@nd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helensandersonassociat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careers.com.au/page/workforce-capability-framework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163E-A11C-47F0-B155-57994C15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4FF5431B.dotm</Template>
  <TotalTime>4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Sinclair</dc:creator>
  <cp:keywords/>
  <dc:description/>
  <cp:lastModifiedBy>Indre McGlinn</cp:lastModifiedBy>
  <cp:revision>4</cp:revision>
  <cp:lastPrinted>2017-11-08T00:56:00Z</cp:lastPrinted>
  <dcterms:created xsi:type="dcterms:W3CDTF">2017-11-10T00:44:00Z</dcterms:created>
  <dcterms:modified xsi:type="dcterms:W3CDTF">2017-11-10T01:20:00Z</dcterms:modified>
</cp:coreProperties>
</file>