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4D7" w:rsidRPr="000851FE" w:rsidRDefault="009A1C04" w:rsidP="00A729E9">
      <w:pPr>
        <w:pStyle w:val="Title"/>
      </w:pPr>
      <w:bookmarkStart w:id="0" w:name="_GoBack"/>
      <w:bookmarkEnd w:id="0"/>
      <w:r w:rsidRPr="000851FE">
        <w:t xml:space="preserve">NDIS </w:t>
      </w:r>
      <w:r w:rsidR="009F1248" w:rsidRPr="000851FE">
        <w:t>Market Dynamics</w:t>
      </w:r>
      <w:r w:rsidR="005026BC" w:rsidRPr="000851FE">
        <w:t xml:space="preserve"> Study</w:t>
      </w:r>
    </w:p>
    <w:p w:rsidR="009F1248" w:rsidRPr="009A1C8E" w:rsidRDefault="009F1248" w:rsidP="00830706">
      <w:pPr>
        <w:pStyle w:val="Heading1"/>
      </w:pPr>
      <w:r w:rsidRPr="009A1C8E">
        <w:t>National Disability Services</w:t>
      </w:r>
    </w:p>
    <w:p w:rsidR="009F1248" w:rsidRPr="009A1C8E" w:rsidRDefault="001D0370" w:rsidP="00830706">
      <w:pPr>
        <w:pStyle w:val="Heading1"/>
      </w:pPr>
      <w:r w:rsidRPr="009A1C8E">
        <w:t xml:space="preserve">Victorian </w:t>
      </w:r>
      <w:r w:rsidR="009F1248" w:rsidRPr="009A1C8E">
        <w:t>NDIS Sector Development Project</w:t>
      </w:r>
    </w:p>
    <w:p w:rsidR="009F1248" w:rsidRPr="00A729E9" w:rsidRDefault="00A729E9" w:rsidP="00A729E9">
      <w:pPr>
        <w:spacing w:before="480"/>
        <w:rPr>
          <w:b/>
        </w:rPr>
      </w:pPr>
      <w:r w:rsidRPr="00A729E9">
        <w:rPr>
          <w:b/>
        </w:rPr>
        <w:t>April 2019</w:t>
      </w:r>
    </w:p>
    <w:p w:rsidR="00A729E9" w:rsidRPr="00283D84" w:rsidRDefault="00A729E9" w:rsidP="00A729E9">
      <w:pPr>
        <w:spacing w:before="480" w:after="120" w:line="276" w:lineRule="auto"/>
        <w:rPr>
          <w:color w:val="36576E" w:themeColor="accent1" w:themeShade="BF"/>
          <w:sz w:val="36"/>
          <w:szCs w:val="36"/>
        </w:rPr>
        <w:sectPr w:rsidR="00A729E9" w:rsidRPr="00283D84" w:rsidSect="00AC237C">
          <w:headerReference w:type="default" r:id="rId8"/>
          <w:footerReference w:type="default" r:id="rId9"/>
          <w:pgSz w:w="12240" w:h="15840"/>
          <w:pgMar w:top="1440" w:right="1440" w:bottom="1440" w:left="1440" w:header="720" w:footer="720" w:gutter="0"/>
          <w:cols w:space="720"/>
          <w:docGrid w:linePitch="360"/>
        </w:sectPr>
      </w:pPr>
    </w:p>
    <w:p w:rsidR="00570471" w:rsidRPr="00830706" w:rsidRDefault="00570471" w:rsidP="00830706">
      <w:pPr>
        <w:pStyle w:val="Heading1"/>
      </w:pPr>
      <w:bookmarkStart w:id="1" w:name="_Toc7614927"/>
      <w:bookmarkStart w:id="2" w:name="_Toc5290006"/>
      <w:bookmarkStart w:id="3" w:name="_Toc5290092"/>
      <w:bookmarkStart w:id="4" w:name="_Toc5308577"/>
      <w:bookmarkStart w:id="5" w:name="_Toc5860487"/>
      <w:bookmarkStart w:id="6" w:name="_Toc5860527"/>
      <w:bookmarkStart w:id="7" w:name="_Toc5978161"/>
      <w:r w:rsidRPr="00830706">
        <w:lastRenderedPageBreak/>
        <w:t>Publisher</w:t>
      </w:r>
      <w:bookmarkEnd w:id="1"/>
    </w:p>
    <w:p w:rsidR="00570471" w:rsidRPr="009A1C8E" w:rsidRDefault="00570471" w:rsidP="00A14F68">
      <w:pPr>
        <w:spacing w:before="120" w:after="120" w:line="276" w:lineRule="auto"/>
      </w:pPr>
      <w:r w:rsidRPr="009A1C8E">
        <w:t>National Disability Services</w:t>
      </w:r>
      <w:r w:rsidR="00C00CC5">
        <w:t>, April 2019</w:t>
      </w:r>
    </w:p>
    <w:p w:rsidR="00570471" w:rsidRPr="009A1C8E" w:rsidRDefault="00570471" w:rsidP="00A14F68">
      <w:pPr>
        <w:spacing w:before="120" w:after="120" w:line="276" w:lineRule="auto"/>
      </w:pPr>
      <w:r w:rsidRPr="009A1C8E">
        <w:t xml:space="preserve">Prepared by Zoe </w:t>
      </w:r>
      <w:proofErr w:type="spellStart"/>
      <w:r w:rsidRPr="009A1C8E">
        <w:t>Mathys</w:t>
      </w:r>
      <w:proofErr w:type="spellEnd"/>
      <w:r w:rsidRPr="009A1C8E">
        <w:t xml:space="preserve"> and Kate Randall</w:t>
      </w:r>
    </w:p>
    <w:p w:rsidR="00570471" w:rsidRPr="009A1C8E" w:rsidRDefault="002D37DC" w:rsidP="00A14F68">
      <w:pPr>
        <w:spacing w:before="120" w:after="120" w:line="276" w:lineRule="auto"/>
        <w:rPr>
          <w:rFonts w:cs="Arial"/>
        </w:rPr>
      </w:pPr>
      <w:hyperlink r:id="rId10" w:history="1">
        <w:r w:rsidR="00570471" w:rsidRPr="009A1C8E">
          <w:rPr>
            <w:rStyle w:val="Hyperlink"/>
            <w:rFonts w:cs="Arial"/>
          </w:rPr>
          <w:t>ndsvic@nds.org.au</w:t>
        </w:r>
      </w:hyperlink>
    </w:p>
    <w:p w:rsidR="00C97A5E" w:rsidRPr="009A1C8E" w:rsidRDefault="00C97A5E" w:rsidP="00A14F68">
      <w:pPr>
        <w:spacing w:before="120" w:after="120" w:line="276" w:lineRule="auto"/>
      </w:pPr>
      <w:r w:rsidRPr="009A1C8E">
        <w:t>All rights reserved. No part of this publication may be reproduced, distributed or transmitted in any form without the prior written permission of the publisher.</w:t>
      </w:r>
    </w:p>
    <w:p w:rsidR="00570471" w:rsidRPr="009A1C8E" w:rsidRDefault="00570471" w:rsidP="00830706">
      <w:pPr>
        <w:pStyle w:val="Heading1"/>
      </w:pPr>
      <w:bookmarkStart w:id="8" w:name="_Toc7614928"/>
      <w:r w:rsidRPr="009A1C8E">
        <w:t>Acknow</w:t>
      </w:r>
      <w:r w:rsidR="00C97A5E" w:rsidRPr="009A1C8E">
        <w:t>ledgements</w:t>
      </w:r>
      <w:bookmarkEnd w:id="8"/>
    </w:p>
    <w:p w:rsidR="00570471" w:rsidRPr="009A1C8E" w:rsidRDefault="00570471" w:rsidP="00A14F68">
      <w:pPr>
        <w:spacing w:before="120" w:after="120" w:line="276" w:lineRule="auto"/>
      </w:pPr>
      <w:r w:rsidRPr="009A1C8E">
        <w:t xml:space="preserve">This </w:t>
      </w:r>
      <w:r w:rsidR="00C97A5E" w:rsidRPr="009A1C8E">
        <w:t xml:space="preserve">study </w:t>
      </w:r>
      <w:r w:rsidRPr="009A1C8E">
        <w:t>could not have been completed without significant input from other people and organisations. In particular we wish to acknowledge:</w:t>
      </w:r>
    </w:p>
    <w:p w:rsidR="00570471" w:rsidRPr="009A1C8E" w:rsidRDefault="00570471" w:rsidP="00A14F68">
      <w:pPr>
        <w:pStyle w:val="ListParagraph"/>
        <w:numPr>
          <w:ilvl w:val="0"/>
          <w:numId w:val="48"/>
        </w:numPr>
        <w:spacing w:before="120" w:after="120" w:line="276" w:lineRule="auto"/>
      </w:pPr>
      <w:r w:rsidRPr="009A1C8E">
        <w:t>Dr Jennifer Fitzgerald, Chief Executive Officer, Scope</w:t>
      </w:r>
      <w:r w:rsidR="00C97A5E" w:rsidRPr="009A1C8E">
        <w:t>;</w:t>
      </w:r>
    </w:p>
    <w:p w:rsidR="00570471" w:rsidRPr="009A1C8E" w:rsidRDefault="00570471" w:rsidP="00A14F68">
      <w:pPr>
        <w:pStyle w:val="ListParagraph"/>
        <w:numPr>
          <w:ilvl w:val="0"/>
          <w:numId w:val="48"/>
        </w:numPr>
        <w:spacing w:before="120" w:after="120" w:line="276" w:lineRule="auto"/>
      </w:pPr>
      <w:r w:rsidRPr="009A1C8E">
        <w:t>Lesley Reid, Senior Researcher/Data Manager, NDS</w:t>
      </w:r>
      <w:r w:rsidR="00C97A5E" w:rsidRPr="009A1C8E">
        <w:t>;</w:t>
      </w:r>
    </w:p>
    <w:p w:rsidR="00570471" w:rsidRPr="009A1C8E" w:rsidRDefault="00570471" w:rsidP="00A14F68">
      <w:pPr>
        <w:pStyle w:val="ListParagraph"/>
        <w:numPr>
          <w:ilvl w:val="0"/>
          <w:numId w:val="48"/>
        </w:numPr>
        <w:spacing w:before="120" w:after="120" w:line="276" w:lineRule="auto"/>
      </w:pPr>
      <w:r w:rsidRPr="009A1C8E">
        <w:t xml:space="preserve">Belinda </w:t>
      </w:r>
      <w:proofErr w:type="spellStart"/>
      <w:r w:rsidRPr="009A1C8E">
        <w:t>Wallin</w:t>
      </w:r>
      <w:proofErr w:type="spellEnd"/>
      <w:r w:rsidRPr="009A1C8E">
        <w:t>, Transition Fund Manager, NDS</w:t>
      </w:r>
      <w:r w:rsidR="00C97A5E" w:rsidRPr="009A1C8E">
        <w:t>;</w:t>
      </w:r>
    </w:p>
    <w:p w:rsidR="00570471" w:rsidRPr="009A1C8E" w:rsidRDefault="00570471" w:rsidP="00A14F68">
      <w:pPr>
        <w:pStyle w:val="ListParagraph"/>
        <w:numPr>
          <w:ilvl w:val="0"/>
          <w:numId w:val="48"/>
        </w:numPr>
        <w:spacing w:before="120" w:after="120" w:line="276" w:lineRule="auto"/>
      </w:pPr>
      <w:r w:rsidRPr="009A1C8E">
        <w:t>The many service providers who responded to various surveys</w:t>
      </w:r>
      <w:r w:rsidR="00C97A5E" w:rsidRPr="009A1C8E">
        <w:t>,</w:t>
      </w:r>
      <w:r w:rsidRPr="009A1C8E">
        <w:t xml:space="preserve"> and thus contributed to the data analysed in this report</w:t>
      </w:r>
      <w:r w:rsidR="00C97A5E" w:rsidRPr="009A1C8E">
        <w:t>; and</w:t>
      </w:r>
    </w:p>
    <w:p w:rsidR="00C97A5E" w:rsidRPr="009A1C8E" w:rsidRDefault="00C97A5E" w:rsidP="00A14F68">
      <w:pPr>
        <w:pStyle w:val="ListParagraph"/>
        <w:numPr>
          <w:ilvl w:val="0"/>
          <w:numId w:val="48"/>
        </w:numPr>
        <w:spacing w:before="120" w:after="120" w:line="276" w:lineRule="auto"/>
      </w:pPr>
      <w:r w:rsidRPr="009A1C8E">
        <w:t>The Victorian Government, for funding this study via the NDIS Transition Support Package.</w:t>
      </w:r>
    </w:p>
    <w:p w:rsidR="00570471" w:rsidRPr="009A1C8E" w:rsidRDefault="00570471" w:rsidP="00A14F68">
      <w:pPr>
        <w:spacing w:before="120" w:after="120" w:line="276" w:lineRule="auto"/>
        <w:rPr>
          <w:rFonts w:eastAsiaTheme="majorEastAsia"/>
          <w:color w:val="36576E" w:themeColor="accent1" w:themeShade="BF"/>
        </w:rPr>
      </w:pPr>
      <w:r w:rsidRPr="009A1C8E">
        <w:br w:type="page"/>
      </w:r>
    </w:p>
    <w:p w:rsidR="007E00BE" w:rsidRPr="005E0829" w:rsidRDefault="00740561" w:rsidP="00830706">
      <w:pPr>
        <w:pStyle w:val="Heading1"/>
        <w:rPr>
          <w:rFonts w:asciiTheme="minorHAnsi" w:eastAsiaTheme="minorEastAsia" w:hAnsiTheme="minorHAnsi" w:cstheme="minorBidi"/>
          <w:bCs/>
          <w:iCs/>
          <w:noProof/>
          <w:color w:val="497594" w:themeColor="accent1"/>
          <w:sz w:val="22"/>
          <w:szCs w:val="22"/>
          <w:lang w:eastAsia="en-AU"/>
        </w:rPr>
      </w:pPr>
      <w:bookmarkStart w:id="9" w:name="_Toc7614929"/>
      <w:r w:rsidRPr="000851FE">
        <w:lastRenderedPageBreak/>
        <w:t>Contents</w:t>
      </w:r>
      <w:bookmarkEnd w:id="2"/>
      <w:bookmarkEnd w:id="3"/>
      <w:bookmarkEnd w:id="4"/>
      <w:bookmarkEnd w:id="5"/>
      <w:bookmarkEnd w:id="6"/>
      <w:bookmarkEnd w:id="7"/>
      <w:bookmarkEnd w:id="9"/>
      <w:r w:rsidR="002D37DC" w:rsidRPr="002D37DC">
        <w:rPr>
          <w:color w:val="000000" w:themeColor="text1"/>
        </w:rPr>
        <w:fldChar w:fldCharType="begin"/>
      </w:r>
      <w:r w:rsidR="007E00BE">
        <w:instrText xml:space="preserve"> TOC \o "1-2" \h \z \u </w:instrText>
      </w:r>
      <w:r w:rsidR="002D37DC" w:rsidRPr="002D37DC">
        <w:rPr>
          <w:color w:val="000000" w:themeColor="text1"/>
        </w:rPr>
        <w:fldChar w:fldCharType="separate"/>
      </w:r>
    </w:p>
    <w:p w:rsidR="007E00BE" w:rsidRPr="005E0829" w:rsidRDefault="002D37DC" w:rsidP="005E0829">
      <w:pPr>
        <w:pStyle w:val="TOC1"/>
        <w:rPr>
          <w:rFonts w:asciiTheme="minorHAnsi" w:eastAsiaTheme="minorEastAsia" w:hAnsiTheme="minorHAnsi" w:cstheme="minorBidi"/>
          <w:sz w:val="22"/>
          <w:szCs w:val="22"/>
          <w:lang w:eastAsia="en-AU"/>
        </w:rPr>
      </w:pPr>
      <w:hyperlink w:anchor="_Toc7614930" w:history="1">
        <w:r w:rsidR="007E00BE" w:rsidRPr="005E0829">
          <w:rPr>
            <w:rStyle w:val="Hyperlink"/>
            <w:color w:val="497594" w:themeColor="accent1"/>
          </w:rPr>
          <w:t>Glossary</w:t>
        </w:r>
        <w:r w:rsidR="007E00BE" w:rsidRPr="005E0829">
          <w:rPr>
            <w:webHidden/>
          </w:rPr>
          <w:tab/>
        </w:r>
        <w:r w:rsidRPr="005E0829">
          <w:rPr>
            <w:webHidden/>
          </w:rPr>
          <w:fldChar w:fldCharType="begin"/>
        </w:r>
        <w:r w:rsidR="007E00BE" w:rsidRPr="005E0829">
          <w:rPr>
            <w:webHidden/>
          </w:rPr>
          <w:instrText xml:space="preserve"> PAGEREF _Toc7614930 \h </w:instrText>
        </w:r>
        <w:r w:rsidRPr="005E0829">
          <w:rPr>
            <w:webHidden/>
          </w:rPr>
        </w:r>
        <w:r w:rsidRPr="005E0829">
          <w:rPr>
            <w:webHidden/>
          </w:rPr>
          <w:fldChar w:fldCharType="separate"/>
        </w:r>
        <w:r w:rsidR="00004081">
          <w:rPr>
            <w:webHidden/>
          </w:rPr>
          <w:t>5</w:t>
        </w:r>
        <w:r w:rsidRPr="005E0829">
          <w:rPr>
            <w:webHidden/>
          </w:rPr>
          <w:fldChar w:fldCharType="end"/>
        </w:r>
      </w:hyperlink>
    </w:p>
    <w:p w:rsidR="007E00BE" w:rsidRPr="005E0829" w:rsidRDefault="002D37DC" w:rsidP="005E0829">
      <w:pPr>
        <w:pStyle w:val="TOC1"/>
        <w:rPr>
          <w:rFonts w:asciiTheme="minorHAnsi" w:eastAsiaTheme="minorEastAsia" w:hAnsiTheme="minorHAnsi" w:cstheme="minorBidi"/>
          <w:sz w:val="22"/>
          <w:szCs w:val="22"/>
          <w:lang w:eastAsia="en-AU"/>
        </w:rPr>
      </w:pPr>
      <w:hyperlink w:anchor="_Toc7614931" w:history="1">
        <w:r w:rsidR="007E00BE" w:rsidRPr="005E0829">
          <w:rPr>
            <w:rStyle w:val="Hyperlink"/>
            <w:color w:val="497594" w:themeColor="accent1"/>
          </w:rPr>
          <w:t>Executive summary</w:t>
        </w:r>
        <w:r w:rsidR="007E00BE" w:rsidRPr="005E0829">
          <w:rPr>
            <w:webHidden/>
          </w:rPr>
          <w:tab/>
        </w:r>
        <w:r w:rsidRPr="005E0829">
          <w:rPr>
            <w:webHidden/>
          </w:rPr>
          <w:fldChar w:fldCharType="begin"/>
        </w:r>
        <w:r w:rsidR="007E00BE" w:rsidRPr="005E0829">
          <w:rPr>
            <w:webHidden/>
          </w:rPr>
          <w:instrText xml:space="preserve"> PAGEREF _Toc7614931 \h </w:instrText>
        </w:r>
        <w:r w:rsidRPr="005E0829">
          <w:rPr>
            <w:webHidden/>
          </w:rPr>
        </w:r>
        <w:r w:rsidRPr="005E0829">
          <w:rPr>
            <w:webHidden/>
          </w:rPr>
          <w:fldChar w:fldCharType="separate"/>
        </w:r>
        <w:r w:rsidR="00004081">
          <w:rPr>
            <w:webHidden/>
          </w:rPr>
          <w:t>7</w:t>
        </w:r>
        <w:r w:rsidRPr="005E0829">
          <w:rPr>
            <w:webHidden/>
          </w:rPr>
          <w:fldChar w:fldCharType="end"/>
        </w:r>
      </w:hyperlink>
    </w:p>
    <w:p w:rsidR="007E00BE" w:rsidRPr="005E0829" w:rsidRDefault="002D37DC" w:rsidP="005E0829">
      <w:pPr>
        <w:pStyle w:val="TOC1"/>
        <w:rPr>
          <w:rFonts w:asciiTheme="minorHAnsi" w:eastAsiaTheme="minorEastAsia" w:hAnsiTheme="minorHAnsi" w:cstheme="minorBidi"/>
          <w:sz w:val="22"/>
          <w:szCs w:val="22"/>
          <w:lang w:eastAsia="en-AU"/>
        </w:rPr>
      </w:pPr>
      <w:hyperlink w:anchor="_Toc7614936" w:history="1">
        <w:r w:rsidR="007E00BE" w:rsidRPr="005E0829">
          <w:rPr>
            <w:rStyle w:val="Hyperlink"/>
            <w:b/>
            <w:color w:val="497594" w:themeColor="accent1"/>
          </w:rPr>
          <w:t>1 Introduction</w:t>
        </w:r>
        <w:r w:rsidR="007E00BE" w:rsidRPr="005E0829">
          <w:rPr>
            <w:webHidden/>
          </w:rPr>
          <w:tab/>
        </w:r>
        <w:r w:rsidRPr="005E0829">
          <w:rPr>
            <w:webHidden/>
          </w:rPr>
          <w:fldChar w:fldCharType="begin"/>
        </w:r>
        <w:r w:rsidR="007E00BE" w:rsidRPr="005E0829">
          <w:rPr>
            <w:webHidden/>
          </w:rPr>
          <w:instrText xml:space="preserve"> PAGEREF _Toc7614936 \h </w:instrText>
        </w:r>
        <w:r w:rsidRPr="005E0829">
          <w:rPr>
            <w:webHidden/>
          </w:rPr>
        </w:r>
        <w:r w:rsidRPr="005E0829">
          <w:rPr>
            <w:webHidden/>
          </w:rPr>
          <w:fldChar w:fldCharType="separate"/>
        </w:r>
        <w:r w:rsidR="00004081">
          <w:rPr>
            <w:webHidden/>
          </w:rPr>
          <w:t>13</w:t>
        </w:r>
        <w:r w:rsidRPr="005E0829">
          <w:rPr>
            <w:webHidden/>
          </w:rPr>
          <w:fldChar w:fldCharType="end"/>
        </w:r>
      </w:hyperlink>
    </w:p>
    <w:p w:rsidR="007E00BE" w:rsidRPr="005E0829" w:rsidRDefault="002D37DC" w:rsidP="00A14F68">
      <w:pPr>
        <w:pStyle w:val="TOC2"/>
        <w:tabs>
          <w:tab w:val="right" w:leader="dot" w:pos="9350"/>
        </w:tabs>
        <w:spacing w:after="120" w:line="276" w:lineRule="auto"/>
        <w:rPr>
          <w:rFonts w:asciiTheme="minorHAnsi" w:eastAsiaTheme="minorEastAsia" w:hAnsiTheme="minorHAnsi" w:cstheme="minorBidi"/>
          <w:bCs w:val="0"/>
          <w:noProof/>
          <w:color w:val="497594" w:themeColor="accent1"/>
          <w:szCs w:val="22"/>
          <w:lang w:eastAsia="en-AU"/>
        </w:rPr>
      </w:pPr>
      <w:hyperlink w:anchor="_Toc7614937" w:history="1">
        <w:r w:rsidR="007E00BE" w:rsidRPr="005E0829">
          <w:rPr>
            <w:rStyle w:val="Hyperlink"/>
            <w:noProof/>
            <w:color w:val="497594" w:themeColor="accent1"/>
          </w:rPr>
          <w:t>1.1 NDIS market context</w:t>
        </w:r>
        <w:r w:rsidR="007E00BE" w:rsidRPr="005E0829">
          <w:rPr>
            <w:noProof/>
            <w:webHidden/>
            <w:color w:val="497594" w:themeColor="accent1"/>
          </w:rPr>
          <w:tab/>
        </w:r>
        <w:r w:rsidRPr="005E0829">
          <w:rPr>
            <w:noProof/>
            <w:webHidden/>
            <w:color w:val="497594" w:themeColor="accent1"/>
          </w:rPr>
          <w:fldChar w:fldCharType="begin"/>
        </w:r>
        <w:r w:rsidR="007E00BE" w:rsidRPr="005E0829">
          <w:rPr>
            <w:noProof/>
            <w:webHidden/>
            <w:color w:val="497594" w:themeColor="accent1"/>
          </w:rPr>
          <w:instrText xml:space="preserve"> PAGEREF _Toc7614937 \h </w:instrText>
        </w:r>
        <w:r w:rsidRPr="005E0829">
          <w:rPr>
            <w:noProof/>
            <w:webHidden/>
            <w:color w:val="497594" w:themeColor="accent1"/>
          </w:rPr>
        </w:r>
        <w:r w:rsidRPr="005E0829">
          <w:rPr>
            <w:noProof/>
            <w:webHidden/>
            <w:color w:val="497594" w:themeColor="accent1"/>
          </w:rPr>
          <w:fldChar w:fldCharType="separate"/>
        </w:r>
        <w:r w:rsidR="00004081">
          <w:rPr>
            <w:noProof/>
            <w:webHidden/>
            <w:color w:val="497594" w:themeColor="accent1"/>
          </w:rPr>
          <w:t>13</w:t>
        </w:r>
        <w:r w:rsidRPr="005E0829">
          <w:rPr>
            <w:noProof/>
            <w:webHidden/>
            <w:color w:val="497594" w:themeColor="accent1"/>
          </w:rPr>
          <w:fldChar w:fldCharType="end"/>
        </w:r>
      </w:hyperlink>
    </w:p>
    <w:p w:rsidR="007E00BE" w:rsidRPr="005E0829" w:rsidRDefault="002D37DC" w:rsidP="00A14F68">
      <w:pPr>
        <w:pStyle w:val="TOC2"/>
        <w:tabs>
          <w:tab w:val="right" w:leader="dot" w:pos="9350"/>
        </w:tabs>
        <w:spacing w:after="120" w:line="276" w:lineRule="auto"/>
        <w:rPr>
          <w:rFonts w:asciiTheme="minorHAnsi" w:eastAsiaTheme="minorEastAsia" w:hAnsiTheme="minorHAnsi" w:cstheme="minorBidi"/>
          <w:bCs w:val="0"/>
          <w:noProof/>
          <w:color w:val="497594" w:themeColor="accent1"/>
          <w:szCs w:val="22"/>
          <w:lang w:eastAsia="en-AU"/>
        </w:rPr>
      </w:pPr>
      <w:hyperlink w:anchor="_Toc7614938" w:history="1">
        <w:r w:rsidR="007E00BE" w:rsidRPr="005E0829">
          <w:rPr>
            <w:rStyle w:val="Hyperlink"/>
            <w:noProof/>
            <w:color w:val="497594" w:themeColor="accent1"/>
          </w:rPr>
          <w:t>1.2 Thin markets and market failure</w:t>
        </w:r>
        <w:r w:rsidR="007E00BE" w:rsidRPr="005E0829">
          <w:rPr>
            <w:noProof/>
            <w:webHidden/>
            <w:color w:val="497594" w:themeColor="accent1"/>
          </w:rPr>
          <w:tab/>
        </w:r>
        <w:r w:rsidRPr="005E0829">
          <w:rPr>
            <w:noProof/>
            <w:webHidden/>
            <w:color w:val="497594" w:themeColor="accent1"/>
          </w:rPr>
          <w:fldChar w:fldCharType="begin"/>
        </w:r>
        <w:r w:rsidR="007E00BE" w:rsidRPr="005E0829">
          <w:rPr>
            <w:noProof/>
            <w:webHidden/>
            <w:color w:val="497594" w:themeColor="accent1"/>
          </w:rPr>
          <w:instrText xml:space="preserve"> PAGEREF _Toc7614938 \h </w:instrText>
        </w:r>
        <w:r w:rsidRPr="005E0829">
          <w:rPr>
            <w:noProof/>
            <w:webHidden/>
            <w:color w:val="497594" w:themeColor="accent1"/>
          </w:rPr>
        </w:r>
        <w:r w:rsidRPr="005E0829">
          <w:rPr>
            <w:noProof/>
            <w:webHidden/>
            <w:color w:val="497594" w:themeColor="accent1"/>
          </w:rPr>
          <w:fldChar w:fldCharType="separate"/>
        </w:r>
        <w:r w:rsidR="00004081">
          <w:rPr>
            <w:noProof/>
            <w:webHidden/>
            <w:color w:val="497594" w:themeColor="accent1"/>
          </w:rPr>
          <w:t>14</w:t>
        </w:r>
        <w:r w:rsidRPr="005E0829">
          <w:rPr>
            <w:noProof/>
            <w:webHidden/>
            <w:color w:val="497594" w:themeColor="accent1"/>
          </w:rPr>
          <w:fldChar w:fldCharType="end"/>
        </w:r>
      </w:hyperlink>
    </w:p>
    <w:p w:rsidR="007E00BE" w:rsidRPr="005E0829" w:rsidRDefault="002D37DC" w:rsidP="00A14F68">
      <w:pPr>
        <w:pStyle w:val="TOC2"/>
        <w:tabs>
          <w:tab w:val="right" w:leader="dot" w:pos="9350"/>
        </w:tabs>
        <w:spacing w:after="120" w:line="276" w:lineRule="auto"/>
        <w:rPr>
          <w:rFonts w:asciiTheme="minorHAnsi" w:eastAsiaTheme="minorEastAsia" w:hAnsiTheme="minorHAnsi" w:cstheme="minorBidi"/>
          <w:bCs w:val="0"/>
          <w:noProof/>
          <w:color w:val="497594" w:themeColor="accent1"/>
          <w:szCs w:val="22"/>
          <w:lang w:eastAsia="en-AU"/>
        </w:rPr>
      </w:pPr>
      <w:hyperlink w:anchor="_Toc7614939" w:history="1">
        <w:r w:rsidR="007E00BE" w:rsidRPr="005E0829">
          <w:rPr>
            <w:rStyle w:val="Hyperlink"/>
            <w:noProof/>
            <w:color w:val="497594" w:themeColor="accent1"/>
          </w:rPr>
          <w:t>1.3 Market stewardship</w:t>
        </w:r>
        <w:r w:rsidR="007E00BE" w:rsidRPr="005E0829">
          <w:rPr>
            <w:noProof/>
            <w:webHidden/>
            <w:color w:val="497594" w:themeColor="accent1"/>
          </w:rPr>
          <w:tab/>
        </w:r>
        <w:r w:rsidRPr="005E0829">
          <w:rPr>
            <w:noProof/>
            <w:webHidden/>
            <w:color w:val="497594" w:themeColor="accent1"/>
          </w:rPr>
          <w:fldChar w:fldCharType="begin"/>
        </w:r>
        <w:r w:rsidR="007E00BE" w:rsidRPr="005E0829">
          <w:rPr>
            <w:noProof/>
            <w:webHidden/>
            <w:color w:val="497594" w:themeColor="accent1"/>
          </w:rPr>
          <w:instrText xml:space="preserve"> PAGEREF _Toc7614939 \h </w:instrText>
        </w:r>
        <w:r w:rsidRPr="005E0829">
          <w:rPr>
            <w:noProof/>
            <w:webHidden/>
            <w:color w:val="497594" w:themeColor="accent1"/>
          </w:rPr>
        </w:r>
        <w:r w:rsidRPr="005E0829">
          <w:rPr>
            <w:noProof/>
            <w:webHidden/>
            <w:color w:val="497594" w:themeColor="accent1"/>
          </w:rPr>
          <w:fldChar w:fldCharType="separate"/>
        </w:r>
        <w:r w:rsidR="00004081">
          <w:rPr>
            <w:noProof/>
            <w:webHidden/>
            <w:color w:val="497594" w:themeColor="accent1"/>
          </w:rPr>
          <w:t>15</w:t>
        </w:r>
        <w:r w:rsidRPr="005E0829">
          <w:rPr>
            <w:noProof/>
            <w:webHidden/>
            <w:color w:val="497594" w:themeColor="accent1"/>
          </w:rPr>
          <w:fldChar w:fldCharType="end"/>
        </w:r>
      </w:hyperlink>
    </w:p>
    <w:p w:rsidR="007E00BE" w:rsidRPr="005E0829" w:rsidRDefault="002D37DC" w:rsidP="00A14F68">
      <w:pPr>
        <w:pStyle w:val="TOC2"/>
        <w:tabs>
          <w:tab w:val="right" w:leader="dot" w:pos="9350"/>
        </w:tabs>
        <w:spacing w:after="120" w:line="276" w:lineRule="auto"/>
        <w:rPr>
          <w:rFonts w:asciiTheme="minorHAnsi" w:eastAsiaTheme="minorEastAsia" w:hAnsiTheme="minorHAnsi" w:cstheme="minorBidi"/>
          <w:bCs w:val="0"/>
          <w:noProof/>
          <w:color w:val="497594" w:themeColor="accent1"/>
          <w:szCs w:val="22"/>
          <w:lang w:eastAsia="en-AU"/>
        </w:rPr>
      </w:pPr>
      <w:hyperlink w:anchor="_Toc7614940" w:history="1">
        <w:r w:rsidR="007E00BE" w:rsidRPr="005E0829">
          <w:rPr>
            <w:rStyle w:val="Hyperlink"/>
            <w:noProof/>
            <w:color w:val="497594" w:themeColor="accent1"/>
          </w:rPr>
          <w:t>1.4 Report purpose and structure</w:t>
        </w:r>
        <w:r w:rsidR="007E00BE" w:rsidRPr="005E0829">
          <w:rPr>
            <w:noProof/>
            <w:webHidden/>
            <w:color w:val="497594" w:themeColor="accent1"/>
          </w:rPr>
          <w:tab/>
        </w:r>
        <w:r w:rsidRPr="005E0829">
          <w:rPr>
            <w:noProof/>
            <w:webHidden/>
            <w:color w:val="497594" w:themeColor="accent1"/>
          </w:rPr>
          <w:fldChar w:fldCharType="begin"/>
        </w:r>
        <w:r w:rsidR="007E00BE" w:rsidRPr="005E0829">
          <w:rPr>
            <w:noProof/>
            <w:webHidden/>
            <w:color w:val="497594" w:themeColor="accent1"/>
          </w:rPr>
          <w:instrText xml:space="preserve"> PAGEREF _Toc7614940 \h </w:instrText>
        </w:r>
        <w:r w:rsidRPr="005E0829">
          <w:rPr>
            <w:noProof/>
            <w:webHidden/>
            <w:color w:val="497594" w:themeColor="accent1"/>
          </w:rPr>
        </w:r>
        <w:r w:rsidRPr="005E0829">
          <w:rPr>
            <w:noProof/>
            <w:webHidden/>
            <w:color w:val="497594" w:themeColor="accent1"/>
          </w:rPr>
          <w:fldChar w:fldCharType="separate"/>
        </w:r>
        <w:r w:rsidR="00004081">
          <w:rPr>
            <w:noProof/>
            <w:webHidden/>
            <w:color w:val="497594" w:themeColor="accent1"/>
          </w:rPr>
          <w:t>15</w:t>
        </w:r>
        <w:r w:rsidRPr="005E0829">
          <w:rPr>
            <w:noProof/>
            <w:webHidden/>
            <w:color w:val="497594" w:themeColor="accent1"/>
          </w:rPr>
          <w:fldChar w:fldCharType="end"/>
        </w:r>
      </w:hyperlink>
    </w:p>
    <w:p w:rsidR="007E00BE" w:rsidRPr="005E0829" w:rsidRDefault="002D37DC" w:rsidP="005E0829">
      <w:pPr>
        <w:pStyle w:val="TOC1"/>
        <w:rPr>
          <w:rFonts w:asciiTheme="minorHAnsi" w:eastAsiaTheme="minorEastAsia" w:hAnsiTheme="minorHAnsi" w:cstheme="minorBidi"/>
          <w:sz w:val="22"/>
          <w:szCs w:val="22"/>
          <w:lang w:eastAsia="en-AU"/>
        </w:rPr>
      </w:pPr>
      <w:hyperlink w:anchor="_Toc7614941" w:history="1">
        <w:r w:rsidR="007E00BE" w:rsidRPr="005E0829">
          <w:rPr>
            <w:rStyle w:val="Hyperlink"/>
            <w:b/>
            <w:color w:val="497594" w:themeColor="accent1"/>
          </w:rPr>
          <w:t>2 Methodology</w:t>
        </w:r>
        <w:r w:rsidR="007E00BE" w:rsidRPr="005E0829">
          <w:rPr>
            <w:webHidden/>
          </w:rPr>
          <w:tab/>
        </w:r>
        <w:r w:rsidRPr="005E0829">
          <w:rPr>
            <w:webHidden/>
          </w:rPr>
          <w:fldChar w:fldCharType="begin"/>
        </w:r>
        <w:r w:rsidR="007E00BE" w:rsidRPr="005E0829">
          <w:rPr>
            <w:webHidden/>
          </w:rPr>
          <w:instrText xml:space="preserve"> PAGEREF _Toc7614941 \h </w:instrText>
        </w:r>
        <w:r w:rsidRPr="005E0829">
          <w:rPr>
            <w:webHidden/>
          </w:rPr>
        </w:r>
        <w:r w:rsidRPr="005E0829">
          <w:rPr>
            <w:webHidden/>
          </w:rPr>
          <w:fldChar w:fldCharType="separate"/>
        </w:r>
        <w:r w:rsidR="00004081">
          <w:rPr>
            <w:webHidden/>
          </w:rPr>
          <w:t>17</w:t>
        </w:r>
        <w:r w:rsidRPr="005E0829">
          <w:rPr>
            <w:webHidden/>
          </w:rPr>
          <w:fldChar w:fldCharType="end"/>
        </w:r>
      </w:hyperlink>
    </w:p>
    <w:p w:rsidR="007E00BE" w:rsidRPr="005E0829" w:rsidRDefault="002D37DC" w:rsidP="005E0829">
      <w:pPr>
        <w:pStyle w:val="TOC1"/>
        <w:rPr>
          <w:rFonts w:asciiTheme="minorHAnsi" w:eastAsiaTheme="minorEastAsia" w:hAnsiTheme="minorHAnsi" w:cstheme="minorBidi"/>
          <w:sz w:val="22"/>
          <w:szCs w:val="22"/>
          <w:lang w:eastAsia="en-AU"/>
        </w:rPr>
      </w:pPr>
      <w:hyperlink w:anchor="_Toc7614942" w:history="1">
        <w:r w:rsidR="007E00BE" w:rsidRPr="005E0829">
          <w:rPr>
            <w:rStyle w:val="Hyperlink"/>
            <w:b/>
            <w:color w:val="497594" w:themeColor="accent1"/>
          </w:rPr>
          <w:t>3 Key factors influencing thin markets</w:t>
        </w:r>
        <w:r w:rsidR="007E00BE" w:rsidRPr="005E0829">
          <w:rPr>
            <w:webHidden/>
          </w:rPr>
          <w:tab/>
        </w:r>
        <w:r w:rsidRPr="005E0829">
          <w:rPr>
            <w:webHidden/>
          </w:rPr>
          <w:fldChar w:fldCharType="begin"/>
        </w:r>
        <w:r w:rsidR="007E00BE" w:rsidRPr="005E0829">
          <w:rPr>
            <w:webHidden/>
          </w:rPr>
          <w:instrText xml:space="preserve"> PAGEREF _Toc7614942 \h </w:instrText>
        </w:r>
        <w:r w:rsidRPr="005E0829">
          <w:rPr>
            <w:webHidden/>
          </w:rPr>
        </w:r>
        <w:r w:rsidRPr="005E0829">
          <w:rPr>
            <w:webHidden/>
          </w:rPr>
          <w:fldChar w:fldCharType="separate"/>
        </w:r>
        <w:r w:rsidR="00004081">
          <w:rPr>
            <w:webHidden/>
          </w:rPr>
          <w:t>18</w:t>
        </w:r>
        <w:r w:rsidRPr="005E0829">
          <w:rPr>
            <w:webHidden/>
          </w:rPr>
          <w:fldChar w:fldCharType="end"/>
        </w:r>
      </w:hyperlink>
    </w:p>
    <w:p w:rsidR="007E00BE" w:rsidRPr="005E0829" w:rsidRDefault="002D37DC" w:rsidP="00A14F68">
      <w:pPr>
        <w:pStyle w:val="TOC2"/>
        <w:tabs>
          <w:tab w:val="right" w:leader="dot" w:pos="9350"/>
        </w:tabs>
        <w:spacing w:after="120" w:line="276" w:lineRule="auto"/>
        <w:rPr>
          <w:rFonts w:asciiTheme="minorHAnsi" w:eastAsiaTheme="minorEastAsia" w:hAnsiTheme="minorHAnsi" w:cstheme="minorBidi"/>
          <w:bCs w:val="0"/>
          <w:noProof/>
          <w:color w:val="497594" w:themeColor="accent1"/>
          <w:szCs w:val="22"/>
          <w:lang w:eastAsia="en-AU"/>
        </w:rPr>
      </w:pPr>
      <w:hyperlink w:anchor="_Toc7614943" w:history="1">
        <w:r w:rsidR="007E00BE" w:rsidRPr="005E0829">
          <w:rPr>
            <w:rStyle w:val="Hyperlink"/>
            <w:noProof/>
            <w:color w:val="497594" w:themeColor="accent1"/>
          </w:rPr>
          <w:t>3.1 NDIS pricing</w:t>
        </w:r>
        <w:r w:rsidR="007E00BE" w:rsidRPr="005E0829">
          <w:rPr>
            <w:noProof/>
            <w:webHidden/>
            <w:color w:val="497594" w:themeColor="accent1"/>
          </w:rPr>
          <w:tab/>
        </w:r>
        <w:r w:rsidRPr="005E0829">
          <w:rPr>
            <w:noProof/>
            <w:webHidden/>
            <w:color w:val="497594" w:themeColor="accent1"/>
          </w:rPr>
          <w:fldChar w:fldCharType="begin"/>
        </w:r>
        <w:r w:rsidR="007E00BE" w:rsidRPr="005E0829">
          <w:rPr>
            <w:noProof/>
            <w:webHidden/>
            <w:color w:val="497594" w:themeColor="accent1"/>
          </w:rPr>
          <w:instrText xml:space="preserve"> PAGEREF _Toc7614943 \h </w:instrText>
        </w:r>
        <w:r w:rsidRPr="005E0829">
          <w:rPr>
            <w:noProof/>
            <w:webHidden/>
            <w:color w:val="497594" w:themeColor="accent1"/>
          </w:rPr>
        </w:r>
        <w:r w:rsidRPr="005E0829">
          <w:rPr>
            <w:noProof/>
            <w:webHidden/>
            <w:color w:val="497594" w:themeColor="accent1"/>
          </w:rPr>
          <w:fldChar w:fldCharType="separate"/>
        </w:r>
        <w:r w:rsidR="00004081">
          <w:rPr>
            <w:noProof/>
            <w:webHidden/>
            <w:color w:val="497594" w:themeColor="accent1"/>
          </w:rPr>
          <w:t>18</w:t>
        </w:r>
        <w:r w:rsidRPr="005E0829">
          <w:rPr>
            <w:noProof/>
            <w:webHidden/>
            <w:color w:val="497594" w:themeColor="accent1"/>
          </w:rPr>
          <w:fldChar w:fldCharType="end"/>
        </w:r>
      </w:hyperlink>
    </w:p>
    <w:p w:rsidR="007E00BE" w:rsidRPr="005E0829" w:rsidRDefault="002D37DC" w:rsidP="00A14F68">
      <w:pPr>
        <w:pStyle w:val="TOC2"/>
        <w:tabs>
          <w:tab w:val="right" w:leader="dot" w:pos="9350"/>
        </w:tabs>
        <w:spacing w:after="120" w:line="276" w:lineRule="auto"/>
        <w:rPr>
          <w:rFonts w:asciiTheme="minorHAnsi" w:eastAsiaTheme="minorEastAsia" w:hAnsiTheme="minorHAnsi" w:cstheme="minorBidi"/>
          <w:bCs w:val="0"/>
          <w:noProof/>
          <w:color w:val="497594" w:themeColor="accent1"/>
          <w:szCs w:val="22"/>
          <w:lang w:eastAsia="en-AU"/>
        </w:rPr>
      </w:pPr>
      <w:hyperlink w:anchor="_Toc7614944" w:history="1">
        <w:r w:rsidR="007E00BE" w:rsidRPr="005E0829">
          <w:rPr>
            <w:rStyle w:val="Hyperlink"/>
            <w:noProof/>
            <w:color w:val="497594" w:themeColor="accent1"/>
          </w:rPr>
          <w:t>3.2 Provider financial viability</w:t>
        </w:r>
        <w:r w:rsidR="007E00BE" w:rsidRPr="005E0829">
          <w:rPr>
            <w:noProof/>
            <w:webHidden/>
            <w:color w:val="497594" w:themeColor="accent1"/>
          </w:rPr>
          <w:tab/>
        </w:r>
        <w:r w:rsidRPr="005E0829">
          <w:rPr>
            <w:noProof/>
            <w:webHidden/>
            <w:color w:val="497594" w:themeColor="accent1"/>
          </w:rPr>
          <w:fldChar w:fldCharType="begin"/>
        </w:r>
        <w:r w:rsidR="007E00BE" w:rsidRPr="005E0829">
          <w:rPr>
            <w:noProof/>
            <w:webHidden/>
            <w:color w:val="497594" w:themeColor="accent1"/>
          </w:rPr>
          <w:instrText xml:space="preserve"> PAGEREF _Toc7614944 \h </w:instrText>
        </w:r>
        <w:r w:rsidRPr="005E0829">
          <w:rPr>
            <w:noProof/>
            <w:webHidden/>
            <w:color w:val="497594" w:themeColor="accent1"/>
          </w:rPr>
        </w:r>
        <w:r w:rsidRPr="005E0829">
          <w:rPr>
            <w:noProof/>
            <w:webHidden/>
            <w:color w:val="497594" w:themeColor="accent1"/>
          </w:rPr>
          <w:fldChar w:fldCharType="separate"/>
        </w:r>
        <w:r w:rsidR="00004081">
          <w:rPr>
            <w:noProof/>
            <w:webHidden/>
            <w:color w:val="497594" w:themeColor="accent1"/>
          </w:rPr>
          <w:t>20</w:t>
        </w:r>
        <w:r w:rsidRPr="005E0829">
          <w:rPr>
            <w:noProof/>
            <w:webHidden/>
            <w:color w:val="497594" w:themeColor="accent1"/>
          </w:rPr>
          <w:fldChar w:fldCharType="end"/>
        </w:r>
      </w:hyperlink>
    </w:p>
    <w:p w:rsidR="007E00BE" w:rsidRPr="005E0829" w:rsidRDefault="002D37DC" w:rsidP="00A14F68">
      <w:pPr>
        <w:pStyle w:val="TOC2"/>
        <w:tabs>
          <w:tab w:val="right" w:leader="dot" w:pos="9350"/>
        </w:tabs>
        <w:spacing w:after="120" w:line="276" w:lineRule="auto"/>
        <w:rPr>
          <w:rFonts w:asciiTheme="minorHAnsi" w:eastAsiaTheme="minorEastAsia" w:hAnsiTheme="minorHAnsi" w:cstheme="minorBidi"/>
          <w:bCs w:val="0"/>
          <w:noProof/>
          <w:color w:val="497594" w:themeColor="accent1"/>
          <w:szCs w:val="22"/>
          <w:lang w:eastAsia="en-AU"/>
        </w:rPr>
      </w:pPr>
      <w:hyperlink w:anchor="_Toc7614945" w:history="1">
        <w:r w:rsidR="007E00BE" w:rsidRPr="005E0829">
          <w:rPr>
            <w:rStyle w:val="Hyperlink"/>
            <w:noProof/>
            <w:color w:val="497594" w:themeColor="accent1"/>
          </w:rPr>
          <w:t>3.3 Disability workforce challenges</w:t>
        </w:r>
        <w:r w:rsidR="007E00BE" w:rsidRPr="005E0829">
          <w:rPr>
            <w:noProof/>
            <w:webHidden/>
            <w:color w:val="497594" w:themeColor="accent1"/>
          </w:rPr>
          <w:tab/>
        </w:r>
        <w:r w:rsidRPr="005E0829">
          <w:rPr>
            <w:noProof/>
            <w:webHidden/>
            <w:color w:val="497594" w:themeColor="accent1"/>
          </w:rPr>
          <w:fldChar w:fldCharType="begin"/>
        </w:r>
        <w:r w:rsidR="007E00BE" w:rsidRPr="005E0829">
          <w:rPr>
            <w:noProof/>
            <w:webHidden/>
            <w:color w:val="497594" w:themeColor="accent1"/>
          </w:rPr>
          <w:instrText xml:space="preserve"> PAGEREF _Toc7614945 \h </w:instrText>
        </w:r>
        <w:r w:rsidRPr="005E0829">
          <w:rPr>
            <w:noProof/>
            <w:webHidden/>
            <w:color w:val="497594" w:themeColor="accent1"/>
          </w:rPr>
        </w:r>
        <w:r w:rsidRPr="005E0829">
          <w:rPr>
            <w:noProof/>
            <w:webHidden/>
            <w:color w:val="497594" w:themeColor="accent1"/>
          </w:rPr>
          <w:fldChar w:fldCharType="separate"/>
        </w:r>
        <w:r w:rsidR="00004081">
          <w:rPr>
            <w:noProof/>
            <w:webHidden/>
            <w:color w:val="497594" w:themeColor="accent1"/>
          </w:rPr>
          <w:t>25</w:t>
        </w:r>
        <w:r w:rsidRPr="005E0829">
          <w:rPr>
            <w:noProof/>
            <w:webHidden/>
            <w:color w:val="497594" w:themeColor="accent1"/>
          </w:rPr>
          <w:fldChar w:fldCharType="end"/>
        </w:r>
      </w:hyperlink>
    </w:p>
    <w:p w:rsidR="007E00BE" w:rsidRPr="005E0829" w:rsidRDefault="002D37DC" w:rsidP="005E0829">
      <w:pPr>
        <w:pStyle w:val="TOC1"/>
        <w:rPr>
          <w:rFonts w:asciiTheme="minorHAnsi" w:eastAsiaTheme="minorEastAsia" w:hAnsiTheme="minorHAnsi" w:cstheme="minorBidi"/>
          <w:sz w:val="22"/>
          <w:szCs w:val="22"/>
          <w:lang w:eastAsia="en-AU"/>
        </w:rPr>
      </w:pPr>
      <w:hyperlink w:anchor="_Toc7614946" w:history="1">
        <w:r w:rsidR="007E00BE" w:rsidRPr="005E0829">
          <w:rPr>
            <w:rStyle w:val="Hyperlink"/>
            <w:b/>
            <w:color w:val="497594" w:themeColor="accent1"/>
          </w:rPr>
          <w:t>4 Propensity to discontinue</w:t>
        </w:r>
        <w:r w:rsidR="007E00BE" w:rsidRPr="005E0829">
          <w:rPr>
            <w:webHidden/>
          </w:rPr>
          <w:tab/>
        </w:r>
        <w:r w:rsidRPr="005E0829">
          <w:rPr>
            <w:webHidden/>
          </w:rPr>
          <w:fldChar w:fldCharType="begin"/>
        </w:r>
        <w:r w:rsidR="007E00BE" w:rsidRPr="005E0829">
          <w:rPr>
            <w:webHidden/>
          </w:rPr>
          <w:instrText xml:space="preserve"> PAGEREF _Toc7614946 \h </w:instrText>
        </w:r>
        <w:r w:rsidRPr="005E0829">
          <w:rPr>
            <w:webHidden/>
          </w:rPr>
        </w:r>
        <w:r w:rsidRPr="005E0829">
          <w:rPr>
            <w:webHidden/>
          </w:rPr>
          <w:fldChar w:fldCharType="separate"/>
        </w:r>
        <w:r w:rsidR="00004081">
          <w:rPr>
            <w:webHidden/>
          </w:rPr>
          <w:t>28</w:t>
        </w:r>
        <w:r w:rsidRPr="005E0829">
          <w:rPr>
            <w:webHidden/>
          </w:rPr>
          <w:fldChar w:fldCharType="end"/>
        </w:r>
      </w:hyperlink>
    </w:p>
    <w:p w:rsidR="007E00BE" w:rsidRPr="005E0829" w:rsidRDefault="002D37DC" w:rsidP="00A14F68">
      <w:pPr>
        <w:pStyle w:val="TOC2"/>
        <w:tabs>
          <w:tab w:val="right" w:leader="dot" w:pos="9350"/>
        </w:tabs>
        <w:spacing w:after="120" w:line="276" w:lineRule="auto"/>
        <w:rPr>
          <w:rFonts w:asciiTheme="minorHAnsi" w:eastAsiaTheme="minorEastAsia" w:hAnsiTheme="minorHAnsi" w:cstheme="minorBidi"/>
          <w:bCs w:val="0"/>
          <w:noProof/>
          <w:color w:val="497594" w:themeColor="accent1"/>
          <w:szCs w:val="22"/>
          <w:lang w:eastAsia="en-AU"/>
        </w:rPr>
      </w:pPr>
      <w:hyperlink w:anchor="_Toc7614947" w:history="1">
        <w:r w:rsidR="007E00BE" w:rsidRPr="005E0829">
          <w:rPr>
            <w:rStyle w:val="Hyperlink"/>
            <w:noProof/>
            <w:color w:val="497594" w:themeColor="accent1"/>
          </w:rPr>
          <w:t>4.1 Service level</w:t>
        </w:r>
        <w:r w:rsidR="007E00BE" w:rsidRPr="005E0829">
          <w:rPr>
            <w:noProof/>
            <w:webHidden/>
            <w:color w:val="497594" w:themeColor="accent1"/>
          </w:rPr>
          <w:tab/>
        </w:r>
        <w:r w:rsidRPr="005E0829">
          <w:rPr>
            <w:noProof/>
            <w:webHidden/>
            <w:color w:val="497594" w:themeColor="accent1"/>
          </w:rPr>
          <w:fldChar w:fldCharType="begin"/>
        </w:r>
        <w:r w:rsidR="007E00BE" w:rsidRPr="005E0829">
          <w:rPr>
            <w:noProof/>
            <w:webHidden/>
            <w:color w:val="497594" w:themeColor="accent1"/>
          </w:rPr>
          <w:instrText xml:space="preserve"> PAGEREF _Toc7614947 \h </w:instrText>
        </w:r>
        <w:r w:rsidRPr="005E0829">
          <w:rPr>
            <w:noProof/>
            <w:webHidden/>
            <w:color w:val="497594" w:themeColor="accent1"/>
          </w:rPr>
        </w:r>
        <w:r w:rsidRPr="005E0829">
          <w:rPr>
            <w:noProof/>
            <w:webHidden/>
            <w:color w:val="497594" w:themeColor="accent1"/>
          </w:rPr>
          <w:fldChar w:fldCharType="separate"/>
        </w:r>
        <w:r w:rsidR="00004081">
          <w:rPr>
            <w:noProof/>
            <w:webHidden/>
            <w:color w:val="497594" w:themeColor="accent1"/>
          </w:rPr>
          <w:t>28</w:t>
        </w:r>
        <w:r w:rsidRPr="005E0829">
          <w:rPr>
            <w:noProof/>
            <w:webHidden/>
            <w:color w:val="497594" w:themeColor="accent1"/>
          </w:rPr>
          <w:fldChar w:fldCharType="end"/>
        </w:r>
      </w:hyperlink>
    </w:p>
    <w:p w:rsidR="007E00BE" w:rsidRPr="005E0829" w:rsidRDefault="002D37DC" w:rsidP="00A14F68">
      <w:pPr>
        <w:pStyle w:val="TOC2"/>
        <w:tabs>
          <w:tab w:val="right" w:leader="dot" w:pos="9350"/>
        </w:tabs>
        <w:spacing w:after="120" w:line="276" w:lineRule="auto"/>
        <w:rPr>
          <w:rFonts w:asciiTheme="minorHAnsi" w:eastAsiaTheme="minorEastAsia" w:hAnsiTheme="minorHAnsi" w:cstheme="minorBidi"/>
          <w:bCs w:val="0"/>
          <w:noProof/>
          <w:color w:val="497594" w:themeColor="accent1"/>
          <w:szCs w:val="22"/>
          <w:lang w:eastAsia="en-AU"/>
        </w:rPr>
      </w:pPr>
      <w:hyperlink w:anchor="_Toc7614948" w:history="1">
        <w:r w:rsidR="007E00BE" w:rsidRPr="005E0829">
          <w:rPr>
            <w:rStyle w:val="Hyperlink"/>
            <w:noProof/>
            <w:color w:val="497594" w:themeColor="accent1"/>
          </w:rPr>
          <w:t>4.2 Organisation level</w:t>
        </w:r>
        <w:r w:rsidR="007E00BE" w:rsidRPr="005E0829">
          <w:rPr>
            <w:noProof/>
            <w:webHidden/>
            <w:color w:val="497594" w:themeColor="accent1"/>
          </w:rPr>
          <w:tab/>
        </w:r>
        <w:r w:rsidRPr="005E0829">
          <w:rPr>
            <w:noProof/>
            <w:webHidden/>
            <w:color w:val="497594" w:themeColor="accent1"/>
          </w:rPr>
          <w:fldChar w:fldCharType="begin"/>
        </w:r>
        <w:r w:rsidR="007E00BE" w:rsidRPr="005E0829">
          <w:rPr>
            <w:noProof/>
            <w:webHidden/>
            <w:color w:val="497594" w:themeColor="accent1"/>
          </w:rPr>
          <w:instrText xml:space="preserve"> PAGEREF _Toc7614948 \h </w:instrText>
        </w:r>
        <w:r w:rsidRPr="005E0829">
          <w:rPr>
            <w:noProof/>
            <w:webHidden/>
            <w:color w:val="497594" w:themeColor="accent1"/>
          </w:rPr>
        </w:r>
        <w:r w:rsidRPr="005E0829">
          <w:rPr>
            <w:noProof/>
            <w:webHidden/>
            <w:color w:val="497594" w:themeColor="accent1"/>
          </w:rPr>
          <w:fldChar w:fldCharType="separate"/>
        </w:r>
        <w:r w:rsidR="00004081">
          <w:rPr>
            <w:noProof/>
            <w:webHidden/>
            <w:color w:val="497594" w:themeColor="accent1"/>
          </w:rPr>
          <w:t>32</w:t>
        </w:r>
        <w:r w:rsidRPr="005E0829">
          <w:rPr>
            <w:noProof/>
            <w:webHidden/>
            <w:color w:val="497594" w:themeColor="accent1"/>
          </w:rPr>
          <w:fldChar w:fldCharType="end"/>
        </w:r>
      </w:hyperlink>
    </w:p>
    <w:p w:rsidR="007E00BE" w:rsidRPr="005E0829" w:rsidRDefault="002D37DC" w:rsidP="005E0829">
      <w:pPr>
        <w:pStyle w:val="TOC1"/>
        <w:rPr>
          <w:rFonts w:asciiTheme="minorHAnsi" w:eastAsiaTheme="minorEastAsia" w:hAnsiTheme="minorHAnsi" w:cstheme="minorBidi"/>
          <w:sz w:val="22"/>
          <w:szCs w:val="22"/>
          <w:lang w:eastAsia="en-AU"/>
        </w:rPr>
      </w:pPr>
      <w:hyperlink w:anchor="_Toc7614949" w:history="1">
        <w:r w:rsidR="007E00BE" w:rsidRPr="005E0829">
          <w:rPr>
            <w:rStyle w:val="Hyperlink"/>
            <w:b/>
            <w:color w:val="497594" w:themeColor="accent1"/>
          </w:rPr>
          <w:t>5 Discussion and mitigation strategies</w:t>
        </w:r>
        <w:r w:rsidR="007E00BE" w:rsidRPr="005E0829">
          <w:rPr>
            <w:webHidden/>
          </w:rPr>
          <w:tab/>
        </w:r>
        <w:r w:rsidRPr="005E0829">
          <w:rPr>
            <w:webHidden/>
          </w:rPr>
          <w:fldChar w:fldCharType="begin"/>
        </w:r>
        <w:r w:rsidR="007E00BE" w:rsidRPr="005E0829">
          <w:rPr>
            <w:webHidden/>
          </w:rPr>
          <w:instrText xml:space="preserve"> PAGEREF _Toc7614949 \h </w:instrText>
        </w:r>
        <w:r w:rsidRPr="005E0829">
          <w:rPr>
            <w:webHidden/>
          </w:rPr>
        </w:r>
        <w:r w:rsidRPr="005E0829">
          <w:rPr>
            <w:webHidden/>
          </w:rPr>
          <w:fldChar w:fldCharType="separate"/>
        </w:r>
        <w:r w:rsidR="00004081">
          <w:rPr>
            <w:webHidden/>
          </w:rPr>
          <w:t>34</w:t>
        </w:r>
        <w:r w:rsidRPr="005E0829">
          <w:rPr>
            <w:webHidden/>
          </w:rPr>
          <w:fldChar w:fldCharType="end"/>
        </w:r>
      </w:hyperlink>
    </w:p>
    <w:p w:rsidR="007E00BE" w:rsidRPr="005E0829" w:rsidRDefault="002D37DC" w:rsidP="00A14F68">
      <w:pPr>
        <w:pStyle w:val="TOC2"/>
        <w:tabs>
          <w:tab w:val="right" w:leader="dot" w:pos="9350"/>
        </w:tabs>
        <w:spacing w:after="120" w:line="276" w:lineRule="auto"/>
        <w:rPr>
          <w:rFonts w:asciiTheme="minorHAnsi" w:eastAsiaTheme="minorEastAsia" w:hAnsiTheme="minorHAnsi" w:cstheme="minorBidi"/>
          <w:bCs w:val="0"/>
          <w:noProof/>
          <w:color w:val="497594" w:themeColor="accent1"/>
          <w:szCs w:val="22"/>
          <w:lang w:eastAsia="en-AU"/>
        </w:rPr>
      </w:pPr>
      <w:hyperlink w:anchor="_Toc7614950" w:history="1">
        <w:r w:rsidR="007E00BE" w:rsidRPr="005E0829">
          <w:rPr>
            <w:rStyle w:val="Hyperlink"/>
            <w:noProof/>
            <w:color w:val="497594" w:themeColor="accent1"/>
          </w:rPr>
          <w:t>5.1 Impact of pricing – a key Government lever</w:t>
        </w:r>
        <w:r w:rsidR="007E00BE" w:rsidRPr="005E0829">
          <w:rPr>
            <w:noProof/>
            <w:webHidden/>
            <w:color w:val="497594" w:themeColor="accent1"/>
          </w:rPr>
          <w:tab/>
        </w:r>
        <w:r w:rsidRPr="005E0829">
          <w:rPr>
            <w:noProof/>
            <w:webHidden/>
            <w:color w:val="497594" w:themeColor="accent1"/>
          </w:rPr>
          <w:fldChar w:fldCharType="begin"/>
        </w:r>
        <w:r w:rsidR="007E00BE" w:rsidRPr="005E0829">
          <w:rPr>
            <w:noProof/>
            <w:webHidden/>
            <w:color w:val="497594" w:themeColor="accent1"/>
          </w:rPr>
          <w:instrText xml:space="preserve"> PAGEREF _Toc7614950 \h </w:instrText>
        </w:r>
        <w:r w:rsidRPr="005E0829">
          <w:rPr>
            <w:noProof/>
            <w:webHidden/>
            <w:color w:val="497594" w:themeColor="accent1"/>
          </w:rPr>
        </w:r>
        <w:r w:rsidRPr="005E0829">
          <w:rPr>
            <w:noProof/>
            <w:webHidden/>
            <w:color w:val="497594" w:themeColor="accent1"/>
          </w:rPr>
          <w:fldChar w:fldCharType="separate"/>
        </w:r>
        <w:r w:rsidR="00004081">
          <w:rPr>
            <w:noProof/>
            <w:webHidden/>
            <w:color w:val="497594" w:themeColor="accent1"/>
          </w:rPr>
          <w:t>35</w:t>
        </w:r>
        <w:r w:rsidRPr="005E0829">
          <w:rPr>
            <w:noProof/>
            <w:webHidden/>
            <w:color w:val="497594" w:themeColor="accent1"/>
          </w:rPr>
          <w:fldChar w:fldCharType="end"/>
        </w:r>
      </w:hyperlink>
    </w:p>
    <w:p w:rsidR="007E00BE" w:rsidRPr="005E0829" w:rsidRDefault="002D37DC" w:rsidP="00A14F68">
      <w:pPr>
        <w:pStyle w:val="TOC2"/>
        <w:tabs>
          <w:tab w:val="right" w:leader="dot" w:pos="9350"/>
        </w:tabs>
        <w:spacing w:after="120" w:line="276" w:lineRule="auto"/>
        <w:rPr>
          <w:rFonts w:asciiTheme="minorHAnsi" w:eastAsiaTheme="minorEastAsia" w:hAnsiTheme="minorHAnsi" w:cstheme="minorBidi"/>
          <w:bCs w:val="0"/>
          <w:noProof/>
          <w:color w:val="497594" w:themeColor="accent1"/>
          <w:szCs w:val="22"/>
          <w:lang w:eastAsia="en-AU"/>
        </w:rPr>
      </w:pPr>
      <w:hyperlink w:anchor="_Toc7614951" w:history="1">
        <w:r w:rsidR="007E00BE" w:rsidRPr="005E0829">
          <w:rPr>
            <w:rStyle w:val="Hyperlink"/>
            <w:noProof/>
            <w:color w:val="497594" w:themeColor="accent1"/>
          </w:rPr>
          <w:t>5.2 Provider financial viability</w:t>
        </w:r>
        <w:r w:rsidR="007E00BE" w:rsidRPr="005E0829">
          <w:rPr>
            <w:noProof/>
            <w:webHidden/>
            <w:color w:val="497594" w:themeColor="accent1"/>
          </w:rPr>
          <w:tab/>
        </w:r>
        <w:r w:rsidRPr="005E0829">
          <w:rPr>
            <w:noProof/>
            <w:webHidden/>
            <w:color w:val="497594" w:themeColor="accent1"/>
          </w:rPr>
          <w:fldChar w:fldCharType="begin"/>
        </w:r>
        <w:r w:rsidR="007E00BE" w:rsidRPr="005E0829">
          <w:rPr>
            <w:noProof/>
            <w:webHidden/>
            <w:color w:val="497594" w:themeColor="accent1"/>
          </w:rPr>
          <w:instrText xml:space="preserve"> PAGEREF _Toc7614951 \h </w:instrText>
        </w:r>
        <w:r w:rsidRPr="005E0829">
          <w:rPr>
            <w:noProof/>
            <w:webHidden/>
            <w:color w:val="497594" w:themeColor="accent1"/>
          </w:rPr>
        </w:r>
        <w:r w:rsidRPr="005E0829">
          <w:rPr>
            <w:noProof/>
            <w:webHidden/>
            <w:color w:val="497594" w:themeColor="accent1"/>
          </w:rPr>
          <w:fldChar w:fldCharType="separate"/>
        </w:r>
        <w:r w:rsidR="00004081">
          <w:rPr>
            <w:noProof/>
            <w:webHidden/>
            <w:color w:val="497594" w:themeColor="accent1"/>
          </w:rPr>
          <w:t>37</w:t>
        </w:r>
        <w:r w:rsidRPr="005E0829">
          <w:rPr>
            <w:noProof/>
            <w:webHidden/>
            <w:color w:val="497594" w:themeColor="accent1"/>
          </w:rPr>
          <w:fldChar w:fldCharType="end"/>
        </w:r>
      </w:hyperlink>
    </w:p>
    <w:p w:rsidR="007E00BE" w:rsidRPr="005E0829" w:rsidRDefault="002D37DC" w:rsidP="00A14F68">
      <w:pPr>
        <w:pStyle w:val="TOC2"/>
        <w:tabs>
          <w:tab w:val="right" w:leader="dot" w:pos="9350"/>
        </w:tabs>
        <w:spacing w:after="120" w:line="276" w:lineRule="auto"/>
        <w:rPr>
          <w:rFonts w:asciiTheme="minorHAnsi" w:eastAsiaTheme="minorEastAsia" w:hAnsiTheme="minorHAnsi" w:cstheme="minorBidi"/>
          <w:bCs w:val="0"/>
          <w:noProof/>
          <w:color w:val="497594" w:themeColor="accent1"/>
          <w:szCs w:val="22"/>
          <w:lang w:eastAsia="en-AU"/>
        </w:rPr>
      </w:pPr>
      <w:hyperlink w:anchor="_Toc7614952" w:history="1">
        <w:r w:rsidR="007E00BE" w:rsidRPr="005E0829">
          <w:rPr>
            <w:rStyle w:val="Hyperlink"/>
            <w:noProof/>
            <w:color w:val="497594" w:themeColor="accent1"/>
          </w:rPr>
          <w:t>5.3 Workforce sustainability challenges</w:t>
        </w:r>
        <w:r w:rsidR="007E00BE" w:rsidRPr="005E0829">
          <w:rPr>
            <w:noProof/>
            <w:webHidden/>
            <w:color w:val="497594" w:themeColor="accent1"/>
          </w:rPr>
          <w:tab/>
        </w:r>
        <w:r w:rsidRPr="005E0829">
          <w:rPr>
            <w:noProof/>
            <w:webHidden/>
            <w:color w:val="497594" w:themeColor="accent1"/>
          </w:rPr>
          <w:fldChar w:fldCharType="begin"/>
        </w:r>
        <w:r w:rsidR="007E00BE" w:rsidRPr="005E0829">
          <w:rPr>
            <w:noProof/>
            <w:webHidden/>
            <w:color w:val="497594" w:themeColor="accent1"/>
          </w:rPr>
          <w:instrText xml:space="preserve"> PAGEREF _Toc7614952 \h </w:instrText>
        </w:r>
        <w:r w:rsidRPr="005E0829">
          <w:rPr>
            <w:noProof/>
            <w:webHidden/>
            <w:color w:val="497594" w:themeColor="accent1"/>
          </w:rPr>
        </w:r>
        <w:r w:rsidRPr="005E0829">
          <w:rPr>
            <w:noProof/>
            <w:webHidden/>
            <w:color w:val="497594" w:themeColor="accent1"/>
          </w:rPr>
          <w:fldChar w:fldCharType="separate"/>
        </w:r>
        <w:r w:rsidR="00004081">
          <w:rPr>
            <w:noProof/>
            <w:webHidden/>
            <w:color w:val="497594" w:themeColor="accent1"/>
          </w:rPr>
          <w:t>39</w:t>
        </w:r>
        <w:r w:rsidRPr="005E0829">
          <w:rPr>
            <w:noProof/>
            <w:webHidden/>
            <w:color w:val="497594" w:themeColor="accent1"/>
          </w:rPr>
          <w:fldChar w:fldCharType="end"/>
        </w:r>
      </w:hyperlink>
    </w:p>
    <w:p w:rsidR="007E00BE" w:rsidRPr="005E0829" w:rsidRDefault="002D37DC" w:rsidP="00A14F68">
      <w:pPr>
        <w:pStyle w:val="TOC2"/>
        <w:tabs>
          <w:tab w:val="right" w:leader="dot" w:pos="9350"/>
        </w:tabs>
        <w:spacing w:after="120" w:line="276" w:lineRule="auto"/>
        <w:rPr>
          <w:rFonts w:asciiTheme="minorHAnsi" w:eastAsiaTheme="minorEastAsia" w:hAnsiTheme="minorHAnsi" w:cstheme="minorBidi"/>
          <w:bCs w:val="0"/>
          <w:noProof/>
          <w:color w:val="497594" w:themeColor="accent1"/>
          <w:szCs w:val="22"/>
          <w:lang w:eastAsia="en-AU"/>
        </w:rPr>
      </w:pPr>
      <w:hyperlink w:anchor="_Toc7614953" w:history="1">
        <w:r w:rsidR="007E00BE" w:rsidRPr="005E0829">
          <w:rPr>
            <w:rStyle w:val="Hyperlink"/>
            <w:noProof/>
            <w:color w:val="497594" w:themeColor="accent1"/>
          </w:rPr>
          <w:t>5.4 Discontinuing services</w:t>
        </w:r>
        <w:r w:rsidR="007E00BE" w:rsidRPr="005E0829">
          <w:rPr>
            <w:noProof/>
            <w:webHidden/>
            <w:color w:val="497594" w:themeColor="accent1"/>
          </w:rPr>
          <w:tab/>
        </w:r>
        <w:r w:rsidRPr="005E0829">
          <w:rPr>
            <w:noProof/>
            <w:webHidden/>
            <w:color w:val="497594" w:themeColor="accent1"/>
          </w:rPr>
          <w:fldChar w:fldCharType="begin"/>
        </w:r>
        <w:r w:rsidR="007E00BE" w:rsidRPr="005E0829">
          <w:rPr>
            <w:noProof/>
            <w:webHidden/>
            <w:color w:val="497594" w:themeColor="accent1"/>
          </w:rPr>
          <w:instrText xml:space="preserve"> PAGEREF _Toc7614953 \h </w:instrText>
        </w:r>
        <w:r w:rsidRPr="005E0829">
          <w:rPr>
            <w:noProof/>
            <w:webHidden/>
            <w:color w:val="497594" w:themeColor="accent1"/>
          </w:rPr>
        </w:r>
        <w:r w:rsidRPr="005E0829">
          <w:rPr>
            <w:noProof/>
            <w:webHidden/>
            <w:color w:val="497594" w:themeColor="accent1"/>
          </w:rPr>
          <w:fldChar w:fldCharType="separate"/>
        </w:r>
        <w:r w:rsidR="00004081">
          <w:rPr>
            <w:noProof/>
            <w:webHidden/>
            <w:color w:val="497594" w:themeColor="accent1"/>
          </w:rPr>
          <w:t>42</w:t>
        </w:r>
        <w:r w:rsidRPr="005E0829">
          <w:rPr>
            <w:noProof/>
            <w:webHidden/>
            <w:color w:val="497594" w:themeColor="accent1"/>
          </w:rPr>
          <w:fldChar w:fldCharType="end"/>
        </w:r>
      </w:hyperlink>
    </w:p>
    <w:p w:rsidR="007E00BE" w:rsidRPr="005E0829" w:rsidRDefault="002D37DC" w:rsidP="00A14F68">
      <w:pPr>
        <w:pStyle w:val="TOC2"/>
        <w:tabs>
          <w:tab w:val="right" w:leader="dot" w:pos="9350"/>
        </w:tabs>
        <w:spacing w:after="120" w:line="276" w:lineRule="auto"/>
        <w:rPr>
          <w:rFonts w:asciiTheme="minorHAnsi" w:eastAsiaTheme="minorEastAsia" w:hAnsiTheme="minorHAnsi" w:cstheme="minorBidi"/>
          <w:bCs w:val="0"/>
          <w:noProof/>
          <w:color w:val="497594" w:themeColor="accent1"/>
          <w:szCs w:val="22"/>
          <w:lang w:eastAsia="en-AU"/>
        </w:rPr>
      </w:pPr>
      <w:hyperlink w:anchor="_Toc7614954" w:history="1">
        <w:r w:rsidR="007E00BE" w:rsidRPr="005E0829">
          <w:rPr>
            <w:rStyle w:val="Hyperlink"/>
            <w:noProof/>
            <w:color w:val="497594" w:themeColor="accent1"/>
          </w:rPr>
          <w:t>5.5 Merger activity and winding-up</w:t>
        </w:r>
        <w:r w:rsidR="007E00BE" w:rsidRPr="005E0829">
          <w:rPr>
            <w:noProof/>
            <w:webHidden/>
            <w:color w:val="497594" w:themeColor="accent1"/>
          </w:rPr>
          <w:tab/>
        </w:r>
        <w:r w:rsidRPr="005E0829">
          <w:rPr>
            <w:noProof/>
            <w:webHidden/>
            <w:color w:val="497594" w:themeColor="accent1"/>
          </w:rPr>
          <w:fldChar w:fldCharType="begin"/>
        </w:r>
        <w:r w:rsidR="007E00BE" w:rsidRPr="005E0829">
          <w:rPr>
            <w:noProof/>
            <w:webHidden/>
            <w:color w:val="497594" w:themeColor="accent1"/>
          </w:rPr>
          <w:instrText xml:space="preserve"> PAGEREF _Toc7614954 \h </w:instrText>
        </w:r>
        <w:r w:rsidRPr="005E0829">
          <w:rPr>
            <w:noProof/>
            <w:webHidden/>
            <w:color w:val="497594" w:themeColor="accent1"/>
          </w:rPr>
        </w:r>
        <w:r w:rsidRPr="005E0829">
          <w:rPr>
            <w:noProof/>
            <w:webHidden/>
            <w:color w:val="497594" w:themeColor="accent1"/>
          </w:rPr>
          <w:fldChar w:fldCharType="separate"/>
        </w:r>
        <w:r w:rsidR="00004081">
          <w:rPr>
            <w:noProof/>
            <w:webHidden/>
            <w:color w:val="497594" w:themeColor="accent1"/>
          </w:rPr>
          <w:t>46</w:t>
        </w:r>
        <w:r w:rsidRPr="005E0829">
          <w:rPr>
            <w:noProof/>
            <w:webHidden/>
            <w:color w:val="497594" w:themeColor="accent1"/>
          </w:rPr>
          <w:fldChar w:fldCharType="end"/>
        </w:r>
      </w:hyperlink>
    </w:p>
    <w:p w:rsidR="007E00BE" w:rsidRPr="005E0829" w:rsidRDefault="002D37DC" w:rsidP="00A14F68">
      <w:pPr>
        <w:pStyle w:val="TOC2"/>
        <w:tabs>
          <w:tab w:val="right" w:leader="dot" w:pos="9350"/>
        </w:tabs>
        <w:spacing w:after="120" w:line="276" w:lineRule="auto"/>
        <w:rPr>
          <w:rFonts w:asciiTheme="minorHAnsi" w:eastAsiaTheme="minorEastAsia" w:hAnsiTheme="minorHAnsi" w:cstheme="minorBidi"/>
          <w:bCs w:val="0"/>
          <w:noProof/>
          <w:color w:val="497594" w:themeColor="accent1"/>
          <w:szCs w:val="22"/>
          <w:lang w:eastAsia="en-AU"/>
        </w:rPr>
      </w:pPr>
      <w:hyperlink w:anchor="_Toc7614955" w:history="1">
        <w:r w:rsidR="007E00BE" w:rsidRPr="005E0829">
          <w:rPr>
            <w:rStyle w:val="Hyperlink"/>
            <w:noProof/>
            <w:color w:val="497594" w:themeColor="accent1"/>
          </w:rPr>
          <w:t>5.6 Provider of last resort</w:t>
        </w:r>
        <w:r w:rsidR="007E00BE" w:rsidRPr="005E0829">
          <w:rPr>
            <w:noProof/>
            <w:webHidden/>
            <w:color w:val="497594" w:themeColor="accent1"/>
          </w:rPr>
          <w:tab/>
        </w:r>
        <w:r w:rsidRPr="005E0829">
          <w:rPr>
            <w:noProof/>
            <w:webHidden/>
            <w:color w:val="497594" w:themeColor="accent1"/>
          </w:rPr>
          <w:fldChar w:fldCharType="begin"/>
        </w:r>
        <w:r w:rsidR="007E00BE" w:rsidRPr="005E0829">
          <w:rPr>
            <w:noProof/>
            <w:webHidden/>
            <w:color w:val="497594" w:themeColor="accent1"/>
          </w:rPr>
          <w:instrText xml:space="preserve"> PAGEREF _Toc7614955 \h </w:instrText>
        </w:r>
        <w:r w:rsidRPr="005E0829">
          <w:rPr>
            <w:noProof/>
            <w:webHidden/>
            <w:color w:val="497594" w:themeColor="accent1"/>
          </w:rPr>
        </w:r>
        <w:r w:rsidRPr="005E0829">
          <w:rPr>
            <w:noProof/>
            <w:webHidden/>
            <w:color w:val="497594" w:themeColor="accent1"/>
          </w:rPr>
          <w:fldChar w:fldCharType="separate"/>
        </w:r>
        <w:r w:rsidR="00004081">
          <w:rPr>
            <w:noProof/>
            <w:webHidden/>
            <w:color w:val="497594" w:themeColor="accent1"/>
          </w:rPr>
          <w:t>47</w:t>
        </w:r>
        <w:r w:rsidRPr="005E0829">
          <w:rPr>
            <w:noProof/>
            <w:webHidden/>
            <w:color w:val="497594" w:themeColor="accent1"/>
          </w:rPr>
          <w:fldChar w:fldCharType="end"/>
        </w:r>
      </w:hyperlink>
    </w:p>
    <w:p w:rsidR="007E00BE" w:rsidRPr="005E0829" w:rsidRDefault="002D37DC" w:rsidP="00A14F68">
      <w:pPr>
        <w:pStyle w:val="TOC2"/>
        <w:tabs>
          <w:tab w:val="right" w:leader="dot" w:pos="9350"/>
        </w:tabs>
        <w:spacing w:after="120" w:line="276" w:lineRule="auto"/>
        <w:rPr>
          <w:rFonts w:asciiTheme="minorHAnsi" w:eastAsiaTheme="minorEastAsia" w:hAnsiTheme="minorHAnsi" w:cstheme="minorBidi"/>
          <w:bCs w:val="0"/>
          <w:noProof/>
          <w:color w:val="497594" w:themeColor="accent1"/>
          <w:szCs w:val="22"/>
          <w:lang w:eastAsia="en-AU"/>
        </w:rPr>
      </w:pPr>
      <w:hyperlink w:anchor="_Toc7614956" w:history="1">
        <w:r w:rsidR="007E00BE" w:rsidRPr="005E0829">
          <w:rPr>
            <w:rStyle w:val="Hyperlink"/>
            <w:noProof/>
            <w:color w:val="497594" w:themeColor="accent1"/>
          </w:rPr>
          <w:t>5.7 ILC</w:t>
        </w:r>
        <w:r w:rsidR="007E00BE" w:rsidRPr="005E0829">
          <w:rPr>
            <w:noProof/>
            <w:webHidden/>
            <w:color w:val="497594" w:themeColor="accent1"/>
          </w:rPr>
          <w:tab/>
        </w:r>
        <w:r w:rsidRPr="005E0829">
          <w:rPr>
            <w:noProof/>
            <w:webHidden/>
            <w:color w:val="497594" w:themeColor="accent1"/>
          </w:rPr>
          <w:fldChar w:fldCharType="begin"/>
        </w:r>
        <w:r w:rsidR="007E00BE" w:rsidRPr="005E0829">
          <w:rPr>
            <w:noProof/>
            <w:webHidden/>
            <w:color w:val="497594" w:themeColor="accent1"/>
          </w:rPr>
          <w:instrText xml:space="preserve"> PAGEREF _Toc7614956 \h </w:instrText>
        </w:r>
        <w:r w:rsidRPr="005E0829">
          <w:rPr>
            <w:noProof/>
            <w:webHidden/>
            <w:color w:val="497594" w:themeColor="accent1"/>
          </w:rPr>
        </w:r>
        <w:r w:rsidRPr="005E0829">
          <w:rPr>
            <w:noProof/>
            <w:webHidden/>
            <w:color w:val="497594" w:themeColor="accent1"/>
          </w:rPr>
          <w:fldChar w:fldCharType="separate"/>
        </w:r>
        <w:r w:rsidR="00004081">
          <w:rPr>
            <w:noProof/>
            <w:webHidden/>
            <w:color w:val="497594" w:themeColor="accent1"/>
          </w:rPr>
          <w:t>48</w:t>
        </w:r>
        <w:r w:rsidRPr="005E0829">
          <w:rPr>
            <w:noProof/>
            <w:webHidden/>
            <w:color w:val="497594" w:themeColor="accent1"/>
          </w:rPr>
          <w:fldChar w:fldCharType="end"/>
        </w:r>
      </w:hyperlink>
    </w:p>
    <w:p w:rsidR="007E00BE" w:rsidRPr="005E0829" w:rsidRDefault="002D37DC" w:rsidP="005E0829">
      <w:pPr>
        <w:pStyle w:val="TOC1"/>
        <w:rPr>
          <w:rFonts w:asciiTheme="minorHAnsi" w:eastAsiaTheme="minorEastAsia" w:hAnsiTheme="minorHAnsi" w:cstheme="minorBidi"/>
          <w:sz w:val="22"/>
          <w:szCs w:val="22"/>
          <w:lang w:eastAsia="en-AU"/>
        </w:rPr>
      </w:pPr>
      <w:hyperlink w:anchor="_Toc7614957" w:history="1">
        <w:r w:rsidR="007E00BE" w:rsidRPr="005E0829">
          <w:rPr>
            <w:rStyle w:val="Hyperlink"/>
            <w:b/>
            <w:color w:val="497594" w:themeColor="accent1"/>
          </w:rPr>
          <w:t>6 Conclusion and recommendations</w:t>
        </w:r>
        <w:r w:rsidR="007E00BE" w:rsidRPr="005E0829">
          <w:rPr>
            <w:webHidden/>
          </w:rPr>
          <w:tab/>
        </w:r>
        <w:r w:rsidRPr="005E0829">
          <w:rPr>
            <w:webHidden/>
          </w:rPr>
          <w:fldChar w:fldCharType="begin"/>
        </w:r>
        <w:r w:rsidR="007E00BE" w:rsidRPr="005E0829">
          <w:rPr>
            <w:webHidden/>
          </w:rPr>
          <w:instrText xml:space="preserve"> PAGEREF _Toc7614957 \h </w:instrText>
        </w:r>
        <w:r w:rsidRPr="005E0829">
          <w:rPr>
            <w:webHidden/>
          </w:rPr>
        </w:r>
        <w:r w:rsidRPr="005E0829">
          <w:rPr>
            <w:webHidden/>
          </w:rPr>
          <w:fldChar w:fldCharType="separate"/>
        </w:r>
        <w:r w:rsidR="00004081">
          <w:rPr>
            <w:webHidden/>
          </w:rPr>
          <w:t>50</w:t>
        </w:r>
        <w:r w:rsidRPr="005E0829">
          <w:rPr>
            <w:webHidden/>
          </w:rPr>
          <w:fldChar w:fldCharType="end"/>
        </w:r>
      </w:hyperlink>
    </w:p>
    <w:p w:rsidR="007E00BE" w:rsidRPr="005E0829" w:rsidRDefault="002D37DC" w:rsidP="00A14F68">
      <w:pPr>
        <w:pStyle w:val="TOC2"/>
        <w:tabs>
          <w:tab w:val="right" w:leader="dot" w:pos="9350"/>
        </w:tabs>
        <w:spacing w:after="120" w:line="276" w:lineRule="auto"/>
        <w:rPr>
          <w:rFonts w:asciiTheme="minorHAnsi" w:eastAsiaTheme="minorEastAsia" w:hAnsiTheme="minorHAnsi" w:cstheme="minorBidi"/>
          <w:bCs w:val="0"/>
          <w:noProof/>
          <w:color w:val="497594" w:themeColor="accent1"/>
          <w:szCs w:val="22"/>
          <w:lang w:eastAsia="en-AU"/>
        </w:rPr>
      </w:pPr>
      <w:hyperlink w:anchor="_Toc7614958" w:history="1">
        <w:r w:rsidR="007E00BE" w:rsidRPr="005E0829">
          <w:rPr>
            <w:rStyle w:val="Hyperlink"/>
            <w:noProof/>
            <w:color w:val="497594" w:themeColor="accent1"/>
          </w:rPr>
          <w:t>6.1 Recommendations for Governments and the NDIA</w:t>
        </w:r>
        <w:r w:rsidR="007E00BE" w:rsidRPr="005E0829">
          <w:rPr>
            <w:noProof/>
            <w:webHidden/>
            <w:color w:val="497594" w:themeColor="accent1"/>
          </w:rPr>
          <w:tab/>
        </w:r>
        <w:r w:rsidRPr="005E0829">
          <w:rPr>
            <w:noProof/>
            <w:webHidden/>
            <w:color w:val="497594" w:themeColor="accent1"/>
          </w:rPr>
          <w:fldChar w:fldCharType="begin"/>
        </w:r>
        <w:r w:rsidR="007E00BE" w:rsidRPr="005E0829">
          <w:rPr>
            <w:noProof/>
            <w:webHidden/>
            <w:color w:val="497594" w:themeColor="accent1"/>
          </w:rPr>
          <w:instrText xml:space="preserve"> PAGEREF _Toc7614958 \h </w:instrText>
        </w:r>
        <w:r w:rsidRPr="005E0829">
          <w:rPr>
            <w:noProof/>
            <w:webHidden/>
            <w:color w:val="497594" w:themeColor="accent1"/>
          </w:rPr>
        </w:r>
        <w:r w:rsidRPr="005E0829">
          <w:rPr>
            <w:noProof/>
            <w:webHidden/>
            <w:color w:val="497594" w:themeColor="accent1"/>
          </w:rPr>
          <w:fldChar w:fldCharType="separate"/>
        </w:r>
        <w:r w:rsidR="00004081">
          <w:rPr>
            <w:noProof/>
            <w:webHidden/>
            <w:color w:val="497594" w:themeColor="accent1"/>
          </w:rPr>
          <w:t>50</w:t>
        </w:r>
        <w:r w:rsidRPr="005E0829">
          <w:rPr>
            <w:noProof/>
            <w:webHidden/>
            <w:color w:val="497594" w:themeColor="accent1"/>
          </w:rPr>
          <w:fldChar w:fldCharType="end"/>
        </w:r>
      </w:hyperlink>
    </w:p>
    <w:p w:rsidR="007E00BE" w:rsidRPr="005E0829" w:rsidRDefault="002D37DC" w:rsidP="00A14F68">
      <w:pPr>
        <w:pStyle w:val="TOC2"/>
        <w:tabs>
          <w:tab w:val="right" w:leader="dot" w:pos="9350"/>
        </w:tabs>
        <w:spacing w:after="120" w:line="276" w:lineRule="auto"/>
        <w:rPr>
          <w:rFonts w:asciiTheme="minorHAnsi" w:eastAsiaTheme="minorEastAsia" w:hAnsiTheme="minorHAnsi" w:cstheme="minorBidi"/>
          <w:bCs w:val="0"/>
          <w:noProof/>
          <w:color w:val="497594" w:themeColor="accent1"/>
          <w:szCs w:val="22"/>
          <w:lang w:eastAsia="en-AU"/>
        </w:rPr>
      </w:pPr>
      <w:hyperlink w:anchor="_Toc7614959" w:history="1">
        <w:r w:rsidR="007E00BE" w:rsidRPr="005E0829">
          <w:rPr>
            <w:rStyle w:val="Hyperlink"/>
            <w:noProof/>
            <w:color w:val="497594" w:themeColor="accent1"/>
          </w:rPr>
          <w:t>6.2 Recommendations for NDS</w:t>
        </w:r>
        <w:r w:rsidR="007E00BE" w:rsidRPr="005E0829">
          <w:rPr>
            <w:noProof/>
            <w:webHidden/>
            <w:color w:val="497594" w:themeColor="accent1"/>
          </w:rPr>
          <w:tab/>
        </w:r>
        <w:r w:rsidRPr="005E0829">
          <w:rPr>
            <w:noProof/>
            <w:webHidden/>
            <w:color w:val="497594" w:themeColor="accent1"/>
          </w:rPr>
          <w:fldChar w:fldCharType="begin"/>
        </w:r>
        <w:r w:rsidR="007E00BE" w:rsidRPr="005E0829">
          <w:rPr>
            <w:noProof/>
            <w:webHidden/>
            <w:color w:val="497594" w:themeColor="accent1"/>
          </w:rPr>
          <w:instrText xml:space="preserve"> PAGEREF _Toc7614959 \h </w:instrText>
        </w:r>
        <w:r w:rsidRPr="005E0829">
          <w:rPr>
            <w:noProof/>
            <w:webHidden/>
            <w:color w:val="497594" w:themeColor="accent1"/>
          </w:rPr>
        </w:r>
        <w:r w:rsidRPr="005E0829">
          <w:rPr>
            <w:noProof/>
            <w:webHidden/>
            <w:color w:val="497594" w:themeColor="accent1"/>
          </w:rPr>
          <w:fldChar w:fldCharType="separate"/>
        </w:r>
        <w:r w:rsidR="00004081">
          <w:rPr>
            <w:noProof/>
            <w:webHidden/>
            <w:color w:val="497594" w:themeColor="accent1"/>
          </w:rPr>
          <w:t>53</w:t>
        </w:r>
        <w:r w:rsidRPr="005E0829">
          <w:rPr>
            <w:noProof/>
            <w:webHidden/>
            <w:color w:val="497594" w:themeColor="accent1"/>
          </w:rPr>
          <w:fldChar w:fldCharType="end"/>
        </w:r>
      </w:hyperlink>
    </w:p>
    <w:p w:rsidR="007E00BE" w:rsidRPr="005E0829" w:rsidRDefault="002D37DC" w:rsidP="005E0829">
      <w:pPr>
        <w:pStyle w:val="TOC1"/>
        <w:rPr>
          <w:rFonts w:asciiTheme="minorHAnsi" w:eastAsiaTheme="minorEastAsia" w:hAnsiTheme="minorHAnsi" w:cstheme="minorBidi"/>
          <w:sz w:val="22"/>
          <w:szCs w:val="22"/>
          <w:lang w:eastAsia="en-AU"/>
        </w:rPr>
      </w:pPr>
      <w:hyperlink w:anchor="_Toc7614960" w:history="1">
        <w:r w:rsidR="007E00BE" w:rsidRPr="005E0829">
          <w:rPr>
            <w:rStyle w:val="Hyperlink"/>
            <w:b/>
            <w:color w:val="497594" w:themeColor="accent1"/>
          </w:rPr>
          <w:t>7 References</w:t>
        </w:r>
        <w:r w:rsidR="007E00BE" w:rsidRPr="005E0829">
          <w:rPr>
            <w:webHidden/>
          </w:rPr>
          <w:tab/>
        </w:r>
        <w:r w:rsidRPr="005E0829">
          <w:rPr>
            <w:webHidden/>
          </w:rPr>
          <w:fldChar w:fldCharType="begin"/>
        </w:r>
        <w:r w:rsidR="007E00BE" w:rsidRPr="005E0829">
          <w:rPr>
            <w:webHidden/>
          </w:rPr>
          <w:instrText xml:space="preserve"> PAGEREF _Toc7614960 \h </w:instrText>
        </w:r>
        <w:r w:rsidRPr="005E0829">
          <w:rPr>
            <w:webHidden/>
          </w:rPr>
        </w:r>
        <w:r w:rsidRPr="005E0829">
          <w:rPr>
            <w:webHidden/>
          </w:rPr>
          <w:fldChar w:fldCharType="separate"/>
        </w:r>
        <w:r w:rsidR="00004081">
          <w:rPr>
            <w:webHidden/>
          </w:rPr>
          <w:t>55</w:t>
        </w:r>
        <w:r w:rsidRPr="005E0829">
          <w:rPr>
            <w:webHidden/>
          </w:rPr>
          <w:fldChar w:fldCharType="end"/>
        </w:r>
      </w:hyperlink>
    </w:p>
    <w:p w:rsidR="007E00BE" w:rsidRPr="005E0829" w:rsidRDefault="002D37DC" w:rsidP="005E0829">
      <w:pPr>
        <w:pStyle w:val="TOC1"/>
        <w:rPr>
          <w:rFonts w:asciiTheme="minorHAnsi" w:eastAsiaTheme="minorEastAsia" w:hAnsiTheme="minorHAnsi" w:cstheme="minorBidi"/>
          <w:sz w:val="22"/>
          <w:szCs w:val="22"/>
          <w:lang w:eastAsia="en-AU"/>
        </w:rPr>
      </w:pPr>
      <w:hyperlink w:anchor="_Toc7614962" w:history="1">
        <w:r w:rsidR="007E00BE" w:rsidRPr="005E0829">
          <w:rPr>
            <w:rStyle w:val="Hyperlink"/>
            <w:b/>
            <w:color w:val="497594" w:themeColor="accent1"/>
          </w:rPr>
          <w:t>8 Appendices</w:t>
        </w:r>
        <w:r w:rsidR="007E00BE" w:rsidRPr="005E0829">
          <w:rPr>
            <w:webHidden/>
          </w:rPr>
          <w:tab/>
        </w:r>
        <w:r w:rsidRPr="005E0829">
          <w:rPr>
            <w:b/>
            <w:webHidden/>
          </w:rPr>
          <w:fldChar w:fldCharType="begin"/>
        </w:r>
        <w:r w:rsidR="007E00BE" w:rsidRPr="005E0829">
          <w:rPr>
            <w:b/>
            <w:webHidden/>
          </w:rPr>
          <w:instrText xml:space="preserve"> PAGEREF _Toc7614962 \h </w:instrText>
        </w:r>
        <w:r w:rsidRPr="005E0829">
          <w:rPr>
            <w:b/>
            <w:webHidden/>
          </w:rPr>
        </w:r>
        <w:r w:rsidRPr="005E0829">
          <w:rPr>
            <w:b/>
            <w:webHidden/>
          </w:rPr>
          <w:fldChar w:fldCharType="separate"/>
        </w:r>
        <w:r w:rsidR="00004081">
          <w:rPr>
            <w:b/>
            <w:webHidden/>
          </w:rPr>
          <w:t>58</w:t>
        </w:r>
        <w:r w:rsidRPr="005E0829">
          <w:rPr>
            <w:b/>
            <w:webHidden/>
          </w:rPr>
          <w:fldChar w:fldCharType="end"/>
        </w:r>
      </w:hyperlink>
    </w:p>
    <w:p w:rsidR="007E00BE" w:rsidRPr="005E0829" w:rsidRDefault="002D37DC" w:rsidP="00A14F68">
      <w:pPr>
        <w:pStyle w:val="TOC2"/>
        <w:tabs>
          <w:tab w:val="right" w:leader="dot" w:pos="9350"/>
        </w:tabs>
        <w:spacing w:after="120" w:line="276" w:lineRule="auto"/>
        <w:rPr>
          <w:rFonts w:asciiTheme="minorHAnsi" w:eastAsiaTheme="minorEastAsia" w:hAnsiTheme="minorHAnsi" w:cstheme="minorBidi"/>
          <w:bCs w:val="0"/>
          <w:noProof/>
          <w:color w:val="497594" w:themeColor="accent1"/>
          <w:szCs w:val="22"/>
          <w:lang w:eastAsia="en-AU"/>
        </w:rPr>
      </w:pPr>
      <w:hyperlink w:anchor="_Toc7614963" w:history="1">
        <w:r w:rsidR="007E00BE" w:rsidRPr="005E0829">
          <w:rPr>
            <w:rStyle w:val="Hyperlink"/>
            <w:noProof/>
            <w:color w:val="497594" w:themeColor="accent1"/>
          </w:rPr>
          <w:t>Appendix 1: NDIS pricing</w:t>
        </w:r>
        <w:r w:rsidR="007E00BE" w:rsidRPr="005E0829">
          <w:rPr>
            <w:noProof/>
            <w:webHidden/>
            <w:color w:val="497594" w:themeColor="accent1"/>
          </w:rPr>
          <w:tab/>
        </w:r>
        <w:r w:rsidRPr="005E0829">
          <w:rPr>
            <w:noProof/>
            <w:webHidden/>
            <w:color w:val="497594" w:themeColor="accent1"/>
          </w:rPr>
          <w:fldChar w:fldCharType="begin"/>
        </w:r>
        <w:r w:rsidR="007E00BE" w:rsidRPr="005E0829">
          <w:rPr>
            <w:noProof/>
            <w:webHidden/>
            <w:color w:val="497594" w:themeColor="accent1"/>
          </w:rPr>
          <w:instrText xml:space="preserve"> PAGEREF _Toc7614963 \h </w:instrText>
        </w:r>
        <w:r w:rsidRPr="005E0829">
          <w:rPr>
            <w:noProof/>
            <w:webHidden/>
            <w:color w:val="497594" w:themeColor="accent1"/>
          </w:rPr>
        </w:r>
        <w:r w:rsidRPr="005E0829">
          <w:rPr>
            <w:noProof/>
            <w:webHidden/>
            <w:color w:val="497594" w:themeColor="accent1"/>
          </w:rPr>
          <w:fldChar w:fldCharType="separate"/>
        </w:r>
        <w:r w:rsidR="00004081">
          <w:rPr>
            <w:noProof/>
            <w:webHidden/>
            <w:color w:val="497594" w:themeColor="accent1"/>
          </w:rPr>
          <w:t>58</w:t>
        </w:r>
        <w:r w:rsidRPr="005E0829">
          <w:rPr>
            <w:noProof/>
            <w:webHidden/>
            <w:color w:val="497594" w:themeColor="accent1"/>
          </w:rPr>
          <w:fldChar w:fldCharType="end"/>
        </w:r>
      </w:hyperlink>
    </w:p>
    <w:p w:rsidR="007E00BE" w:rsidRPr="005E0829" w:rsidRDefault="002D37DC" w:rsidP="00A14F68">
      <w:pPr>
        <w:pStyle w:val="TOC2"/>
        <w:tabs>
          <w:tab w:val="right" w:leader="dot" w:pos="9350"/>
        </w:tabs>
        <w:spacing w:after="120" w:line="276" w:lineRule="auto"/>
        <w:rPr>
          <w:rFonts w:asciiTheme="minorHAnsi" w:eastAsiaTheme="minorEastAsia" w:hAnsiTheme="minorHAnsi" w:cstheme="minorBidi"/>
          <w:bCs w:val="0"/>
          <w:noProof/>
          <w:color w:val="497594" w:themeColor="accent1"/>
          <w:szCs w:val="22"/>
          <w:lang w:eastAsia="en-AU"/>
        </w:rPr>
      </w:pPr>
      <w:hyperlink w:anchor="_Toc7614964" w:history="1">
        <w:r w:rsidR="007E00BE" w:rsidRPr="005E0829">
          <w:rPr>
            <w:rStyle w:val="Hyperlink"/>
            <w:noProof/>
            <w:color w:val="497594" w:themeColor="accent1"/>
          </w:rPr>
          <w:t>Appendix 2: Provider financial viability</w:t>
        </w:r>
        <w:r w:rsidR="007E00BE" w:rsidRPr="005E0829">
          <w:rPr>
            <w:noProof/>
            <w:webHidden/>
            <w:color w:val="497594" w:themeColor="accent1"/>
          </w:rPr>
          <w:tab/>
        </w:r>
        <w:r w:rsidRPr="005E0829">
          <w:rPr>
            <w:noProof/>
            <w:webHidden/>
            <w:color w:val="497594" w:themeColor="accent1"/>
          </w:rPr>
          <w:fldChar w:fldCharType="begin"/>
        </w:r>
        <w:r w:rsidR="007E00BE" w:rsidRPr="005E0829">
          <w:rPr>
            <w:noProof/>
            <w:webHidden/>
            <w:color w:val="497594" w:themeColor="accent1"/>
          </w:rPr>
          <w:instrText xml:space="preserve"> PAGEREF _Toc7614964 \h </w:instrText>
        </w:r>
        <w:r w:rsidRPr="005E0829">
          <w:rPr>
            <w:noProof/>
            <w:webHidden/>
            <w:color w:val="497594" w:themeColor="accent1"/>
          </w:rPr>
        </w:r>
        <w:r w:rsidRPr="005E0829">
          <w:rPr>
            <w:noProof/>
            <w:webHidden/>
            <w:color w:val="497594" w:themeColor="accent1"/>
          </w:rPr>
          <w:fldChar w:fldCharType="separate"/>
        </w:r>
        <w:r w:rsidR="00004081">
          <w:rPr>
            <w:noProof/>
            <w:webHidden/>
            <w:color w:val="497594" w:themeColor="accent1"/>
          </w:rPr>
          <w:t>60</w:t>
        </w:r>
        <w:r w:rsidRPr="005E0829">
          <w:rPr>
            <w:noProof/>
            <w:webHidden/>
            <w:color w:val="497594" w:themeColor="accent1"/>
          </w:rPr>
          <w:fldChar w:fldCharType="end"/>
        </w:r>
      </w:hyperlink>
    </w:p>
    <w:p w:rsidR="007E00BE" w:rsidRPr="005E0829" w:rsidRDefault="002D37DC" w:rsidP="00A14F68">
      <w:pPr>
        <w:pStyle w:val="TOC2"/>
        <w:tabs>
          <w:tab w:val="right" w:leader="dot" w:pos="9350"/>
        </w:tabs>
        <w:spacing w:after="120" w:line="276" w:lineRule="auto"/>
        <w:rPr>
          <w:rFonts w:asciiTheme="minorHAnsi" w:eastAsiaTheme="minorEastAsia" w:hAnsiTheme="minorHAnsi" w:cstheme="minorBidi"/>
          <w:bCs w:val="0"/>
          <w:noProof/>
          <w:color w:val="497594" w:themeColor="accent1"/>
          <w:szCs w:val="22"/>
          <w:lang w:eastAsia="en-AU"/>
        </w:rPr>
      </w:pPr>
      <w:hyperlink w:anchor="_Toc7614965" w:history="1">
        <w:r w:rsidR="007E00BE" w:rsidRPr="005E0829">
          <w:rPr>
            <w:rStyle w:val="Hyperlink"/>
            <w:noProof/>
            <w:color w:val="497594" w:themeColor="accent1"/>
          </w:rPr>
          <w:t>Appendix 3: Disability workforce challenges</w:t>
        </w:r>
        <w:r w:rsidR="007E00BE" w:rsidRPr="005E0829">
          <w:rPr>
            <w:noProof/>
            <w:webHidden/>
            <w:color w:val="497594" w:themeColor="accent1"/>
          </w:rPr>
          <w:tab/>
        </w:r>
        <w:r w:rsidRPr="005E0829">
          <w:rPr>
            <w:noProof/>
            <w:webHidden/>
            <w:color w:val="497594" w:themeColor="accent1"/>
          </w:rPr>
          <w:fldChar w:fldCharType="begin"/>
        </w:r>
        <w:r w:rsidR="007E00BE" w:rsidRPr="005E0829">
          <w:rPr>
            <w:noProof/>
            <w:webHidden/>
            <w:color w:val="497594" w:themeColor="accent1"/>
          </w:rPr>
          <w:instrText xml:space="preserve"> PAGEREF _Toc7614965 \h </w:instrText>
        </w:r>
        <w:r w:rsidRPr="005E0829">
          <w:rPr>
            <w:noProof/>
            <w:webHidden/>
            <w:color w:val="497594" w:themeColor="accent1"/>
          </w:rPr>
        </w:r>
        <w:r w:rsidRPr="005E0829">
          <w:rPr>
            <w:noProof/>
            <w:webHidden/>
            <w:color w:val="497594" w:themeColor="accent1"/>
          </w:rPr>
          <w:fldChar w:fldCharType="separate"/>
        </w:r>
        <w:r w:rsidR="00004081">
          <w:rPr>
            <w:noProof/>
            <w:webHidden/>
            <w:color w:val="497594" w:themeColor="accent1"/>
          </w:rPr>
          <w:t>72</w:t>
        </w:r>
        <w:r w:rsidRPr="005E0829">
          <w:rPr>
            <w:noProof/>
            <w:webHidden/>
            <w:color w:val="497594" w:themeColor="accent1"/>
          </w:rPr>
          <w:fldChar w:fldCharType="end"/>
        </w:r>
      </w:hyperlink>
    </w:p>
    <w:p w:rsidR="007E00BE" w:rsidRPr="005E0829" w:rsidRDefault="002D37DC" w:rsidP="00A14F68">
      <w:pPr>
        <w:pStyle w:val="TOC2"/>
        <w:tabs>
          <w:tab w:val="right" w:leader="dot" w:pos="9350"/>
        </w:tabs>
        <w:spacing w:after="120" w:line="276" w:lineRule="auto"/>
        <w:rPr>
          <w:rFonts w:asciiTheme="minorHAnsi" w:eastAsiaTheme="minorEastAsia" w:hAnsiTheme="minorHAnsi" w:cstheme="minorBidi"/>
          <w:bCs w:val="0"/>
          <w:noProof/>
          <w:color w:val="497594" w:themeColor="accent1"/>
          <w:szCs w:val="22"/>
          <w:lang w:eastAsia="en-AU"/>
        </w:rPr>
      </w:pPr>
      <w:hyperlink w:anchor="_Toc7614966" w:history="1">
        <w:r w:rsidR="007E00BE" w:rsidRPr="005E0829">
          <w:rPr>
            <w:rStyle w:val="Hyperlink"/>
            <w:noProof/>
            <w:color w:val="497594" w:themeColor="accent1"/>
          </w:rPr>
          <w:t>Appendix 4: Propensity to discontinue</w:t>
        </w:r>
        <w:r w:rsidR="007E00BE" w:rsidRPr="005E0829">
          <w:rPr>
            <w:noProof/>
            <w:webHidden/>
            <w:color w:val="497594" w:themeColor="accent1"/>
          </w:rPr>
          <w:tab/>
        </w:r>
        <w:r w:rsidRPr="005E0829">
          <w:rPr>
            <w:noProof/>
            <w:webHidden/>
            <w:color w:val="497594" w:themeColor="accent1"/>
          </w:rPr>
          <w:fldChar w:fldCharType="begin"/>
        </w:r>
        <w:r w:rsidR="007E00BE" w:rsidRPr="005E0829">
          <w:rPr>
            <w:noProof/>
            <w:webHidden/>
            <w:color w:val="497594" w:themeColor="accent1"/>
          </w:rPr>
          <w:instrText xml:space="preserve"> PAGEREF _Toc7614966 \h </w:instrText>
        </w:r>
        <w:r w:rsidRPr="005E0829">
          <w:rPr>
            <w:noProof/>
            <w:webHidden/>
            <w:color w:val="497594" w:themeColor="accent1"/>
          </w:rPr>
        </w:r>
        <w:r w:rsidRPr="005E0829">
          <w:rPr>
            <w:noProof/>
            <w:webHidden/>
            <w:color w:val="497594" w:themeColor="accent1"/>
          </w:rPr>
          <w:fldChar w:fldCharType="separate"/>
        </w:r>
        <w:r w:rsidR="00004081">
          <w:rPr>
            <w:noProof/>
            <w:webHidden/>
            <w:color w:val="497594" w:themeColor="accent1"/>
          </w:rPr>
          <w:t>76</w:t>
        </w:r>
        <w:r w:rsidRPr="005E0829">
          <w:rPr>
            <w:noProof/>
            <w:webHidden/>
            <w:color w:val="497594" w:themeColor="accent1"/>
          </w:rPr>
          <w:fldChar w:fldCharType="end"/>
        </w:r>
      </w:hyperlink>
    </w:p>
    <w:p w:rsidR="00CB7665" w:rsidRPr="009A1C8E" w:rsidRDefault="002D37DC" w:rsidP="002B3B7D">
      <w:r>
        <w:fldChar w:fldCharType="end"/>
      </w:r>
      <w:r w:rsidR="00CB7665" w:rsidRPr="009A1C8E">
        <w:br w:type="page"/>
      </w:r>
    </w:p>
    <w:p w:rsidR="000C32EF" w:rsidRPr="009A1C8E" w:rsidRDefault="000C32EF" w:rsidP="00830706">
      <w:pPr>
        <w:pStyle w:val="Heading1"/>
      </w:pPr>
      <w:bookmarkStart w:id="10" w:name="_Toc7614930"/>
      <w:r w:rsidRPr="009A1C8E">
        <w:lastRenderedPageBreak/>
        <w:t>Glossary</w:t>
      </w:r>
      <w:bookmarkEnd w:id="10"/>
    </w:p>
    <w:p w:rsidR="000C32EF" w:rsidRPr="009A1C8E" w:rsidRDefault="00AC6FBF" w:rsidP="00A14F68">
      <w:pPr>
        <w:spacing w:before="120" w:after="120" w:line="276" w:lineRule="auto"/>
      </w:pPr>
      <w:r w:rsidRPr="005E0829">
        <w:rPr>
          <w:b/>
          <w:color w:val="497594" w:themeColor="accent1"/>
        </w:rPr>
        <w:t>ABS</w:t>
      </w:r>
      <w:r w:rsidR="00685194" w:rsidRPr="009A1C8E">
        <w:tab/>
      </w:r>
      <w:r w:rsidR="00CF17F7" w:rsidRPr="009A1C8E">
        <w:t>Australian Bureau of Statistics</w:t>
      </w:r>
    </w:p>
    <w:p w:rsidR="00CF17F7" w:rsidRPr="009A1C8E" w:rsidRDefault="00CF17F7" w:rsidP="00A14F68">
      <w:pPr>
        <w:spacing w:before="120" w:after="120" w:line="276" w:lineRule="auto"/>
      </w:pPr>
      <w:r w:rsidRPr="005E0829">
        <w:rPr>
          <w:b/>
          <w:color w:val="497594" w:themeColor="accent1"/>
        </w:rPr>
        <w:t>AMS</w:t>
      </w:r>
      <w:r w:rsidRPr="009A1C8E">
        <w:tab/>
      </w:r>
      <w:r w:rsidR="00557A7F" w:rsidRPr="009A1C8E">
        <w:t>Annual Market Survey</w:t>
      </w:r>
    </w:p>
    <w:p w:rsidR="00557A7F" w:rsidRPr="009A1C8E" w:rsidRDefault="00557A7F" w:rsidP="00A14F68">
      <w:pPr>
        <w:spacing w:before="120" w:after="120" w:line="276" w:lineRule="auto"/>
      </w:pPr>
      <w:r w:rsidRPr="005E0829">
        <w:rPr>
          <w:b/>
          <w:color w:val="497594" w:themeColor="accent1"/>
        </w:rPr>
        <w:t>AT</w:t>
      </w:r>
      <w:r w:rsidRPr="009A1C8E">
        <w:tab/>
        <w:t xml:space="preserve">Assistive </w:t>
      </w:r>
      <w:r w:rsidR="0058565E" w:rsidRPr="009A1C8E">
        <w:t>t</w:t>
      </w:r>
      <w:r w:rsidRPr="009A1C8E">
        <w:t>echnology</w:t>
      </w:r>
    </w:p>
    <w:p w:rsidR="008F4C00" w:rsidRPr="009A1C8E" w:rsidRDefault="008F4C00" w:rsidP="00A14F68">
      <w:pPr>
        <w:spacing w:before="120" w:after="120" w:line="276" w:lineRule="auto"/>
      </w:pPr>
      <w:r w:rsidRPr="005E0829">
        <w:rPr>
          <w:b/>
          <w:color w:val="497594" w:themeColor="accent1"/>
        </w:rPr>
        <w:t>BIC</w:t>
      </w:r>
      <w:r w:rsidRPr="009A1C8E">
        <w:tab/>
        <w:t>Building Inclusive Community</w:t>
      </w:r>
    </w:p>
    <w:p w:rsidR="008F4C00" w:rsidRPr="009A1C8E" w:rsidRDefault="008F4C00" w:rsidP="00A14F68">
      <w:pPr>
        <w:spacing w:before="120" w:after="120" w:line="276" w:lineRule="auto"/>
      </w:pPr>
      <w:r w:rsidRPr="005E0829">
        <w:rPr>
          <w:b/>
          <w:color w:val="497594" w:themeColor="accent1"/>
        </w:rPr>
        <w:t>DHHS</w:t>
      </w:r>
      <w:r w:rsidRPr="009A1C8E">
        <w:tab/>
        <w:t>Victorian Government Department of Health and Human Services</w:t>
      </w:r>
    </w:p>
    <w:p w:rsidR="008F4C00" w:rsidRPr="009A1C8E" w:rsidRDefault="0058565E" w:rsidP="00A14F68">
      <w:pPr>
        <w:spacing w:before="120" w:after="120" w:line="276" w:lineRule="auto"/>
      </w:pPr>
      <w:r w:rsidRPr="005E0829">
        <w:rPr>
          <w:b/>
          <w:color w:val="497594" w:themeColor="accent1"/>
        </w:rPr>
        <w:t>DSS</w:t>
      </w:r>
      <w:r w:rsidRPr="009A1C8E">
        <w:tab/>
        <w:t>Commonwealth Department of Social Services</w:t>
      </w:r>
    </w:p>
    <w:p w:rsidR="0058565E" w:rsidRPr="009A1C8E" w:rsidRDefault="0058565E" w:rsidP="00A14F68">
      <w:pPr>
        <w:spacing w:before="120" w:after="120" w:line="276" w:lineRule="auto"/>
      </w:pPr>
      <w:r w:rsidRPr="005E0829">
        <w:rPr>
          <w:b/>
          <w:color w:val="497594" w:themeColor="accent1"/>
        </w:rPr>
        <w:t>HR</w:t>
      </w:r>
      <w:r w:rsidRPr="005E0829">
        <w:rPr>
          <w:b/>
          <w:color w:val="497594" w:themeColor="accent1"/>
        </w:rPr>
        <w:tab/>
      </w:r>
      <w:r w:rsidRPr="009A1C8E">
        <w:t>Human resources</w:t>
      </w:r>
    </w:p>
    <w:p w:rsidR="0058565E" w:rsidRPr="009A1C8E" w:rsidRDefault="006849C5" w:rsidP="00A14F68">
      <w:pPr>
        <w:spacing w:before="120" w:after="120" w:line="276" w:lineRule="auto"/>
      </w:pPr>
      <w:r w:rsidRPr="005E0829">
        <w:rPr>
          <w:b/>
          <w:color w:val="497594" w:themeColor="accent1"/>
        </w:rPr>
        <w:t>ICT</w:t>
      </w:r>
      <w:r w:rsidRPr="005E0829">
        <w:rPr>
          <w:b/>
          <w:color w:val="497594" w:themeColor="accent1"/>
        </w:rPr>
        <w:tab/>
      </w:r>
      <w:r w:rsidRPr="009A1C8E">
        <w:t>Information and communications technology</w:t>
      </w:r>
    </w:p>
    <w:p w:rsidR="006849C5" w:rsidRPr="009A1C8E" w:rsidRDefault="006849C5" w:rsidP="00A14F68">
      <w:pPr>
        <w:spacing w:before="120" w:after="120" w:line="276" w:lineRule="auto"/>
      </w:pPr>
      <w:r w:rsidRPr="005E0829">
        <w:rPr>
          <w:b/>
          <w:color w:val="497594" w:themeColor="accent1"/>
        </w:rPr>
        <w:t>ILC</w:t>
      </w:r>
      <w:r w:rsidRPr="009A1C8E">
        <w:tab/>
        <w:t xml:space="preserve">Information, </w:t>
      </w:r>
      <w:r w:rsidR="00070A5D" w:rsidRPr="009A1C8E">
        <w:t>Linkages and C</w:t>
      </w:r>
      <w:r w:rsidRPr="009A1C8E">
        <w:t>apacity building</w:t>
      </w:r>
    </w:p>
    <w:p w:rsidR="006849C5" w:rsidRPr="009A1C8E" w:rsidRDefault="00F1762E" w:rsidP="00A14F68">
      <w:pPr>
        <w:spacing w:before="120" w:after="120" w:line="276" w:lineRule="auto"/>
      </w:pPr>
      <w:r w:rsidRPr="005E0829">
        <w:rPr>
          <w:b/>
          <w:color w:val="497594" w:themeColor="accent1"/>
        </w:rPr>
        <w:t>LAC</w:t>
      </w:r>
      <w:r w:rsidRPr="009A1C8E">
        <w:tab/>
        <w:t>Local Area Coordinator</w:t>
      </w:r>
    </w:p>
    <w:p w:rsidR="00F1762E" w:rsidRPr="009A1C8E" w:rsidRDefault="00F1762E" w:rsidP="00A14F68">
      <w:pPr>
        <w:spacing w:before="120" w:after="120" w:line="276" w:lineRule="auto"/>
      </w:pPr>
      <w:r w:rsidRPr="005E0829">
        <w:rPr>
          <w:b/>
          <w:color w:val="497594" w:themeColor="accent1"/>
        </w:rPr>
        <w:t>MEF</w:t>
      </w:r>
      <w:r w:rsidRPr="009A1C8E">
        <w:tab/>
        <w:t>Market Enablement Framework</w:t>
      </w:r>
    </w:p>
    <w:p w:rsidR="00F1762E" w:rsidRPr="009A1C8E" w:rsidRDefault="00F1762E" w:rsidP="00A14F68">
      <w:pPr>
        <w:spacing w:before="120" w:after="120" w:line="276" w:lineRule="auto"/>
      </w:pPr>
      <w:r w:rsidRPr="005E0829">
        <w:rPr>
          <w:b/>
          <w:color w:val="497594" w:themeColor="accent1"/>
        </w:rPr>
        <w:t>NDIS</w:t>
      </w:r>
      <w:r w:rsidRPr="009A1C8E">
        <w:tab/>
        <w:t>National Disability Insurance Scheme</w:t>
      </w:r>
    </w:p>
    <w:p w:rsidR="00F1762E" w:rsidRPr="009A1C8E" w:rsidRDefault="00F1762E" w:rsidP="00A14F68">
      <w:pPr>
        <w:spacing w:before="120" w:after="120" w:line="276" w:lineRule="auto"/>
      </w:pPr>
      <w:r w:rsidRPr="005E0829">
        <w:rPr>
          <w:b/>
          <w:color w:val="497594" w:themeColor="accent1"/>
        </w:rPr>
        <w:t>NDS</w:t>
      </w:r>
      <w:r w:rsidRPr="009A1C8E">
        <w:tab/>
        <w:t>National Disability Services</w:t>
      </w:r>
    </w:p>
    <w:p w:rsidR="00F1762E" w:rsidRPr="009A1C8E" w:rsidRDefault="00BB044C" w:rsidP="00A14F68">
      <w:pPr>
        <w:spacing w:before="120" w:after="120" w:line="276" w:lineRule="auto"/>
      </w:pPr>
      <w:r w:rsidRPr="005E0829">
        <w:rPr>
          <w:b/>
          <w:color w:val="497594" w:themeColor="accent1"/>
        </w:rPr>
        <w:t>SDF</w:t>
      </w:r>
      <w:r w:rsidRPr="009A1C8E">
        <w:tab/>
        <w:t>Sector Development Fund</w:t>
      </w:r>
      <w:r w:rsidR="0031591E" w:rsidRPr="009A1C8E">
        <w:t>, Commonwealth Government funding</w:t>
      </w:r>
    </w:p>
    <w:p w:rsidR="00BB044C" w:rsidRPr="009A1C8E" w:rsidRDefault="00A4275A" w:rsidP="00A14F68">
      <w:pPr>
        <w:spacing w:before="120" w:after="120" w:line="276" w:lineRule="auto"/>
      </w:pPr>
      <w:r w:rsidRPr="005E0829">
        <w:rPr>
          <w:b/>
          <w:color w:val="497594" w:themeColor="accent1"/>
        </w:rPr>
        <w:t>SDP</w:t>
      </w:r>
      <w:r w:rsidRPr="009A1C8E">
        <w:tab/>
        <w:t>NDIS Sector Development Project</w:t>
      </w:r>
    </w:p>
    <w:p w:rsidR="00A4275A" w:rsidRPr="009A1C8E" w:rsidRDefault="00A4275A" w:rsidP="00A14F68">
      <w:pPr>
        <w:spacing w:before="120" w:after="120" w:line="276" w:lineRule="auto"/>
      </w:pPr>
      <w:r w:rsidRPr="005E0829">
        <w:rPr>
          <w:b/>
          <w:color w:val="497594" w:themeColor="accent1"/>
        </w:rPr>
        <w:t>TSP</w:t>
      </w:r>
      <w:r w:rsidRPr="009A1C8E">
        <w:tab/>
        <w:t>Transition Support Package</w:t>
      </w:r>
      <w:r w:rsidR="0031591E" w:rsidRPr="009A1C8E">
        <w:t>, Victorian Government funding</w:t>
      </w:r>
    </w:p>
    <w:p w:rsidR="00443E28" w:rsidRDefault="00443E28">
      <w:pPr>
        <w:spacing w:line="259" w:lineRule="auto"/>
      </w:pPr>
      <w:r>
        <w:br w:type="page"/>
      </w:r>
    </w:p>
    <w:p w:rsidR="00443E28" w:rsidRDefault="00443E28">
      <w:pPr>
        <w:spacing w:line="259" w:lineRule="auto"/>
      </w:pPr>
    </w:p>
    <w:p w:rsidR="00685194" w:rsidRPr="009A1C8E" w:rsidRDefault="00685194" w:rsidP="00A14F68">
      <w:pPr>
        <w:spacing w:before="120" w:after="120" w:line="276" w:lineRule="auto"/>
        <w:sectPr w:rsidR="00685194" w:rsidRPr="009A1C8E" w:rsidSect="00AC237C">
          <w:pgSz w:w="12240" w:h="15840"/>
          <w:pgMar w:top="1440" w:right="1440" w:bottom="1440" w:left="1440" w:header="720" w:footer="720" w:gutter="0"/>
          <w:cols w:space="720"/>
          <w:docGrid w:linePitch="360"/>
        </w:sectPr>
      </w:pPr>
    </w:p>
    <w:p w:rsidR="002F48A1" w:rsidRPr="009A1C8E" w:rsidRDefault="002F48A1" w:rsidP="00830706">
      <w:pPr>
        <w:pStyle w:val="Heading1"/>
      </w:pPr>
      <w:bookmarkStart w:id="11" w:name="_Toc7614931"/>
      <w:r w:rsidRPr="009A1C8E">
        <w:lastRenderedPageBreak/>
        <w:t xml:space="preserve">Executive </w:t>
      </w:r>
      <w:r w:rsidR="000F191B" w:rsidRPr="009A1C8E">
        <w:t>s</w:t>
      </w:r>
      <w:r w:rsidRPr="009A1C8E">
        <w:t>ummary</w:t>
      </w:r>
      <w:bookmarkEnd w:id="11"/>
    </w:p>
    <w:p w:rsidR="00C0115F" w:rsidRPr="00830706" w:rsidRDefault="00C0115F" w:rsidP="00830706">
      <w:pPr>
        <w:pStyle w:val="Heading2"/>
      </w:pPr>
      <w:bookmarkStart w:id="12" w:name="_Toc5308580"/>
      <w:bookmarkStart w:id="13" w:name="_Toc5860490"/>
      <w:bookmarkStart w:id="14" w:name="_Toc5860530"/>
      <w:bookmarkStart w:id="15" w:name="_Toc7614932"/>
      <w:r w:rsidRPr="00830706">
        <w:t>Introduction</w:t>
      </w:r>
      <w:bookmarkEnd w:id="12"/>
      <w:bookmarkEnd w:id="13"/>
      <w:bookmarkEnd w:id="14"/>
      <w:bookmarkEnd w:id="15"/>
    </w:p>
    <w:p w:rsidR="00C0115F" w:rsidRPr="009A1C8E" w:rsidRDefault="00C0115F" w:rsidP="00A14F68">
      <w:pPr>
        <w:spacing w:before="120" w:after="120" w:line="276" w:lineRule="auto"/>
      </w:pPr>
      <w:r w:rsidRPr="009A1C8E">
        <w:t xml:space="preserve">In Australia, the National Disability Insurance Scheme (NDIS) is underway </w:t>
      </w:r>
      <w:r w:rsidR="00CB7665" w:rsidRPr="009A1C8E">
        <w:t xml:space="preserve">and intended </w:t>
      </w:r>
      <w:r w:rsidRPr="009A1C8E">
        <w:t>to replace an “underfunded, unfair, fragmented, and inefficient” disability support system. The transition to the NDIS has been an exciting, yet challenging</w:t>
      </w:r>
      <w:r w:rsidR="0081480C" w:rsidRPr="009A1C8E">
        <w:t>,</w:t>
      </w:r>
      <w:r w:rsidRPr="009A1C8E">
        <w:t xml:space="preserve"> period. However, there are growing concerns </w:t>
      </w:r>
      <w:r w:rsidR="00655161" w:rsidRPr="009A1C8E">
        <w:t xml:space="preserve">being raised by NDIS participants and providers about </w:t>
      </w:r>
      <w:r w:rsidRPr="009A1C8E">
        <w:t>thin markets and market gaps.</w:t>
      </w:r>
    </w:p>
    <w:p w:rsidR="00C0115F" w:rsidRPr="009A1C8E" w:rsidRDefault="00C0115F" w:rsidP="00A14F68">
      <w:pPr>
        <w:spacing w:before="120" w:after="120" w:line="276" w:lineRule="auto"/>
        <w:rPr>
          <w:color w:val="000000" w:themeColor="text1"/>
        </w:rPr>
      </w:pPr>
      <w:r w:rsidRPr="009A1C8E">
        <w:t xml:space="preserve">Thin markets may present in certain regions, or for particular services and/or for specific cohorts of people with disability. Market stewardship is </w:t>
      </w:r>
      <w:proofErr w:type="gramStart"/>
      <w:r w:rsidRPr="009A1C8E">
        <w:t>key</w:t>
      </w:r>
      <w:proofErr w:type="gramEnd"/>
      <w:r w:rsidRPr="009A1C8E">
        <w:t xml:space="preserve"> to responding to early warning signals, minimising the risk of thin markets and developing a healthy marketplace. Thin markets will undermine the success of the NDIS. P</w:t>
      </w:r>
      <w:r w:rsidRPr="009A1C8E">
        <w:rPr>
          <w:color w:val="000000" w:themeColor="text1"/>
        </w:rPr>
        <w:t>rotecting against thin markets is critical to support the development of an efficient, effective and equitable NDIS market.</w:t>
      </w:r>
    </w:p>
    <w:p w:rsidR="00C0115F" w:rsidRPr="009A1C8E" w:rsidRDefault="00C0115F" w:rsidP="00A14F68">
      <w:pPr>
        <w:spacing w:before="120" w:after="120" w:line="276" w:lineRule="auto"/>
      </w:pPr>
      <w:r w:rsidRPr="009A1C8E">
        <w:t xml:space="preserve">This market dynamics study aims to clarify the factors that influence the sustainability of disability service providers under the NDIS and shape the development of a diverse </w:t>
      </w:r>
      <w:r w:rsidR="0081480C" w:rsidRPr="009A1C8E">
        <w:t>marketplace</w:t>
      </w:r>
      <w:r w:rsidRPr="009A1C8E">
        <w:t>. It further explores the need for, and nature of</w:t>
      </w:r>
      <w:r w:rsidR="0081480C" w:rsidRPr="009A1C8E">
        <w:t>,</w:t>
      </w:r>
      <w:r w:rsidRPr="009A1C8E">
        <w:t xml:space="preserve"> further sector development support required by service providers in the</w:t>
      </w:r>
      <w:r w:rsidR="0081480C" w:rsidRPr="009A1C8E">
        <w:t xml:space="preserve"> two to three</w:t>
      </w:r>
      <w:r w:rsidRPr="009A1C8E">
        <w:t xml:space="preserve"> years post NDIS transition.</w:t>
      </w:r>
    </w:p>
    <w:p w:rsidR="00C0115F" w:rsidRPr="009A1C8E" w:rsidRDefault="00C0115F" w:rsidP="00830706">
      <w:pPr>
        <w:pStyle w:val="Heading2"/>
      </w:pPr>
      <w:bookmarkStart w:id="16" w:name="_Toc5308581"/>
      <w:bookmarkStart w:id="17" w:name="_Toc5860491"/>
      <w:bookmarkStart w:id="18" w:name="_Toc5860531"/>
      <w:bookmarkStart w:id="19" w:name="_Toc7614933"/>
      <w:r w:rsidRPr="009A1C8E">
        <w:t>Methodology</w:t>
      </w:r>
      <w:bookmarkEnd w:id="16"/>
      <w:bookmarkEnd w:id="17"/>
      <w:bookmarkEnd w:id="18"/>
      <w:bookmarkEnd w:id="19"/>
    </w:p>
    <w:p w:rsidR="00C0115F" w:rsidRPr="009A1C8E" w:rsidRDefault="00C0115F" w:rsidP="00A14F68">
      <w:pPr>
        <w:spacing w:before="120" w:after="120" w:line="276" w:lineRule="auto"/>
      </w:pPr>
      <w:r w:rsidRPr="009A1C8E">
        <w:t>Victorian and national data from the</w:t>
      </w:r>
      <w:r w:rsidR="0081480C" w:rsidRPr="009A1C8E">
        <w:t xml:space="preserve"> National Disability Services</w:t>
      </w:r>
      <w:r w:rsidRPr="009A1C8E">
        <w:t xml:space="preserve"> </w:t>
      </w:r>
      <w:r w:rsidR="0081480C" w:rsidRPr="009A1C8E">
        <w:t>(</w:t>
      </w:r>
      <w:r w:rsidRPr="009A1C8E">
        <w:t>NDS</w:t>
      </w:r>
      <w:r w:rsidR="0081480C" w:rsidRPr="009A1C8E">
        <w:t>)</w:t>
      </w:r>
      <w:r w:rsidRPr="009A1C8E">
        <w:t xml:space="preserve"> 2018 Annual Market Survey and the Workforce Wizard has been analysed. This report also draws heavily on the NDIS Sector Development Project (SDP) Outcomes Evaluation, recent SDP policy surveys and reports, and the wider existing literature. Stakeholder feedback was received throughout the study.</w:t>
      </w:r>
    </w:p>
    <w:p w:rsidR="00C0115F" w:rsidRPr="009A1C8E" w:rsidRDefault="00C0115F" w:rsidP="00830706">
      <w:pPr>
        <w:pStyle w:val="Heading2"/>
      </w:pPr>
      <w:bookmarkStart w:id="20" w:name="_Toc5308582"/>
      <w:bookmarkStart w:id="21" w:name="_Toc5860492"/>
      <w:bookmarkStart w:id="22" w:name="_Toc5860532"/>
      <w:bookmarkStart w:id="23" w:name="_Toc7614934"/>
      <w:r w:rsidRPr="009A1C8E">
        <w:t>Key findings</w:t>
      </w:r>
      <w:bookmarkEnd w:id="20"/>
      <w:bookmarkEnd w:id="21"/>
      <w:bookmarkEnd w:id="22"/>
      <w:bookmarkEnd w:id="23"/>
    </w:p>
    <w:p w:rsidR="00C0115F" w:rsidRPr="009A1C8E" w:rsidRDefault="00C0115F" w:rsidP="00A14F68">
      <w:pPr>
        <w:spacing w:before="120" w:after="120" w:line="276" w:lineRule="auto"/>
      </w:pPr>
      <w:r w:rsidRPr="009A1C8E">
        <w:t xml:space="preserve">NDIS pricing is undermining the long-term sustainability of the Scheme, with </w:t>
      </w:r>
      <w:r w:rsidR="00786B99" w:rsidRPr="009A1C8E">
        <w:t>2018</w:t>
      </w:r>
      <w:r w:rsidR="00482180" w:rsidRPr="009A1C8E">
        <w:t>-</w:t>
      </w:r>
      <w:r w:rsidR="00786B99" w:rsidRPr="009A1C8E">
        <w:t xml:space="preserve">2019 </w:t>
      </w:r>
      <w:r w:rsidRPr="009A1C8E">
        <w:t>prices impacting providers’ ability to remain financially viable, maintain quality and develop a sustainable workforce. Victorian providers are worried they will not be able to provide services (63%) and will have to reduce quality (54%) at current prices.</w:t>
      </w:r>
      <w:r w:rsidR="00856538" w:rsidRPr="009A1C8E">
        <w:t xml:space="preserve"> While NDS welcomes recent</w:t>
      </w:r>
      <w:r w:rsidR="00A9511A" w:rsidRPr="009A1C8E">
        <w:t>ly announced</w:t>
      </w:r>
      <w:r w:rsidR="00856538" w:rsidRPr="009A1C8E">
        <w:t xml:space="preserve"> pric</w:t>
      </w:r>
      <w:r w:rsidR="00A9511A" w:rsidRPr="009A1C8E">
        <w:t>e increases</w:t>
      </w:r>
      <w:r w:rsidR="00856538" w:rsidRPr="009A1C8E">
        <w:t>, th</w:t>
      </w:r>
      <w:r w:rsidR="0087438B" w:rsidRPr="009A1C8E">
        <w:t xml:space="preserve">is does not </w:t>
      </w:r>
      <w:r w:rsidR="00E85361" w:rsidRPr="009A1C8E">
        <w:t xml:space="preserve">solve all the issues, and does not </w:t>
      </w:r>
      <w:r w:rsidR="0087438B" w:rsidRPr="009A1C8E">
        <w:t xml:space="preserve">mean </w:t>
      </w:r>
      <w:r w:rsidR="00856538" w:rsidRPr="009A1C8E">
        <w:t xml:space="preserve">the impact of insufficient </w:t>
      </w:r>
      <w:r w:rsidR="0087438B" w:rsidRPr="009A1C8E">
        <w:t xml:space="preserve">pricing </w:t>
      </w:r>
      <w:r w:rsidR="00E85361" w:rsidRPr="009A1C8E">
        <w:t xml:space="preserve">to date </w:t>
      </w:r>
      <w:r w:rsidR="0087438B" w:rsidRPr="009A1C8E">
        <w:t>can simply</w:t>
      </w:r>
      <w:r w:rsidR="00856538" w:rsidRPr="009A1C8E">
        <w:t xml:space="preserve"> be disregarded.</w:t>
      </w:r>
    </w:p>
    <w:p w:rsidR="00C0115F" w:rsidRPr="009A1C8E" w:rsidRDefault="00C0115F" w:rsidP="00A14F68">
      <w:pPr>
        <w:spacing w:before="120" w:after="120" w:line="276" w:lineRule="auto"/>
      </w:pPr>
      <w:r w:rsidRPr="009A1C8E">
        <w:lastRenderedPageBreak/>
        <w:t xml:space="preserve">The financial viability of Victorian providers is </w:t>
      </w:r>
      <w:r w:rsidR="009A33A2" w:rsidRPr="009A1C8E">
        <w:t xml:space="preserve">under </w:t>
      </w:r>
      <w:r w:rsidRPr="009A1C8E">
        <w:t>threat, with only 46% having mad</w:t>
      </w:r>
      <w:r w:rsidR="009A33A2" w:rsidRPr="009A1C8E">
        <w:t>e a surplus last financial year</w:t>
      </w:r>
      <w:r w:rsidRPr="009A1C8E">
        <w:t xml:space="preserve"> and even fewer</w:t>
      </w:r>
      <w:r w:rsidR="003F6106" w:rsidRPr="009A1C8E">
        <w:t xml:space="preserve"> (43%)</w:t>
      </w:r>
      <w:r w:rsidRPr="009A1C8E">
        <w:t xml:space="preserve"> expecting a profit this year. </w:t>
      </w:r>
      <w:r w:rsidR="009A33A2" w:rsidRPr="009A1C8E">
        <w:t>G</w:t>
      </w:r>
      <w:r w:rsidRPr="009A1C8E">
        <w:t xml:space="preserve">reater risks </w:t>
      </w:r>
      <w:r w:rsidR="009A33A2" w:rsidRPr="009A1C8E">
        <w:t xml:space="preserve">are </w:t>
      </w:r>
      <w:r w:rsidRPr="009A1C8E">
        <w:t>materialising for regional providers, who</w:t>
      </w:r>
      <w:r w:rsidR="009A33A2" w:rsidRPr="009A1C8E">
        <w:t>,</w:t>
      </w:r>
      <w:r w:rsidRPr="009A1C8E">
        <w:t xml:space="preserve"> compared </w:t>
      </w:r>
      <w:r w:rsidR="009A33A2" w:rsidRPr="009A1C8E">
        <w:t xml:space="preserve">with </w:t>
      </w:r>
      <w:r w:rsidRPr="009A1C8E">
        <w:t>metro and state-wide organisations, are more likely to have made a loss last financial year, expect a loss this current year, expect a reduction in financial reserves, and expect greater increases in borrowings to acquire or build assets.</w:t>
      </w:r>
    </w:p>
    <w:p w:rsidR="00C0115F" w:rsidRPr="009A1C8E" w:rsidRDefault="00C0115F" w:rsidP="00A14F68">
      <w:pPr>
        <w:spacing w:before="120" w:after="120" w:line="276" w:lineRule="auto"/>
      </w:pPr>
      <w:r w:rsidRPr="009A1C8E">
        <w:t>A stable and sufficient disability workforce is yet to be achieved with clear supply and sustainability risks emerging as a result of a largely aging workforce (</w:t>
      </w:r>
      <w:r w:rsidR="00645663" w:rsidRPr="009A1C8E">
        <w:t xml:space="preserve">nationally, </w:t>
      </w:r>
      <w:r w:rsidRPr="009A1C8E">
        <w:t>45% aged 45 years and above), a predominately casual workforce (4</w:t>
      </w:r>
      <w:r w:rsidR="00645663" w:rsidRPr="009A1C8E">
        <w:t>3</w:t>
      </w:r>
      <w:r w:rsidRPr="009A1C8E">
        <w:t>%) and high turnover rates of casual staff (7% per quarter). Providers are also unable to effectively recruit and retain certain occupations</w:t>
      </w:r>
      <w:r w:rsidR="003D4D4F" w:rsidRPr="009A1C8E">
        <w:t>, which in Victoria includes key disability support roles</w:t>
      </w:r>
      <w:r w:rsidRPr="009A1C8E">
        <w:t>.</w:t>
      </w:r>
    </w:p>
    <w:p w:rsidR="00C0115F" w:rsidRPr="009A1C8E" w:rsidRDefault="00C0115F" w:rsidP="00A14F68">
      <w:pPr>
        <w:spacing w:before="120" w:after="120" w:line="276" w:lineRule="auto"/>
      </w:pPr>
      <w:r w:rsidRPr="009A1C8E">
        <w:t>People with disability are at risk of not receiving</w:t>
      </w:r>
      <w:r w:rsidR="002113F0" w:rsidRPr="009A1C8E">
        <w:t>, or indeed already going without,</w:t>
      </w:r>
      <w:r w:rsidRPr="009A1C8E">
        <w:t xml:space="preserve"> home modifications and assistive technology (AT) services, transport supports, community participation supports, and high intensity/1:1 supports. </w:t>
      </w:r>
      <w:r w:rsidR="009A33A2" w:rsidRPr="009A1C8E">
        <w:t>P</w:t>
      </w:r>
      <w:r w:rsidRPr="009A1C8E">
        <w:t>eople with complex, specialised needs or challenging behaviours</w:t>
      </w:r>
      <w:r w:rsidR="009A33A2" w:rsidRPr="009A1C8E">
        <w:t xml:space="preserve"> are at particular risk of missing out on services</w:t>
      </w:r>
      <w:r w:rsidRPr="009A1C8E">
        <w:t>.</w:t>
      </w:r>
    </w:p>
    <w:p w:rsidR="00C0115F" w:rsidRPr="009A1C8E" w:rsidRDefault="00C0115F" w:rsidP="00A14F68">
      <w:pPr>
        <w:spacing w:before="120" w:after="120" w:line="276" w:lineRule="auto"/>
      </w:pPr>
      <w:r w:rsidRPr="009A1C8E">
        <w:t xml:space="preserve">NDIS pricing, the financial viability of organisations and the </w:t>
      </w:r>
      <w:r w:rsidRPr="009A1C8E">
        <w:rPr>
          <w:color w:val="000000" w:themeColor="text1"/>
        </w:rPr>
        <w:t xml:space="preserve">availability </w:t>
      </w:r>
      <w:r w:rsidRPr="009A1C8E">
        <w:t>of a flexible workforce are collectively impacting organisations’ decision</w:t>
      </w:r>
      <w:r w:rsidR="009A33A2" w:rsidRPr="009A1C8E">
        <w:t>s</w:t>
      </w:r>
      <w:r w:rsidRPr="009A1C8E">
        <w:t xml:space="preserve"> to merge or wind-up. In the next two years, 38% of providers </w:t>
      </w:r>
      <w:r w:rsidR="009A33A2" w:rsidRPr="009A1C8E">
        <w:t xml:space="preserve">believe it is </w:t>
      </w:r>
      <w:r w:rsidR="00070A5D" w:rsidRPr="009A1C8E">
        <w:t>“</w:t>
      </w:r>
      <w:r w:rsidRPr="009A1C8E">
        <w:t>very likely or likely</w:t>
      </w:r>
      <w:r w:rsidR="003F6106" w:rsidRPr="009A1C8E">
        <w:t>”</w:t>
      </w:r>
      <w:r w:rsidRPr="009A1C8E">
        <w:t xml:space="preserve"> that their organisation will complete a merger. Regional organisations are </w:t>
      </w:r>
      <w:r w:rsidR="004747FE" w:rsidRPr="009A1C8E">
        <w:t xml:space="preserve">more </w:t>
      </w:r>
      <w:r w:rsidRPr="009A1C8E">
        <w:t xml:space="preserve">likely to </w:t>
      </w:r>
      <w:r w:rsidR="009A33A2" w:rsidRPr="009A1C8E">
        <w:t xml:space="preserve">merge </w:t>
      </w:r>
      <w:r w:rsidRPr="009A1C8E">
        <w:t>in the next two years, and winding-up discussions were more common among regional and metro providers</w:t>
      </w:r>
      <w:r w:rsidR="004747FE" w:rsidRPr="009A1C8E">
        <w:t xml:space="preserve"> than larger state-wide organisations</w:t>
      </w:r>
      <w:r w:rsidRPr="009A1C8E">
        <w:t>.</w:t>
      </w:r>
    </w:p>
    <w:p w:rsidR="00C0115F" w:rsidRPr="009A1C8E" w:rsidRDefault="00C0115F" w:rsidP="00A14F68">
      <w:pPr>
        <w:spacing w:before="120" w:after="120" w:line="276" w:lineRule="auto"/>
      </w:pPr>
      <w:r w:rsidRPr="009A1C8E">
        <w:t xml:space="preserve">The current Information, Linkages and Capacity building (ILC) strategy may </w:t>
      </w:r>
      <w:r w:rsidR="009A33A2" w:rsidRPr="009A1C8E">
        <w:t xml:space="preserve">also contribute to the emergence of </w:t>
      </w:r>
      <w:r w:rsidRPr="009A1C8E">
        <w:t>thin markets due to short-term contracts, Local Area Coordinator</w:t>
      </w:r>
      <w:r w:rsidR="00565470" w:rsidRPr="009A1C8E">
        <w:t xml:space="preserve"> (LAC)</w:t>
      </w:r>
      <w:r w:rsidRPr="009A1C8E">
        <w:t xml:space="preserve"> capacity constraints and the net reduction in Victorian funding. The development of provider of last resort arrangements is necessary to ensure participants receive supports, irrespective of market gaps or emergencies.</w:t>
      </w:r>
    </w:p>
    <w:p w:rsidR="00C0115F" w:rsidRPr="009A1C8E" w:rsidRDefault="00C0115F" w:rsidP="00830706">
      <w:pPr>
        <w:pStyle w:val="Heading2"/>
      </w:pPr>
      <w:bookmarkStart w:id="24" w:name="_Toc5308583"/>
      <w:bookmarkStart w:id="25" w:name="_Toc5860493"/>
      <w:bookmarkStart w:id="26" w:name="_Toc5860533"/>
      <w:bookmarkStart w:id="27" w:name="_Toc7614935"/>
      <w:r w:rsidRPr="009A1C8E">
        <w:t xml:space="preserve">Conclusion and </w:t>
      </w:r>
      <w:r w:rsidR="00E22FAD" w:rsidRPr="009A1C8E">
        <w:t>r</w:t>
      </w:r>
      <w:r w:rsidRPr="009A1C8E">
        <w:t>ecommendations</w:t>
      </w:r>
      <w:bookmarkEnd w:id="24"/>
      <w:bookmarkEnd w:id="25"/>
      <w:bookmarkEnd w:id="26"/>
      <w:bookmarkEnd w:id="27"/>
    </w:p>
    <w:p w:rsidR="00C0115F" w:rsidRPr="009A1C8E" w:rsidRDefault="00C0115F" w:rsidP="00A14F68">
      <w:pPr>
        <w:spacing w:before="120" w:after="120" w:line="276" w:lineRule="auto"/>
        <w:rPr>
          <w:color w:val="000000" w:themeColor="text1"/>
        </w:rPr>
      </w:pPr>
      <w:r w:rsidRPr="009A1C8E">
        <w:t>Australia has the opportunity to have a world-leading disability support system, if the NDIS is implemented well. Thin markets are clearly beginning to emerge, however unpacking and mitigating market gaps is complex</w:t>
      </w:r>
      <w:r w:rsidRPr="009A1C8E">
        <w:rPr>
          <w:color w:val="000000" w:themeColor="text1"/>
        </w:rPr>
        <w:t xml:space="preserve">. </w:t>
      </w:r>
      <w:r w:rsidRPr="009A1C8E">
        <w:t xml:space="preserve">The not-for-profit disability sector will require a level of funded sector development support post NDIS implementation. Failure to address market risks will </w:t>
      </w:r>
      <w:r w:rsidRPr="009A1C8E">
        <w:rPr>
          <w:color w:val="000000" w:themeColor="text1"/>
        </w:rPr>
        <w:t xml:space="preserve">undermine the success of the Scheme. Success will enable people with disability </w:t>
      </w:r>
      <w:r w:rsidRPr="009A1C8E">
        <w:t>to achieve their goals and participate economically and socially, irrespective of their location or needs.</w:t>
      </w:r>
    </w:p>
    <w:p w:rsidR="00C0115F" w:rsidRPr="009A1C8E" w:rsidRDefault="00C0115F" w:rsidP="00A14F68">
      <w:pPr>
        <w:spacing w:before="120" w:after="120" w:line="276" w:lineRule="auto"/>
      </w:pPr>
      <w:r w:rsidRPr="009A1C8E">
        <w:lastRenderedPageBreak/>
        <w:t>In light of the findings, the following recommendations are proposed for Governments, the NDIA and NDS to consider in mitigating the risk of thin markets post NDIS implementation.</w:t>
      </w:r>
    </w:p>
    <w:p w:rsidR="00C0115F" w:rsidRPr="009A1C8E" w:rsidRDefault="00C0115F" w:rsidP="00830706">
      <w:pPr>
        <w:pStyle w:val="Heading3"/>
      </w:pPr>
      <w:r w:rsidRPr="009A1C8E">
        <w:t>Recommendations for Governments and the NDIA</w:t>
      </w:r>
    </w:p>
    <w:p w:rsidR="00C0115F" w:rsidRPr="009A1C8E" w:rsidRDefault="00C0115F" w:rsidP="00A14F68">
      <w:pPr>
        <w:pStyle w:val="ListParagraph"/>
        <w:numPr>
          <w:ilvl w:val="0"/>
          <w:numId w:val="33"/>
        </w:numPr>
        <w:spacing w:before="120" w:after="120" w:line="276" w:lineRule="auto"/>
      </w:pPr>
      <w:r w:rsidRPr="009A1C8E">
        <w:t>Invest in sector development during the 2-3 years post NDIS transition to enable the delivery of necessary supports identified below, particularly targeting rural and regional areas.</w:t>
      </w:r>
    </w:p>
    <w:p w:rsidR="00C0115F" w:rsidRPr="009A1C8E" w:rsidRDefault="00C0115F" w:rsidP="00A14F68">
      <w:pPr>
        <w:pStyle w:val="ListParagraph"/>
        <w:numPr>
          <w:ilvl w:val="0"/>
          <w:numId w:val="33"/>
        </w:numPr>
        <w:spacing w:before="120" w:after="120" w:line="276" w:lineRule="auto"/>
      </w:pPr>
      <w:r w:rsidRPr="009A1C8E">
        <w:t>Embrace a market stewardship approach by considering local market conditions, engaging closely with all NDIS stakeholders, monitoring the market and steering the system, whilst also determining mechanisms to mitigate thin markets with perhaps:</w:t>
      </w:r>
    </w:p>
    <w:p w:rsidR="00C0115F" w:rsidRPr="009A1C8E" w:rsidRDefault="00C0115F" w:rsidP="00A14F68">
      <w:pPr>
        <w:pStyle w:val="ListParagraph"/>
        <w:numPr>
          <w:ilvl w:val="1"/>
          <w:numId w:val="33"/>
        </w:numPr>
        <w:spacing w:before="120" w:after="120" w:line="276" w:lineRule="auto"/>
      </w:pPr>
      <w:r w:rsidRPr="009A1C8E">
        <w:t>Incentives for rural/regional</w:t>
      </w:r>
      <w:r w:rsidR="00877D28" w:rsidRPr="009A1C8E">
        <w:t xml:space="preserve"> and</w:t>
      </w:r>
      <w:r w:rsidRPr="009A1C8E">
        <w:t xml:space="preserve"> niche providers  to enter and remain in market;</w:t>
      </w:r>
    </w:p>
    <w:p w:rsidR="00C0115F" w:rsidRPr="009A1C8E" w:rsidRDefault="00C0115F" w:rsidP="00A14F68">
      <w:pPr>
        <w:pStyle w:val="ListParagraph"/>
        <w:numPr>
          <w:ilvl w:val="1"/>
          <w:numId w:val="33"/>
        </w:numPr>
        <w:spacing w:before="120" w:after="120" w:line="276" w:lineRule="auto"/>
      </w:pPr>
      <w:r w:rsidRPr="009A1C8E">
        <w:t>Employing a system of soft checks to identify supports that providers in thin markets require to remain viable and stay in business; and</w:t>
      </w:r>
    </w:p>
    <w:p w:rsidR="00C0115F" w:rsidRPr="009A1C8E" w:rsidRDefault="00C0115F" w:rsidP="00A14F68">
      <w:pPr>
        <w:pStyle w:val="ListParagraph"/>
        <w:numPr>
          <w:ilvl w:val="1"/>
          <w:numId w:val="33"/>
        </w:numPr>
        <w:spacing w:before="120" w:after="120" w:line="276" w:lineRule="auto"/>
      </w:pPr>
      <w:r w:rsidRPr="009A1C8E">
        <w:t>Using seed funding or grants for types of service provision identified as thin markets.</w:t>
      </w:r>
    </w:p>
    <w:p w:rsidR="00C0115F" w:rsidRPr="009A1C8E" w:rsidRDefault="00C0115F" w:rsidP="00A14F68">
      <w:pPr>
        <w:pStyle w:val="ListParagraph"/>
        <w:numPr>
          <w:ilvl w:val="0"/>
          <w:numId w:val="33"/>
        </w:numPr>
        <w:spacing w:before="120" w:after="120" w:line="276" w:lineRule="auto"/>
      </w:pPr>
      <w:r w:rsidRPr="009A1C8E">
        <w:t>Implement the following actions to reduce the implications of inadequate NDIS pricing on providers’ ability to remain financially viability, maintain service quality and develop a flexible and sustainable workforce:</w:t>
      </w:r>
    </w:p>
    <w:p w:rsidR="00C0115F" w:rsidRPr="009A1C8E" w:rsidRDefault="002113F0" w:rsidP="00A14F68">
      <w:pPr>
        <w:pStyle w:val="ListParagraph"/>
        <w:numPr>
          <w:ilvl w:val="1"/>
          <w:numId w:val="32"/>
        </w:numPr>
        <w:spacing w:before="120" w:after="120" w:line="276" w:lineRule="auto"/>
      </w:pPr>
      <w:r w:rsidRPr="009A1C8E">
        <w:t>Ensure</w:t>
      </w:r>
      <w:r w:rsidR="00C0115F" w:rsidRPr="009A1C8E">
        <w:t xml:space="preserve"> NDIS pricing reflect</w:t>
      </w:r>
      <w:r w:rsidRPr="009A1C8E">
        <w:t>s</w:t>
      </w:r>
      <w:r w:rsidR="00C0115F" w:rsidRPr="009A1C8E">
        <w:t xml:space="preserve"> the true cost of service provision;</w:t>
      </w:r>
    </w:p>
    <w:p w:rsidR="00C0115F" w:rsidRPr="009A1C8E" w:rsidRDefault="00C0115F" w:rsidP="00A14F68">
      <w:pPr>
        <w:pStyle w:val="ListParagraph"/>
        <w:numPr>
          <w:ilvl w:val="1"/>
          <w:numId w:val="32"/>
        </w:numPr>
        <w:spacing w:before="120" w:after="120" w:line="276" w:lineRule="auto"/>
      </w:pPr>
      <w:r w:rsidRPr="009A1C8E">
        <w:t>Expand the price setting criteria in the NDIS Act to ensure pricing is responsive to local market conditions;</w:t>
      </w:r>
    </w:p>
    <w:p w:rsidR="00C0115F" w:rsidRPr="009A1C8E" w:rsidRDefault="00C0115F" w:rsidP="00A14F68">
      <w:pPr>
        <w:pStyle w:val="ListParagraph"/>
        <w:numPr>
          <w:ilvl w:val="1"/>
          <w:numId w:val="32"/>
        </w:numPr>
        <w:spacing w:before="120" w:after="120" w:line="276" w:lineRule="auto"/>
      </w:pPr>
      <w:r w:rsidRPr="009A1C8E">
        <w:t>Ensure the benchmarking of prices to mature markets also considers geographical and participant contexts, not merely similar services;</w:t>
      </w:r>
    </w:p>
    <w:p w:rsidR="00C0115F" w:rsidRPr="009A1C8E" w:rsidRDefault="00C0115F" w:rsidP="00A14F68">
      <w:pPr>
        <w:pStyle w:val="ListParagraph"/>
        <w:numPr>
          <w:ilvl w:val="1"/>
          <w:numId w:val="32"/>
        </w:numPr>
        <w:spacing w:before="120" w:after="120" w:line="276" w:lineRule="auto"/>
      </w:pPr>
      <w:r w:rsidRPr="009A1C8E">
        <w:t>Transfer the price-setting role to an independent agency by July 2019 to increase transparency and ensure market development is evidence-based; and</w:t>
      </w:r>
    </w:p>
    <w:p w:rsidR="00C0115F" w:rsidRPr="009A1C8E" w:rsidRDefault="00C0115F" w:rsidP="00A14F68">
      <w:pPr>
        <w:pStyle w:val="ListParagraph"/>
        <w:numPr>
          <w:ilvl w:val="1"/>
          <w:numId w:val="32"/>
        </w:numPr>
        <w:spacing w:before="120" w:after="120" w:line="276" w:lineRule="auto"/>
        <w:rPr>
          <w:color w:val="000000" w:themeColor="text1"/>
        </w:rPr>
      </w:pPr>
      <w:r w:rsidRPr="009A1C8E">
        <w:rPr>
          <w:color w:val="000000" w:themeColor="text1"/>
        </w:rPr>
        <w:t xml:space="preserve">Develop a clear deregulation strategy that trials price </w:t>
      </w:r>
      <w:r w:rsidRPr="009A1C8E">
        <w:t>deregulation in specific geographical sites, or service types.</w:t>
      </w:r>
    </w:p>
    <w:p w:rsidR="00C0115F" w:rsidRPr="009A1C8E" w:rsidRDefault="00C0115F" w:rsidP="00A14F68">
      <w:pPr>
        <w:pStyle w:val="ListParagraph"/>
        <w:numPr>
          <w:ilvl w:val="0"/>
          <w:numId w:val="33"/>
        </w:numPr>
        <w:spacing w:before="120" w:after="120" w:line="276" w:lineRule="auto"/>
      </w:pPr>
      <w:r w:rsidRPr="009A1C8E">
        <w:t>Review and remove unnecessary NDIA red tape to better support the financial sustainability of NDIS providers.</w:t>
      </w:r>
    </w:p>
    <w:p w:rsidR="00C0115F" w:rsidRPr="009A1C8E" w:rsidRDefault="00C0115F" w:rsidP="00A14F68">
      <w:pPr>
        <w:pStyle w:val="ListParagraph"/>
        <w:numPr>
          <w:ilvl w:val="0"/>
          <w:numId w:val="33"/>
        </w:numPr>
        <w:spacing w:before="120" w:after="120" w:line="276" w:lineRule="auto"/>
      </w:pPr>
      <w:r w:rsidRPr="009A1C8E">
        <w:t>Invest in the supply-side to enable people with disability to purchase services from providers with a sustainable workforce that delivers high-quality, customer-focussed services. This may be achieved through:</w:t>
      </w:r>
    </w:p>
    <w:p w:rsidR="00C0115F" w:rsidRPr="009A1C8E" w:rsidRDefault="00C0115F" w:rsidP="00A14F68">
      <w:pPr>
        <w:pStyle w:val="ListParagraph"/>
        <w:numPr>
          <w:ilvl w:val="1"/>
          <w:numId w:val="33"/>
        </w:numPr>
        <w:spacing w:before="120" w:after="120" w:line="276" w:lineRule="auto"/>
      </w:pPr>
      <w:r w:rsidRPr="009A1C8E">
        <w:t>Supporting local stakeholders and communities to come together, collaborate and find solutions to local issues;</w:t>
      </w:r>
    </w:p>
    <w:p w:rsidR="00C0115F" w:rsidRPr="009A1C8E" w:rsidRDefault="00C0115F" w:rsidP="00A14F68">
      <w:pPr>
        <w:pStyle w:val="ListParagraph"/>
        <w:numPr>
          <w:ilvl w:val="1"/>
          <w:numId w:val="33"/>
        </w:numPr>
        <w:spacing w:before="120" w:after="120" w:line="276" w:lineRule="auto"/>
      </w:pPr>
      <w:r w:rsidRPr="009A1C8E">
        <w:lastRenderedPageBreak/>
        <w:t>Developing a funded, portable training entitlement for disability support workers to acquire specialised skills and qualifications and develop their career;</w:t>
      </w:r>
    </w:p>
    <w:p w:rsidR="00C0115F" w:rsidRPr="009A1C8E" w:rsidRDefault="00C0115F" w:rsidP="00A14F68">
      <w:pPr>
        <w:pStyle w:val="ListParagraph"/>
        <w:numPr>
          <w:ilvl w:val="1"/>
          <w:numId w:val="33"/>
        </w:numPr>
        <w:spacing w:before="120" w:after="120" w:line="276" w:lineRule="auto"/>
      </w:pPr>
      <w:r w:rsidRPr="009A1C8E">
        <w:t>Centrally involving NDS in the development of the NDIS Capability Framework and drawing on NDS’ well-established Workforce Capability Framework and extensive workforce d</w:t>
      </w:r>
      <w:r w:rsidR="00D812DA" w:rsidRPr="009A1C8E">
        <w:t>evelopment tools and resources;</w:t>
      </w:r>
    </w:p>
    <w:p w:rsidR="00C0115F" w:rsidRPr="009A1C8E" w:rsidRDefault="00C0115F" w:rsidP="00A14F68">
      <w:pPr>
        <w:pStyle w:val="ListParagraph"/>
        <w:numPr>
          <w:ilvl w:val="1"/>
          <w:numId w:val="33"/>
        </w:numPr>
        <w:spacing w:before="120" w:after="120" w:line="276" w:lineRule="auto"/>
      </w:pPr>
      <w:r w:rsidRPr="009A1C8E">
        <w:t>Providing Government funding for university places and scholarships to attract new graduates into the sector;</w:t>
      </w:r>
    </w:p>
    <w:p w:rsidR="00C0115F" w:rsidRPr="009A1C8E" w:rsidRDefault="00C0115F" w:rsidP="00A14F68">
      <w:pPr>
        <w:pStyle w:val="ListParagraph"/>
        <w:numPr>
          <w:ilvl w:val="1"/>
          <w:numId w:val="33"/>
        </w:numPr>
        <w:spacing w:before="120" w:after="120" w:line="276" w:lineRule="auto"/>
      </w:pPr>
      <w:r w:rsidRPr="009A1C8E">
        <w:t>Greater funding for NDS’ workforce attraction initiatives</w:t>
      </w:r>
      <w:r w:rsidR="00030F90" w:rsidRPr="009A1C8E">
        <w:t>,</w:t>
      </w:r>
      <w:r w:rsidRPr="009A1C8E">
        <w:t xml:space="preserve"> such as </w:t>
      </w:r>
      <w:proofErr w:type="spellStart"/>
      <w:r w:rsidRPr="009A1C8E">
        <w:t>projectABLE</w:t>
      </w:r>
      <w:proofErr w:type="spellEnd"/>
      <w:r w:rsidR="00030F90" w:rsidRPr="009A1C8E">
        <w:t>,</w:t>
      </w:r>
      <w:r w:rsidRPr="009A1C8E">
        <w:t xml:space="preserve"> to extend the reach of these successful programs;</w:t>
      </w:r>
    </w:p>
    <w:p w:rsidR="00C0115F" w:rsidRPr="009A1C8E" w:rsidRDefault="00C0115F" w:rsidP="00A14F68">
      <w:pPr>
        <w:pStyle w:val="ListParagraph"/>
        <w:numPr>
          <w:ilvl w:val="1"/>
          <w:numId w:val="33"/>
        </w:numPr>
        <w:spacing w:before="120" w:after="120" w:line="276" w:lineRule="auto"/>
        <w:rPr>
          <w:color w:val="000000" w:themeColor="text1"/>
        </w:rPr>
      </w:pPr>
      <w:r w:rsidRPr="009A1C8E">
        <w:t>Funding to maintain NDS’ regular Workforce Wizard data collection and analysis, as it continues to fill a major workforce data gap;</w:t>
      </w:r>
    </w:p>
    <w:p w:rsidR="00C0115F" w:rsidRPr="009A1C8E" w:rsidRDefault="00C0115F" w:rsidP="00A14F68">
      <w:pPr>
        <w:pStyle w:val="ListParagraph"/>
        <w:numPr>
          <w:ilvl w:val="1"/>
          <w:numId w:val="33"/>
        </w:numPr>
        <w:spacing w:before="120" w:after="120" w:line="276" w:lineRule="auto"/>
      </w:pPr>
      <w:r w:rsidRPr="009A1C8E">
        <w:t>Funding for the regular ongoing collection of detailed disability workforce information, by a statutory authority (such as ABS or Australian Institute of Health and Welfare); and</w:t>
      </w:r>
    </w:p>
    <w:p w:rsidR="00C0115F" w:rsidRPr="009A1C8E" w:rsidRDefault="00C0115F" w:rsidP="00A14F68">
      <w:pPr>
        <w:pStyle w:val="ListParagraph"/>
        <w:numPr>
          <w:ilvl w:val="1"/>
          <w:numId w:val="33"/>
        </w:numPr>
        <w:spacing w:before="120" w:after="120" w:line="276" w:lineRule="auto"/>
      </w:pPr>
      <w:r w:rsidRPr="009A1C8E">
        <w:t>Publishing additional market data including information about areas of unmet needs, so providers can actively plan and develop their workforce.</w:t>
      </w:r>
    </w:p>
    <w:p w:rsidR="00C0115F" w:rsidRPr="009A1C8E" w:rsidRDefault="00C0115F" w:rsidP="00A14F68">
      <w:pPr>
        <w:pStyle w:val="ListParagraph"/>
        <w:numPr>
          <w:ilvl w:val="0"/>
          <w:numId w:val="33"/>
        </w:numPr>
        <w:spacing w:before="120" w:after="120" w:line="276" w:lineRule="auto"/>
      </w:pPr>
      <w:r w:rsidRPr="009A1C8E">
        <w:t>Develop clear mechanisms to monitor services at risk of closure, and based on the services</w:t>
      </w:r>
      <w:r w:rsidR="00A0046E" w:rsidRPr="009A1C8E">
        <w:t xml:space="preserve"> at risk from this report:</w:t>
      </w:r>
    </w:p>
    <w:p w:rsidR="00C0115F" w:rsidRPr="009A1C8E" w:rsidRDefault="00C0115F" w:rsidP="00A14F68">
      <w:pPr>
        <w:pStyle w:val="ListParagraph"/>
        <w:numPr>
          <w:ilvl w:val="1"/>
          <w:numId w:val="33"/>
        </w:numPr>
        <w:spacing w:before="120" w:after="120" w:line="276" w:lineRule="auto"/>
      </w:pPr>
      <w:r w:rsidRPr="009A1C8E">
        <w:t>Publish the outcomes from the Assistive Technology and Home Modifications Redesign Project to ensure that people with disability are able to achieve their goals with AT and home modification services;</w:t>
      </w:r>
    </w:p>
    <w:p w:rsidR="00C0115F" w:rsidRPr="009A1C8E" w:rsidRDefault="00C0115F" w:rsidP="00A14F68">
      <w:pPr>
        <w:pStyle w:val="ListParagraph"/>
        <w:numPr>
          <w:ilvl w:val="1"/>
          <w:numId w:val="33"/>
        </w:numPr>
        <w:spacing w:before="120" w:after="120" w:line="276" w:lineRule="auto"/>
      </w:pPr>
      <w:r w:rsidRPr="009A1C8E">
        <w:t>Ensure people with disability have access to community, social and economic opportunities by adjusting NDIS transport prices</w:t>
      </w:r>
      <w:r w:rsidR="00FC2112" w:rsidRPr="009A1C8E">
        <w:t xml:space="preserve"> to reflect the true cost of service provision</w:t>
      </w:r>
      <w:r w:rsidRPr="009A1C8E">
        <w:t>, investing in a Victorian community transport strategy and accessible infrastructure,</w:t>
      </w:r>
      <w:r w:rsidR="00481E27" w:rsidRPr="009A1C8E">
        <w:t xml:space="preserve"> ensuring adequate NDIS participant transport funding, confirming the eligibility of NDIS participants in the Multi-Purpose Taxi Program,</w:t>
      </w:r>
      <w:r w:rsidRPr="009A1C8E">
        <w:t xml:space="preserve"> and piloting the development of fleet management models and transport technology;</w:t>
      </w:r>
    </w:p>
    <w:p w:rsidR="00C0115F" w:rsidRPr="009A1C8E" w:rsidRDefault="00C0115F" w:rsidP="00A14F68">
      <w:pPr>
        <w:pStyle w:val="ListParagraph"/>
        <w:numPr>
          <w:ilvl w:val="1"/>
          <w:numId w:val="33"/>
        </w:numPr>
        <w:spacing w:before="120" w:after="120" w:line="276" w:lineRule="auto"/>
      </w:pPr>
      <w:r w:rsidRPr="009A1C8E">
        <w:t>Monitor the provision of community-based day services to ensure people with disability have the opportunity to engage in community, social and recreational activities; and</w:t>
      </w:r>
    </w:p>
    <w:p w:rsidR="00C0115F" w:rsidRPr="009A1C8E" w:rsidRDefault="00C0115F" w:rsidP="00A14F68">
      <w:pPr>
        <w:pStyle w:val="ListParagraph"/>
        <w:numPr>
          <w:ilvl w:val="1"/>
          <w:numId w:val="33"/>
        </w:numPr>
        <w:spacing w:before="120" w:after="120" w:line="276" w:lineRule="auto"/>
      </w:pPr>
      <w:r w:rsidRPr="009A1C8E">
        <w:t>Determine incentives for rural/regional travel provisions for providers so NDIS participants in regional and rural locations are not left without service.</w:t>
      </w:r>
    </w:p>
    <w:p w:rsidR="00C0115F" w:rsidRPr="009A1C8E" w:rsidRDefault="00C0115F" w:rsidP="00A14F68">
      <w:pPr>
        <w:pStyle w:val="ListParagraph"/>
        <w:numPr>
          <w:ilvl w:val="0"/>
          <w:numId w:val="33"/>
        </w:numPr>
        <w:spacing w:before="120" w:after="120" w:line="276" w:lineRule="auto"/>
      </w:pPr>
      <w:r w:rsidRPr="009A1C8E">
        <w:t>Implement the following actions to mitigate the risk that people with complex, specialised needs or challenging behaviours experience thin markets:</w:t>
      </w:r>
    </w:p>
    <w:p w:rsidR="00C0115F" w:rsidRPr="009A1C8E" w:rsidRDefault="00C0115F" w:rsidP="00A14F68">
      <w:pPr>
        <w:pStyle w:val="ListParagraph"/>
        <w:numPr>
          <w:ilvl w:val="1"/>
          <w:numId w:val="33"/>
        </w:numPr>
        <w:spacing w:before="120" w:after="120" w:line="276" w:lineRule="auto"/>
      </w:pPr>
      <w:r w:rsidRPr="009A1C8E">
        <w:t>Continued review of NDIS prices for high intensity/complex needs supports;</w:t>
      </w:r>
    </w:p>
    <w:p w:rsidR="00C0115F" w:rsidRPr="009A1C8E" w:rsidRDefault="00C0115F" w:rsidP="00A14F68">
      <w:pPr>
        <w:pStyle w:val="ListParagraph"/>
        <w:numPr>
          <w:ilvl w:val="1"/>
          <w:numId w:val="33"/>
        </w:numPr>
        <w:spacing w:before="120" w:after="120" w:line="276" w:lineRule="auto"/>
      </w:pPr>
      <w:r w:rsidRPr="009A1C8E">
        <w:lastRenderedPageBreak/>
        <w:t>Funding training to support the development of a suitably skilled workforce, which also enables organisations to meet the obligations mandated by the NDIS Quality and Safeguards Commission; and</w:t>
      </w:r>
    </w:p>
    <w:p w:rsidR="00C0115F" w:rsidRPr="009A1C8E" w:rsidRDefault="00C0115F" w:rsidP="00A14F68">
      <w:pPr>
        <w:pStyle w:val="ListParagraph"/>
        <w:numPr>
          <w:ilvl w:val="1"/>
          <w:numId w:val="33"/>
        </w:numPr>
        <w:spacing w:before="120" w:after="120" w:line="276" w:lineRule="auto"/>
      </w:pPr>
      <w:r w:rsidRPr="009A1C8E">
        <w:t>Monitoring the outcomes of the Complex Needs Support Pathway to ensure participants receive adequate plans.</w:t>
      </w:r>
    </w:p>
    <w:p w:rsidR="00C0115F" w:rsidRPr="009A1C8E" w:rsidRDefault="00C0115F" w:rsidP="00A14F68">
      <w:pPr>
        <w:pStyle w:val="ListParagraph"/>
        <w:numPr>
          <w:ilvl w:val="0"/>
          <w:numId w:val="33"/>
        </w:numPr>
        <w:spacing w:before="120" w:after="120" w:line="276" w:lineRule="auto"/>
      </w:pPr>
      <w:r w:rsidRPr="009A1C8E">
        <w:t>Ensure appropriate measures are in place for people with disability to receive supports, irrespective o</w:t>
      </w:r>
      <w:r w:rsidR="0011728F" w:rsidRPr="009A1C8E">
        <w:t>f</w:t>
      </w:r>
      <w:r w:rsidRPr="009A1C8E">
        <w:t xml:space="preserve"> inexistent markets by:</w:t>
      </w:r>
    </w:p>
    <w:p w:rsidR="00C0115F" w:rsidRPr="009A1C8E" w:rsidRDefault="00C0115F" w:rsidP="00A14F68">
      <w:pPr>
        <w:pStyle w:val="ListParagraph"/>
        <w:numPr>
          <w:ilvl w:val="1"/>
          <w:numId w:val="33"/>
        </w:numPr>
        <w:spacing w:before="120" w:after="120" w:line="276" w:lineRule="auto"/>
        <w:rPr>
          <w:color w:val="000000" w:themeColor="text1"/>
        </w:rPr>
      </w:pPr>
      <w:r w:rsidRPr="009A1C8E">
        <w:t xml:space="preserve">Publicly releasing the outcomes of the Maintaining Critical Supports </w:t>
      </w:r>
      <w:r w:rsidR="008F1449" w:rsidRPr="009A1C8E">
        <w:t>P</w:t>
      </w:r>
      <w:r w:rsidRPr="009A1C8E">
        <w:t xml:space="preserve">roject and the policy </w:t>
      </w:r>
      <w:r w:rsidR="00810A2D" w:rsidRPr="009A1C8E">
        <w:t>and practice responses for provider of</w:t>
      </w:r>
      <w:r w:rsidRPr="009A1C8E">
        <w:t xml:space="preserve"> last resort arrangements; and</w:t>
      </w:r>
    </w:p>
    <w:p w:rsidR="00C0115F" w:rsidRPr="009A1C8E" w:rsidRDefault="00C0115F" w:rsidP="00A14F68">
      <w:pPr>
        <w:pStyle w:val="ListParagraph"/>
        <w:numPr>
          <w:ilvl w:val="1"/>
          <w:numId w:val="33"/>
        </w:numPr>
        <w:spacing w:before="120" w:after="120" w:line="276" w:lineRule="auto"/>
        <w:rPr>
          <w:color w:val="000000" w:themeColor="text1"/>
        </w:rPr>
      </w:pPr>
      <w:r w:rsidRPr="009A1C8E">
        <w:t xml:space="preserve">Developing a flexible crisis response approach, enabling participants to receive emergency supports whilst also giving providers the confidence that </w:t>
      </w:r>
      <w:r w:rsidR="006D4DBF" w:rsidRPr="009A1C8E">
        <w:t xml:space="preserve">support </w:t>
      </w:r>
      <w:r w:rsidRPr="009A1C8E">
        <w:t>costs will be covered.</w:t>
      </w:r>
    </w:p>
    <w:p w:rsidR="00C0115F" w:rsidRPr="009A1C8E" w:rsidRDefault="00C0115F" w:rsidP="00A14F68">
      <w:pPr>
        <w:pStyle w:val="ListParagraph"/>
        <w:numPr>
          <w:ilvl w:val="0"/>
          <w:numId w:val="33"/>
        </w:numPr>
        <w:spacing w:before="120" w:after="120" w:line="276" w:lineRule="auto"/>
      </w:pPr>
      <w:r w:rsidRPr="009A1C8E">
        <w:t>Strengthen the ILC to avoid the development of thin markets by:</w:t>
      </w:r>
    </w:p>
    <w:p w:rsidR="00C0115F" w:rsidRPr="009A1C8E" w:rsidRDefault="00C0115F" w:rsidP="00A14F68">
      <w:pPr>
        <w:pStyle w:val="ListParagraph"/>
        <w:numPr>
          <w:ilvl w:val="1"/>
          <w:numId w:val="33"/>
        </w:numPr>
        <w:spacing w:before="120" w:after="120" w:line="276" w:lineRule="auto"/>
      </w:pPr>
      <w:r w:rsidRPr="009A1C8E">
        <w:t>Implementing seven-year ILC contracts, enabling providers to build relationships in the community and achieve stronger outcomes for participants;</w:t>
      </w:r>
    </w:p>
    <w:p w:rsidR="00C0115F" w:rsidRPr="009A1C8E" w:rsidRDefault="00C0115F" w:rsidP="00A14F68">
      <w:pPr>
        <w:pStyle w:val="ListParagraph"/>
        <w:numPr>
          <w:ilvl w:val="1"/>
          <w:numId w:val="33"/>
        </w:numPr>
        <w:spacing w:before="120" w:after="120" w:line="276" w:lineRule="auto"/>
      </w:pPr>
      <w:r w:rsidRPr="009A1C8E">
        <w:t>Reviewing and monitoring the current ILC grant funding model, with the view of introducing much longer terms for funding of essential services without a competitive grant process</w:t>
      </w:r>
      <w:r w:rsidR="00A0046E" w:rsidRPr="009A1C8E">
        <w:t>;</w:t>
      </w:r>
    </w:p>
    <w:p w:rsidR="00C0115F" w:rsidRPr="009A1C8E" w:rsidRDefault="00C0115F" w:rsidP="00A14F68">
      <w:pPr>
        <w:pStyle w:val="ListParagraph"/>
        <w:numPr>
          <w:ilvl w:val="1"/>
          <w:numId w:val="33"/>
        </w:numPr>
        <w:spacing w:before="120" w:after="120" w:line="276" w:lineRule="auto"/>
      </w:pPr>
      <w:r w:rsidRPr="009A1C8E">
        <w:t>Recognising that</w:t>
      </w:r>
      <w:r w:rsidR="003C369D" w:rsidRPr="009A1C8E">
        <w:t xml:space="preserve"> LAC</w:t>
      </w:r>
      <w:r w:rsidR="004E7B3F" w:rsidRPr="009A1C8E">
        <w:t xml:space="preserve"> capacity constraints limit</w:t>
      </w:r>
      <w:r w:rsidRPr="009A1C8E">
        <w:t xml:space="preserve"> ILC success, and thus investing in further person-centred training for LACs to enhance their ability to link participants to services and build participant capacity, as well as ensuring a consistent approach across regions;</w:t>
      </w:r>
    </w:p>
    <w:p w:rsidR="00C0115F" w:rsidRPr="009A1C8E" w:rsidRDefault="00C0115F" w:rsidP="00A14F68">
      <w:pPr>
        <w:pStyle w:val="ListParagraph"/>
        <w:numPr>
          <w:ilvl w:val="1"/>
          <w:numId w:val="33"/>
        </w:numPr>
        <w:spacing w:before="120" w:after="120" w:line="276" w:lineRule="auto"/>
      </w:pPr>
      <w:r w:rsidRPr="009A1C8E">
        <w:t xml:space="preserve">Ensuring that the NDIA and Commonwealth Government recognise the crucial role that the </w:t>
      </w:r>
      <w:r w:rsidR="009A26F4" w:rsidRPr="009A1C8E">
        <w:t>Building Inclusive Community (</w:t>
      </w:r>
      <w:r w:rsidRPr="009A1C8E">
        <w:t>BIC</w:t>
      </w:r>
      <w:r w:rsidR="009A26F4" w:rsidRPr="009A1C8E">
        <w:t>)</w:t>
      </w:r>
      <w:r w:rsidRPr="009A1C8E">
        <w:t xml:space="preserve"> program played in Victoria and the effect of losing the significant expertise, community capacity and social capital with the transition to the ILC.</w:t>
      </w:r>
    </w:p>
    <w:p w:rsidR="00C0115F" w:rsidRPr="00830706" w:rsidRDefault="00C0115F" w:rsidP="00830706">
      <w:pPr>
        <w:pStyle w:val="Heading3"/>
      </w:pPr>
      <w:r w:rsidRPr="00830706">
        <w:t>Recommendations for NDS</w:t>
      </w:r>
    </w:p>
    <w:p w:rsidR="00C0115F" w:rsidRPr="002F1219" w:rsidRDefault="00C0115F" w:rsidP="00A14F68">
      <w:pPr>
        <w:spacing w:before="120" w:after="120" w:line="276" w:lineRule="auto"/>
      </w:pPr>
      <w:r w:rsidRPr="002F1219">
        <w:t>Continue delivering sector development initiatives that consider local needs, providing intelligence, evidence and analysis to influence policy across all areas of Government, and collaborating with providers and people with disability, families and carers to promote the development of a sustainable and diverse NDIS market.</w:t>
      </w:r>
    </w:p>
    <w:p w:rsidR="00C0115F" w:rsidRPr="009A1C8E" w:rsidRDefault="00C0115F" w:rsidP="00A14F68">
      <w:pPr>
        <w:pStyle w:val="ListParagraph"/>
        <w:numPr>
          <w:ilvl w:val="0"/>
          <w:numId w:val="31"/>
        </w:numPr>
        <w:spacing w:before="120" w:after="120" w:line="276" w:lineRule="auto"/>
      </w:pPr>
      <w:r w:rsidRPr="009A1C8E">
        <w:t>Support providers to improve their financial management capabilities and processes, with:</w:t>
      </w:r>
    </w:p>
    <w:p w:rsidR="00C0115F" w:rsidRPr="009A1C8E" w:rsidRDefault="00C0115F" w:rsidP="00A14F68">
      <w:pPr>
        <w:pStyle w:val="ListParagraph"/>
        <w:numPr>
          <w:ilvl w:val="1"/>
          <w:numId w:val="31"/>
        </w:numPr>
        <w:spacing w:before="120" w:after="120" w:line="276" w:lineRule="auto"/>
      </w:pPr>
      <w:r w:rsidRPr="009A1C8E">
        <w:lastRenderedPageBreak/>
        <w:t>A particular focus on improving costing and financial processes and controls for providers to drive operational productivity, back-office efficiency, and further reduce corporate overheads; and</w:t>
      </w:r>
    </w:p>
    <w:p w:rsidR="00C0115F" w:rsidRPr="009A1C8E" w:rsidRDefault="00C0115F" w:rsidP="00A14F68">
      <w:pPr>
        <w:pStyle w:val="ListParagraph"/>
        <w:numPr>
          <w:ilvl w:val="1"/>
          <w:numId w:val="31"/>
        </w:numPr>
        <w:spacing w:before="120" w:after="120" w:line="276" w:lineRule="auto"/>
      </w:pPr>
      <w:r w:rsidRPr="009A1C8E">
        <w:t>Targeting regional organisations, as there is already an emerging viability risk.</w:t>
      </w:r>
    </w:p>
    <w:p w:rsidR="00C0115F" w:rsidRPr="009A1C8E" w:rsidRDefault="00C0115F" w:rsidP="00A14F68">
      <w:pPr>
        <w:pStyle w:val="ListParagraph"/>
        <w:numPr>
          <w:ilvl w:val="0"/>
          <w:numId w:val="31"/>
        </w:numPr>
        <w:spacing w:before="120" w:after="120" w:line="276" w:lineRule="auto"/>
      </w:pPr>
      <w:r w:rsidRPr="009A1C8E">
        <w:t>Promote the development of a skilled, capable, motivated and sustainable NDIS workforce through:</w:t>
      </w:r>
    </w:p>
    <w:p w:rsidR="00C0115F" w:rsidRPr="009A1C8E" w:rsidRDefault="00C0115F" w:rsidP="00A14F68">
      <w:pPr>
        <w:pStyle w:val="ListParagraph"/>
        <w:numPr>
          <w:ilvl w:val="1"/>
          <w:numId w:val="31"/>
        </w:numPr>
        <w:spacing w:before="120" w:after="120" w:line="276" w:lineRule="auto"/>
        <w:rPr>
          <w:color w:val="000000" w:themeColor="text1"/>
        </w:rPr>
      </w:pPr>
      <w:r w:rsidRPr="009A1C8E">
        <w:t>Supporting providers to implement flexible employment options to balance short- and long-term objectives, whilst improving staff utilisation and engaging, supporting and retaining staff; and</w:t>
      </w:r>
    </w:p>
    <w:p w:rsidR="00C0115F" w:rsidRPr="009A1C8E" w:rsidRDefault="00C0115F" w:rsidP="00A14F68">
      <w:pPr>
        <w:pStyle w:val="ListParagraph"/>
        <w:numPr>
          <w:ilvl w:val="1"/>
          <w:numId w:val="31"/>
        </w:numPr>
        <w:spacing w:before="120" w:after="120" w:line="276" w:lineRule="auto"/>
        <w:rPr>
          <w:color w:val="000000" w:themeColor="text1"/>
        </w:rPr>
      </w:pPr>
      <w:r w:rsidRPr="009A1C8E">
        <w:t>Developing affordable and timely training/development resources for staff and leaders to strengthen the workforce.</w:t>
      </w:r>
    </w:p>
    <w:p w:rsidR="00C0115F" w:rsidRPr="009A1C8E" w:rsidRDefault="00C0115F" w:rsidP="00A14F68">
      <w:pPr>
        <w:pStyle w:val="ListParagraph"/>
        <w:numPr>
          <w:ilvl w:val="0"/>
          <w:numId w:val="31"/>
        </w:numPr>
        <w:spacing w:before="120" w:after="120" w:line="276" w:lineRule="auto"/>
      </w:pPr>
      <w:r w:rsidRPr="009A1C8E">
        <w:t>Support providers to responsibly merge or close if needed, by producing practical due diligence information that outlines best practice models and supports informed decision making.</w:t>
      </w:r>
    </w:p>
    <w:p w:rsidR="00C0115F" w:rsidRPr="009A1C8E" w:rsidRDefault="00C0115F" w:rsidP="00A14F68">
      <w:pPr>
        <w:pStyle w:val="ListParagraph"/>
        <w:numPr>
          <w:ilvl w:val="0"/>
          <w:numId w:val="31"/>
        </w:numPr>
        <w:spacing w:before="120" w:after="120" w:line="276" w:lineRule="auto"/>
      </w:pPr>
      <w:r w:rsidRPr="009A1C8E">
        <w:t>Invest in further thin markets research by:</w:t>
      </w:r>
    </w:p>
    <w:p w:rsidR="00C0115F" w:rsidRPr="009A1C8E" w:rsidRDefault="00C0115F" w:rsidP="00A14F68">
      <w:pPr>
        <w:pStyle w:val="ListParagraph"/>
        <w:numPr>
          <w:ilvl w:val="1"/>
          <w:numId w:val="31"/>
        </w:numPr>
        <w:spacing w:before="120" w:after="120" w:line="276" w:lineRule="auto"/>
      </w:pPr>
      <w:r w:rsidRPr="009A1C8E">
        <w:t>Expanding the Workforce Wizard data collection or conducting a spotlight issue to thoroughly investigate the occupations presenting as difficult to recruit and retain;</w:t>
      </w:r>
    </w:p>
    <w:p w:rsidR="00C0115F" w:rsidRPr="009A1C8E" w:rsidRDefault="00C0115F" w:rsidP="00A14F68">
      <w:pPr>
        <w:pStyle w:val="ListParagraph"/>
        <w:numPr>
          <w:ilvl w:val="1"/>
          <w:numId w:val="31"/>
        </w:numPr>
        <w:spacing w:before="120" w:after="120" w:line="276" w:lineRule="auto"/>
      </w:pPr>
      <w:r w:rsidRPr="009A1C8E">
        <w:t xml:space="preserve">Drawing on </w:t>
      </w:r>
      <w:r w:rsidR="007D3B87" w:rsidRPr="009A1C8E">
        <w:t xml:space="preserve">provider data </w:t>
      </w:r>
      <w:r w:rsidRPr="009A1C8E">
        <w:t>to undertake additional research/policy surveys with the intent of gaining more robust data regarding the services at risk of closure and the impact of the NDIS on participants with complex needs; and</w:t>
      </w:r>
    </w:p>
    <w:p w:rsidR="00E754D7" w:rsidRPr="009A1C8E" w:rsidRDefault="00C0115F" w:rsidP="00A14F68">
      <w:pPr>
        <w:pStyle w:val="ListParagraph"/>
        <w:numPr>
          <w:ilvl w:val="1"/>
          <w:numId w:val="31"/>
        </w:numPr>
        <w:spacing w:before="120" w:after="120" w:line="276" w:lineRule="auto"/>
      </w:pPr>
      <w:r w:rsidRPr="009A1C8E">
        <w:t>Keeping abreast of the progress and outcomes of the Australian Research Council’s Linkages Project, as this work will be instrumental in further identifying levers that Governments can use to steward emerging public service markets.</w:t>
      </w:r>
      <w:r w:rsidR="00E754D7" w:rsidRPr="009A1C8E">
        <w:br w:type="page"/>
      </w:r>
    </w:p>
    <w:p w:rsidR="7CDC0B8A" w:rsidRPr="009A1C8E" w:rsidRDefault="00724508" w:rsidP="00830706">
      <w:pPr>
        <w:pStyle w:val="Heading1"/>
      </w:pPr>
      <w:bookmarkStart w:id="28" w:name="_Toc7614936"/>
      <w:r w:rsidRPr="009A1C8E">
        <w:lastRenderedPageBreak/>
        <w:t xml:space="preserve">1 </w:t>
      </w:r>
      <w:r w:rsidR="7CDC0B8A" w:rsidRPr="009A1C8E">
        <w:t>Introduction</w:t>
      </w:r>
      <w:bookmarkEnd w:id="28"/>
    </w:p>
    <w:p w:rsidR="001915CF" w:rsidRPr="009A1C8E" w:rsidRDefault="00E86E44" w:rsidP="00830706">
      <w:pPr>
        <w:pStyle w:val="Heading2"/>
      </w:pPr>
      <w:bookmarkStart w:id="29" w:name="_Toc7614937"/>
      <w:r w:rsidRPr="009A1C8E">
        <w:t xml:space="preserve">1.1 </w:t>
      </w:r>
      <w:r w:rsidR="001915CF" w:rsidRPr="009A1C8E">
        <w:t>NDIS market context</w:t>
      </w:r>
      <w:bookmarkEnd w:id="29"/>
    </w:p>
    <w:p w:rsidR="0084610D" w:rsidRPr="009A1C8E" w:rsidRDefault="00FF4684" w:rsidP="00A14F68">
      <w:pPr>
        <w:spacing w:before="120" w:after="120" w:line="276" w:lineRule="auto"/>
      </w:pPr>
      <w:r w:rsidRPr="009A1C8E">
        <w:t xml:space="preserve">In Australia, the </w:t>
      </w:r>
      <w:r w:rsidR="00BA382A" w:rsidRPr="009A1C8E">
        <w:t>National Disability Insurance Scheme (NDIS)</w:t>
      </w:r>
      <w:r w:rsidRPr="009A1C8E">
        <w:t xml:space="preserve"> is </w:t>
      </w:r>
      <w:r w:rsidR="00CB13A8" w:rsidRPr="009A1C8E">
        <w:t xml:space="preserve">underway and intended </w:t>
      </w:r>
      <w:r w:rsidRPr="009A1C8E">
        <w:t xml:space="preserve">to replace </w:t>
      </w:r>
      <w:r w:rsidR="007A31EF" w:rsidRPr="009A1C8E">
        <w:t>an “underfunded, unfair, fragment</w:t>
      </w:r>
      <w:r w:rsidR="00473DB6" w:rsidRPr="009A1C8E">
        <w:t>ed</w:t>
      </w:r>
      <w:r w:rsidR="007A31EF" w:rsidRPr="009A1C8E">
        <w:t>, and inefficient” disability support system</w:t>
      </w:r>
      <w:r w:rsidR="006139E8" w:rsidRPr="009A1C8E">
        <w:t xml:space="preserve"> </w:t>
      </w:r>
      <w:r w:rsidR="002D37DC" w:rsidRPr="009A1C8E">
        <w:fldChar w:fldCharType="begin"/>
      </w:r>
      <w:r w:rsidR="00C37733" w:rsidRPr="009A1C8E">
        <w:instrText xml:space="preserve"> ADDIN EN.CITE &lt;EndNote&gt;&lt;Cite&gt;&lt;Author&gt;Productivity Commission&lt;/Author&gt;&lt;Year&gt;2011&lt;/Year&gt;&lt;RecNum&gt;251&lt;/RecNum&gt;&lt;DisplayText&gt;(1)&lt;/DisplayText&gt;&lt;record&gt;&lt;rec-number&gt;251&lt;/rec-number&gt;&lt;foreign-keys&gt;&lt;key app="EN" db-id="dtafe02tlezsd7ef59c5s9fdse5ze52xw2ta" timestamp="1554296572"&gt;251&lt;/key&gt;&lt;/foreign-keys&gt;&lt;ref-type name="Report"&gt;27&lt;/ref-type&gt;&lt;contributors&gt;&lt;authors&gt;&lt;author&gt;Productivity Commission,&lt;/author&gt;&lt;/authors&gt;&lt;/contributors&gt;&lt;titles&gt;&lt;title&gt;Disability Care and Support&lt;/title&gt;&lt;/titles&gt;&lt;number&gt;Report no. 54&lt;/number&gt;&lt;dates&gt;&lt;year&gt;2011&lt;/year&gt;&lt;/dates&gt;&lt;pub-location&gt;Canberra&lt;/pub-location&gt;&lt;urls&gt;&lt;/urls&gt;&lt;/record&gt;&lt;/Cite&gt;&lt;/EndNote&gt;</w:instrText>
      </w:r>
      <w:r w:rsidR="002D37DC" w:rsidRPr="009A1C8E">
        <w:fldChar w:fldCharType="separate"/>
      </w:r>
      <w:r w:rsidR="00C37733" w:rsidRPr="009A1C8E">
        <w:rPr>
          <w:noProof/>
        </w:rPr>
        <w:t>(1)</w:t>
      </w:r>
      <w:r w:rsidR="002D37DC" w:rsidRPr="009A1C8E">
        <w:fldChar w:fldCharType="end"/>
      </w:r>
      <w:r w:rsidRPr="009A1C8E">
        <w:t>.</w:t>
      </w:r>
      <w:r w:rsidR="007A31EF" w:rsidRPr="009A1C8E">
        <w:t xml:space="preserve"> The NDIS is</w:t>
      </w:r>
      <w:r w:rsidRPr="009A1C8E">
        <w:t xml:space="preserve"> </w:t>
      </w:r>
      <w:r w:rsidR="00946587" w:rsidRPr="009A1C8E">
        <w:t xml:space="preserve">the </w:t>
      </w:r>
      <w:r w:rsidR="00D00F53" w:rsidRPr="009A1C8E">
        <w:t xml:space="preserve">largest social policy reform since </w:t>
      </w:r>
      <w:r w:rsidR="00955F0F" w:rsidRPr="009A1C8E">
        <w:t xml:space="preserve">Medicare, with the opportunity to give Australia a world-leading </w:t>
      </w:r>
      <w:r w:rsidR="00741633" w:rsidRPr="009A1C8E">
        <w:t>disability system</w:t>
      </w:r>
      <w:r w:rsidR="00946587" w:rsidRPr="009A1C8E">
        <w:t>, if implemented well</w:t>
      </w:r>
      <w:r w:rsidR="00741633" w:rsidRPr="009A1C8E">
        <w:t>.</w:t>
      </w:r>
    </w:p>
    <w:p w:rsidR="003739E1" w:rsidRPr="009A1C8E" w:rsidRDefault="00722C30" w:rsidP="00A14F68">
      <w:pPr>
        <w:spacing w:before="120" w:after="120" w:line="276" w:lineRule="auto"/>
      </w:pPr>
      <w:r w:rsidRPr="009A1C8E">
        <w:t xml:space="preserve">The NDIS comprises of two </w:t>
      </w:r>
      <w:r w:rsidR="00463F6D" w:rsidRPr="009A1C8E">
        <w:t>parts:</w:t>
      </w:r>
    </w:p>
    <w:p w:rsidR="00463F6D" w:rsidRPr="009A1C8E" w:rsidRDefault="00902821" w:rsidP="00A14F68">
      <w:pPr>
        <w:pStyle w:val="ListParagraph"/>
        <w:numPr>
          <w:ilvl w:val="0"/>
          <w:numId w:val="24"/>
        </w:numPr>
        <w:spacing w:before="120" w:after="120" w:line="276" w:lineRule="auto"/>
      </w:pPr>
      <w:r w:rsidRPr="009A1C8E">
        <w:t>Individual plans that provide reasonable and necessary supports for eligible people with disability</w:t>
      </w:r>
      <w:r w:rsidR="00AD449F" w:rsidRPr="009A1C8E">
        <w:t>.</w:t>
      </w:r>
      <w:r w:rsidR="006D4DBF" w:rsidRPr="009A1C8E">
        <w:t xml:space="preserve"> This also includes assistance with plan implementation.</w:t>
      </w:r>
    </w:p>
    <w:p w:rsidR="00902821" w:rsidRPr="009A1C8E" w:rsidRDefault="00902821" w:rsidP="00A14F68">
      <w:pPr>
        <w:pStyle w:val="ListParagraph"/>
        <w:numPr>
          <w:ilvl w:val="0"/>
          <w:numId w:val="24"/>
        </w:numPr>
        <w:spacing w:before="120" w:after="120" w:line="276" w:lineRule="auto"/>
      </w:pPr>
      <w:r w:rsidRPr="009A1C8E">
        <w:t>Information, linkages and capacity building (ILC)</w:t>
      </w:r>
      <w:r w:rsidR="0019268E" w:rsidRPr="009A1C8E">
        <w:t>.</w:t>
      </w:r>
    </w:p>
    <w:p w:rsidR="00CA6A2E" w:rsidRPr="009A1C8E" w:rsidRDefault="00473A37" w:rsidP="00A14F68">
      <w:pPr>
        <w:spacing w:before="120" w:after="120" w:line="276" w:lineRule="auto"/>
      </w:pPr>
      <w:r w:rsidRPr="009A1C8E">
        <w:t>These components sit within the National Disability Strategy</w:t>
      </w:r>
      <w:r w:rsidR="00EA7E50" w:rsidRPr="009A1C8E">
        <w:t xml:space="preserve"> </w:t>
      </w:r>
      <w:r w:rsidR="002D37DC" w:rsidRPr="009A1C8E">
        <w:fldChar w:fldCharType="begin"/>
      </w:r>
      <w:r w:rsidR="00C463DB" w:rsidRPr="009A1C8E">
        <w:instrText xml:space="preserve"> ADDIN EN.CITE &lt;EndNote&gt;&lt;Cite&gt;&lt;Author&gt;Commonwealth Department of Social Services&lt;/Author&gt;&lt;Year&gt;2011&lt;/Year&gt;&lt;RecNum&gt;252&lt;/RecNum&gt;&lt;DisplayText&gt;(2)&lt;/DisplayText&gt;&lt;record&gt;&lt;rec-number&gt;252&lt;/rec-number&gt;&lt;foreign-keys&gt;&lt;key app="EN" db-id="dtafe02tlezsd7ef59c5s9fdse5ze52xw2ta" timestamp="1554296964"&gt;252&lt;/key&gt;&lt;/foreign-keys&gt;&lt;ref-type name="Journal Article"&gt;17&lt;/ref-type&gt;&lt;contributors&gt;&lt;authors&gt;&lt;author&gt;Commonwealth Department of Social Services,&lt;/author&gt;&lt;/authors&gt;&lt;/contributors&gt;&lt;titles&gt;&lt;title&gt;National Disability Strategy 2010–2020&lt;/title&gt;&lt;/titles&gt;&lt;dates&gt;&lt;year&gt;2011&lt;/year&gt;&lt;/dates&gt;&lt;urls&gt;&lt;/urls&gt;&lt;/record&gt;&lt;/Cite&gt;&lt;/EndNote&gt;</w:instrText>
      </w:r>
      <w:r w:rsidR="002D37DC" w:rsidRPr="009A1C8E">
        <w:fldChar w:fldCharType="separate"/>
      </w:r>
      <w:r w:rsidR="000D362F" w:rsidRPr="009A1C8E">
        <w:rPr>
          <w:noProof/>
        </w:rPr>
        <w:t>(2)</w:t>
      </w:r>
      <w:r w:rsidR="002D37DC" w:rsidRPr="009A1C8E">
        <w:fldChar w:fldCharType="end"/>
      </w:r>
      <w:r w:rsidRPr="009A1C8E">
        <w:t xml:space="preserve">, and together </w:t>
      </w:r>
      <w:r w:rsidR="00CA6A2E" w:rsidRPr="009A1C8E">
        <w:t>aim to achieve better</w:t>
      </w:r>
      <w:r w:rsidR="00EC33CD" w:rsidRPr="009A1C8E">
        <w:t xml:space="preserve"> </w:t>
      </w:r>
      <w:r w:rsidR="00CA6A2E" w:rsidRPr="009A1C8E">
        <w:t>outcomes for people with disability, their families and carers</w:t>
      </w:r>
      <w:r w:rsidR="00EC33CD" w:rsidRPr="009A1C8E">
        <w:t>.</w:t>
      </w:r>
    </w:p>
    <w:p w:rsidR="008509B3" w:rsidRPr="009A1C8E" w:rsidRDefault="00CB257D" w:rsidP="00A14F68">
      <w:pPr>
        <w:spacing w:before="120" w:after="120" w:line="276" w:lineRule="auto"/>
      </w:pPr>
      <w:r w:rsidRPr="009A1C8E">
        <w:t xml:space="preserve">The transition to the NDIS has </w:t>
      </w:r>
      <w:r w:rsidR="00793B1A" w:rsidRPr="009A1C8E">
        <w:t xml:space="preserve">been </w:t>
      </w:r>
      <w:r w:rsidRPr="009A1C8E">
        <w:t xml:space="preserve">an </w:t>
      </w:r>
      <w:r w:rsidR="009A5D53" w:rsidRPr="009A1C8E">
        <w:t xml:space="preserve">exciting, yet </w:t>
      </w:r>
      <w:r w:rsidRPr="009A1C8E">
        <w:t>challenging</w:t>
      </w:r>
      <w:r w:rsidR="00E63DFC" w:rsidRPr="009A1C8E">
        <w:t>,</w:t>
      </w:r>
      <w:r w:rsidRPr="009A1C8E">
        <w:t xml:space="preserve"> period</w:t>
      </w:r>
      <w:r w:rsidR="00974101" w:rsidRPr="009A1C8E">
        <w:t xml:space="preserve">. </w:t>
      </w:r>
      <w:r w:rsidR="009A5D53" w:rsidRPr="009A1C8E">
        <w:t xml:space="preserve">The </w:t>
      </w:r>
      <w:r w:rsidR="00F363BC" w:rsidRPr="009A1C8E">
        <w:t>speed and scale of the roll</w:t>
      </w:r>
      <w:r w:rsidR="00FD7EB5" w:rsidRPr="009A1C8E">
        <w:t xml:space="preserve"> </w:t>
      </w:r>
      <w:r w:rsidR="00F363BC" w:rsidRPr="009A1C8E">
        <w:t xml:space="preserve">out </w:t>
      </w:r>
      <w:r w:rsidR="00556D59" w:rsidRPr="009A1C8E">
        <w:t>has been</w:t>
      </w:r>
      <w:r w:rsidR="00F363BC" w:rsidRPr="009A1C8E">
        <w:t xml:space="preserve"> </w:t>
      </w:r>
      <w:r w:rsidR="002A6447" w:rsidRPr="009A1C8E">
        <w:t xml:space="preserve">unprecedented, </w:t>
      </w:r>
      <w:r w:rsidR="00981F23" w:rsidRPr="009A1C8E">
        <w:t xml:space="preserve">new systems and processes have been </w:t>
      </w:r>
      <w:r w:rsidR="00703AD0" w:rsidRPr="009A1C8E">
        <w:t>cumbersome, and some planners have lacked the required expertise</w:t>
      </w:r>
      <w:r w:rsidR="00FD7EB5" w:rsidRPr="009A1C8E">
        <w:t>, resulting in poor</w:t>
      </w:r>
      <w:r w:rsidR="00D96DC2" w:rsidRPr="009A1C8E">
        <w:t>-</w:t>
      </w:r>
      <w:r w:rsidR="00FD7EB5" w:rsidRPr="009A1C8E">
        <w:t>quality plans and significant lags in participant phasing</w:t>
      </w:r>
      <w:r w:rsidR="00703AD0" w:rsidRPr="009A1C8E">
        <w:t>.</w:t>
      </w:r>
      <w:r w:rsidR="00EE6AEB" w:rsidRPr="009A1C8E">
        <w:t xml:space="preserve"> </w:t>
      </w:r>
      <w:r w:rsidR="0042752D" w:rsidRPr="009A1C8E">
        <w:t>Disability</w:t>
      </w:r>
      <w:r w:rsidR="00EE6AEB" w:rsidRPr="009A1C8E">
        <w:t xml:space="preserve"> service provide</w:t>
      </w:r>
      <w:r w:rsidR="00FD7EB5" w:rsidRPr="009A1C8E">
        <w:t>r</w:t>
      </w:r>
      <w:r w:rsidR="00EE6AEB" w:rsidRPr="009A1C8E">
        <w:t>s</w:t>
      </w:r>
      <w:r w:rsidR="00F37AB7" w:rsidRPr="009A1C8E">
        <w:t xml:space="preserve"> have needed to develop new </w:t>
      </w:r>
      <w:r w:rsidR="003F478C" w:rsidRPr="009A1C8E">
        <w:t xml:space="preserve">business models and </w:t>
      </w:r>
      <w:r w:rsidR="00F37AB7" w:rsidRPr="009A1C8E">
        <w:t>organisational capabilities</w:t>
      </w:r>
      <w:r w:rsidR="007E457C" w:rsidRPr="009A1C8E">
        <w:t xml:space="preserve"> </w:t>
      </w:r>
      <w:r w:rsidR="00F37AB7" w:rsidRPr="009A1C8E">
        <w:t xml:space="preserve">and </w:t>
      </w:r>
      <w:r w:rsidR="009906BD" w:rsidRPr="009A1C8E">
        <w:t xml:space="preserve">make significant changes to their systems and processes to </w:t>
      </w:r>
      <w:r w:rsidR="00A35C2D" w:rsidRPr="009A1C8E">
        <w:t>operate under the new environment</w:t>
      </w:r>
      <w:r w:rsidR="001C1D6A" w:rsidRPr="009A1C8E">
        <w:t xml:space="preserve">. </w:t>
      </w:r>
      <w:r w:rsidR="005D5273" w:rsidRPr="009A1C8E">
        <w:t xml:space="preserve">There has been a </w:t>
      </w:r>
      <w:r w:rsidR="00FD7EB5" w:rsidRPr="009A1C8E">
        <w:t>necessary focus on operational issues and cost efficiencies</w:t>
      </w:r>
      <w:r w:rsidR="0023171E" w:rsidRPr="009A1C8E">
        <w:t>,</w:t>
      </w:r>
      <w:r w:rsidR="00FD7EB5" w:rsidRPr="009A1C8E">
        <w:t xml:space="preserve"> which has limited capacity to innovate and grow</w:t>
      </w:r>
      <w:r w:rsidR="00A35C2D" w:rsidRPr="009A1C8E">
        <w:t>.</w:t>
      </w:r>
      <w:r w:rsidR="002E6686" w:rsidRPr="009A1C8E">
        <w:t xml:space="preserve"> </w:t>
      </w:r>
      <w:r w:rsidR="008509B3" w:rsidRPr="009A1C8E">
        <w:t xml:space="preserve">The </w:t>
      </w:r>
      <w:r w:rsidR="00597BAF" w:rsidRPr="009A1C8E">
        <w:t xml:space="preserve">impact on the </w:t>
      </w:r>
      <w:r w:rsidR="008509B3" w:rsidRPr="009A1C8E">
        <w:t xml:space="preserve">Victorian community will </w:t>
      </w:r>
      <w:r w:rsidR="00597BAF" w:rsidRPr="009A1C8E">
        <w:t xml:space="preserve">be exacerbated </w:t>
      </w:r>
      <w:r w:rsidR="00CA5C54" w:rsidRPr="009A1C8E">
        <w:t>as</w:t>
      </w:r>
      <w:r w:rsidR="002A2245" w:rsidRPr="009A1C8E">
        <w:t xml:space="preserve"> the</w:t>
      </w:r>
      <w:r w:rsidR="00CA5C54" w:rsidRPr="009A1C8E">
        <w:t xml:space="preserve"> </w:t>
      </w:r>
      <w:r w:rsidR="00FD7EB5" w:rsidRPr="009A1C8E">
        <w:t xml:space="preserve">current </w:t>
      </w:r>
      <w:r w:rsidR="00CA5C54" w:rsidRPr="009A1C8E">
        <w:t xml:space="preserve">Building Inclusive Community (BIC) funding </w:t>
      </w:r>
      <w:r w:rsidR="00593AD4" w:rsidRPr="009A1C8E">
        <w:t>shifts to ILC grants</w:t>
      </w:r>
      <w:r w:rsidR="00FD7EB5" w:rsidRPr="009A1C8E">
        <w:t xml:space="preserve">, resulting in </w:t>
      </w:r>
      <w:r w:rsidR="00C136C1" w:rsidRPr="009A1C8E">
        <w:t>a net reduction in</w:t>
      </w:r>
      <w:r w:rsidR="00FD7EB5" w:rsidRPr="009A1C8E">
        <w:t xml:space="preserve"> funding available to support Victorian communities in </w:t>
      </w:r>
      <w:r w:rsidR="00F11A43" w:rsidRPr="009A1C8E">
        <w:t>build</w:t>
      </w:r>
      <w:r w:rsidR="00FD7EB5" w:rsidRPr="009A1C8E">
        <w:t>ing</w:t>
      </w:r>
      <w:r w:rsidR="00F11A43" w:rsidRPr="009A1C8E">
        <w:t xml:space="preserve"> accessible and inclusive environment</w:t>
      </w:r>
      <w:r w:rsidR="00FD7EB5" w:rsidRPr="009A1C8E">
        <w:t>s</w:t>
      </w:r>
      <w:r w:rsidR="00F11A43" w:rsidRPr="009A1C8E">
        <w:t xml:space="preserve"> for people with disability.</w:t>
      </w:r>
    </w:p>
    <w:p w:rsidR="005A0E69" w:rsidRPr="009A1C8E" w:rsidRDefault="005F537A" w:rsidP="00A14F68">
      <w:pPr>
        <w:spacing w:before="120" w:after="120" w:line="276" w:lineRule="auto"/>
      </w:pPr>
      <w:r w:rsidRPr="009A1C8E">
        <w:t>Th</w:t>
      </w:r>
      <w:r w:rsidR="005A585C" w:rsidRPr="009A1C8E">
        <w:t>e</w:t>
      </w:r>
      <w:r w:rsidR="006A66BB" w:rsidRPr="009A1C8E">
        <w:t>se challenges notwithstanding,</w:t>
      </w:r>
      <w:r w:rsidRPr="009A1C8E">
        <w:t xml:space="preserve"> </w:t>
      </w:r>
      <w:r w:rsidR="00215006" w:rsidRPr="009A1C8E">
        <w:t xml:space="preserve">the </w:t>
      </w:r>
      <w:r w:rsidR="006A66BB" w:rsidRPr="009A1C8E">
        <w:t xml:space="preserve">NDIS </w:t>
      </w:r>
      <w:r w:rsidR="00F11A43" w:rsidRPr="009A1C8E">
        <w:rPr>
          <w:color w:val="000000" w:themeColor="text1"/>
        </w:rPr>
        <w:t>transition</w:t>
      </w:r>
      <w:r w:rsidRPr="009A1C8E">
        <w:rPr>
          <w:color w:val="000000" w:themeColor="text1"/>
        </w:rPr>
        <w:t xml:space="preserve"> has </w:t>
      </w:r>
      <w:r w:rsidR="006A66BB" w:rsidRPr="009A1C8E">
        <w:rPr>
          <w:color w:val="000000" w:themeColor="text1"/>
        </w:rPr>
        <w:t xml:space="preserve">been well supported in Victoria by </w:t>
      </w:r>
      <w:r w:rsidRPr="009A1C8E">
        <w:t>t</w:t>
      </w:r>
      <w:r w:rsidR="00144CCD" w:rsidRPr="009A1C8E">
        <w:t>he significant</w:t>
      </w:r>
      <w:r w:rsidR="00BB3475" w:rsidRPr="009A1C8E">
        <w:t xml:space="preserve"> </w:t>
      </w:r>
      <w:r w:rsidR="00FE75DF" w:rsidRPr="009A1C8E">
        <w:t xml:space="preserve">involvement </w:t>
      </w:r>
      <w:r w:rsidR="00CB13A8" w:rsidRPr="009A1C8E">
        <w:t>of M</w:t>
      </w:r>
      <w:r w:rsidR="00144CCD" w:rsidRPr="009A1C8E">
        <w:t>inisters and senior government officials in</w:t>
      </w:r>
      <w:r w:rsidR="00BB3475" w:rsidRPr="009A1C8E">
        <w:t xml:space="preserve"> the NDIS </w:t>
      </w:r>
      <w:r w:rsidR="00F62E15" w:rsidRPr="009A1C8E">
        <w:t>Implementation</w:t>
      </w:r>
      <w:r w:rsidR="00BB3475" w:rsidRPr="009A1C8E">
        <w:t xml:space="preserve"> Taskforce</w:t>
      </w:r>
      <w:r w:rsidR="00621FB1" w:rsidRPr="009A1C8E">
        <w:t xml:space="preserve">, </w:t>
      </w:r>
      <w:r w:rsidR="006A66BB" w:rsidRPr="009A1C8E">
        <w:t xml:space="preserve">and </w:t>
      </w:r>
      <w:r w:rsidR="002C2A0A" w:rsidRPr="009A1C8E">
        <w:t>targeted</w:t>
      </w:r>
      <w:r w:rsidR="00621FB1" w:rsidRPr="009A1C8E">
        <w:t xml:space="preserve"> interventions </w:t>
      </w:r>
      <w:r w:rsidR="006D7917" w:rsidRPr="009A1C8E">
        <w:t>administered by</w:t>
      </w:r>
      <w:r w:rsidR="00621FB1" w:rsidRPr="009A1C8E">
        <w:t xml:space="preserve"> the </w:t>
      </w:r>
      <w:r w:rsidR="00501662" w:rsidRPr="009A1C8E">
        <w:t xml:space="preserve">Victorian Government </w:t>
      </w:r>
      <w:r w:rsidR="002C2A0A" w:rsidRPr="009A1C8E">
        <w:t xml:space="preserve">Department of Health and Human Services (DHHS) </w:t>
      </w:r>
      <w:r w:rsidR="0020539D" w:rsidRPr="009A1C8E">
        <w:t>including</w:t>
      </w:r>
      <w:r w:rsidR="002C2A0A" w:rsidRPr="009A1C8E">
        <w:t xml:space="preserve"> </w:t>
      </w:r>
      <w:r w:rsidR="00AD449F" w:rsidRPr="009A1C8E">
        <w:t xml:space="preserve">funding from </w:t>
      </w:r>
      <w:r w:rsidR="002C2A0A" w:rsidRPr="009A1C8E">
        <w:t xml:space="preserve">the </w:t>
      </w:r>
      <w:r w:rsidR="00FE5AAA" w:rsidRPr="009A1C8E">
        <w:t>Victorian Government’s Transition Support Package (TSP)</w:t>
      </w:r>
      <w:r w:rsidR="006D7917" w:rsidRPr="009A1C8E">
        <w:t xml:space="preserve"> and </w:t>
      </w:r>
      <w:r w:rsidR="003A0EE5" w:rsidRPr="009A1C8E">
        <w:t xml:space="preserve">the </w:t>
      </w:r>
      <w:r w:rsidR="001C0840" w:rsidRPr="009A1C8E">
        <w:t>Commonwealth’s</w:t>
      </w:r>
      <w:r w:rsidR="003A0EE5" w:rsidRPr="009A1C8E">
        <w:t xml:space="preserve"> </w:t>
      </w:r>
      <w:r w:rsidR="006D7917" w:rsidRPr="009A1C8E">
        <w:t>Sector Development Fund (SDF)</w:t>
      </w:r>
      <w:r w:rsidRPr="009A1C8E">
        <w:t xml:space="preserve">. </w:t>
      </w:r>
      <w:r w:rsidR="00CF7AC0" w:rsidRPr="009A1C8E">
        <w:t xml:space="preserve">Despite exceptional progress to date, </w:t>
      </w:r>
      <w:r w:rsidR="007773D8" w:rsidRPr="009A1C8E">
        <w:t>there are g</w:t>
      </w:r>
      <w:r w:rsidR="00CF7AC0" w:rsidRPr="009A1C8E">
        <w:t xml:space="preserve">rowing </w:t>
      </w:r>
      <w:r w:rsidR="00251FC8" w:rsidRPr="009A1C8E">
        <w:t>concerns</w:t>
      </w:r>
      <w:r w:rsidR="00CF7AC0" w:rsidRPr="009A1C8E">
        <w:t xml:space="preserve"> </w:t>
      </w:r>
      <w:r w:rsidR="00970A9C" w:rsidRPr="009A1C8E">
        <w:t>of</w:t>
      </w:r>
      <w:r w:rsidR="00251FC8" w:rsidRPr="009A1C8E">
        <w:t xml:space="preserve"> thin markets and market</w:t>
      </w:r>
      <w:r w:rsidR="007E5868" w:rsidRPr="009A1C8E">
        <w:t xml:space="preserve"> gaps.</w:t>
      </w:r>
    </w:p>
    <w:p w:rsidR="004126A2" w:rsidRPr="009A1C8E" w:rsidRDefault="004126A2" w:rsidP="00830706">
      <w:pPr>
        <w:pStyle w:val="Heading2"/>
      </w:pPr>
      <w:bookmarkStart w:id="30" w:name="_Toc7614938"/>
      <w:r w:rsidRPr="009A1C8E">
        <w:lastRenderedPageBreak/>
        <w:t>1.2 Thin markets and market failure</w:t>
      </w:r>
      <w:bookmarkEnd w:id="30"/>
    </w:p>
    <w:p w:rsidR="00812356" w:rsidRPr="009A1C8E" w:rsidRDefault="00C74993" w:rsidP="00A14F68">
      <w:pPr>
        <w:spacing w:before="120" w:after="120" w:line="276" w:lineRule="auto"/>
      </w:pPr>
      <w:r w:rsidRPr="009A1C8E">
        <w:t xml:space="preserve">The NDIS marketplace is not one single market. </w:t>
      </w:r>
      <w:r w:rsidR="00CB13A8" w:rsidRPr="009A1C8E">
        <w:t>R</w:t>
      </w:r>
      <w:r w:rsidR="008C2F95" w:rsidRPr="009A1C8E">
        <w:t xml:space="preserve">ather </w:t>
      </w:r>
      <w:r w:rsidR="00CB13A8" w:rsidRPr="009A1C8E">
        <w:t xml:space="preserve">it is </w:t>
      </w:r>
      <w:r w:rsidR="008C2F95" w:rsidRPr="009A1C8E">
        <w:t xml:space="preserve">a number of </w:t>
      </w:r>
      <w:r w:rsidR="00DF7D82" w:rsidRPr="009A1C8E">
        <w:t xml:space="preserve">interdependent and complex </w:t>
      </w:r>
      <w:r w:rsidR="008C2F95" w:rsidRPr="009A1C8E">
        <w:t xml:space="preserve">markets </w:t>
      </w:r>
      <w:r w:rsidR="007666AB" w:rsidRPr="009A1C8E">
        <w:t xml:space="preserve">that </w:t>
      </w:r>
      <w:r w:rsidR="001D487D" w:rsidRPr="009A1C8E">
        <w:t xml:space="preserve">deliver a range of services to </w:t>
      </w:r>
      <w:r w:rsidR="00CB13A8" w:rsidRPr="009A1C8E">
        <w:t xml:space="preserve">different </w:t>
      </w:r>
      <w:r w:rsidR="001D487D" w:rsidRPr="009A1C8E">
        <w:t xml:space="preserve">people with </w:t>
      </w:r>
      <w:r w:rsidR="000B1092" w:rsidRPr="009A1C8E">
        <w:t xml:space="preserve">diverse </w:t>
      </w:r>
      <w:r w:rsidR="00947D08" w:rsidRPr="009A1C8E">
        <w:t xml:space="preserve">needs </w:t>
      </w:r>
      <w:r w:rsidR="002D37DC" w:rsidRPr="009A1C8E">
        <w:fldChar w:fldCharType="begin"/>
      </w:r>
      <w:r w:rsidR="00DF654B" w:rsidRPr="009A1C8E">
        <w:instrText xml:space="preserve"> ADDIN EN.CITE &lt;EndNote&gt;&lt;Cite&gt;&lt;Author&gt;Carey&lt;/Author&gt;&lt;Year&gt;2017&lt;/Year&gt;&lt;RecNum&gt;253&lt;/RecNum&gt;&lt;DisplayText&gt;(3)&lt;/DisplayText&gt;&lt;record&gt;&lt;rec-number&gt;253&lt;/rec-number&gt;&lt;foreign-keys&gt;&lt;key app="EN" db-id="dtafe02tlezsd7ef59c5s9fdse5ze52xw2ta" timestamp="1554298000"&gt;253&lt;/key&gt;&lt;/foreign-keys&gt;&lt;ref-type name="Unpublished Work"&gt;34&lt;/ref-type&gt;&lt;contributors&gt;&lt;authors&gt;&lt;author&gt;Carey, Gemma&lt;/author&gt;&lt;author&gt;Dickinson, Helen&lt;/author&gt;&lt;author&gt;Gilchrist, David&lt;/author&gt;&lt;author&gt;Alexander, Damon&lt;/author&gt;&lt;author&gt;Kavanagh, Anne&lt;/author&gt;&lt;author&gt;Chand, Satish&lt;/author&gt;&lt;/authors&gt;&lt;/contributors&gt;&lt;titles&gt;&lt;title&gt;Proposal: Stewarding thin markets: improving public sector market effectiveness&lt;/title&gt;&lt;/titles&gt;&lt;dates&gt;&lt;year&gt;2017&lt;/year&gt;&lt;/dates&gt;&lt;publisher&gt;The University of New South Wales&lt;/publisher&gt;&lt;urls&gt;&lt;/urls&gt;&lt;/record&gt;&lt;/Cite&gt;&lt;/EndNote&gt;</w:instrText>
      </w:r>
      <w:r w:rsidR="002D37DC" w:rsidRPr="009A1C8E">
        <w:fldChar w:fldCharType="separate"/>
      </w:r>
      <w:r w:rsidR="00DF654B" w:rsidRPr="009A1C8E">
        <w:rPr>
          <w:noProof/>
        </w:rPr>
        <w:t>(3)</w:t>
      </w:r>
      <w:r w:rsidR="002D37DC" w:rsidRPr="009A1C8E">
        <w:fldChar w:fldCharType="end"/>
      </w:r>
      <w:r w:rsidR="000B1092" w:rsidRPr="009A1C8E">
        <w:t xml:space="preserve">. </w:t>
      </w:r>
      <w:r w:rsidR="006F7ABF" w:rsidRPr="009A1C8E">
        <w:t xml:space="preserve">Thin markets </w:t>
      </w:r>
      <w:r w:rsidR="00A540A7" w:rsidRPr="009A1C8E">
        <w:t xml:space="preserve">emerge when there are insufficient </w:t>
      </w:r>
      <w:r w:rsidR="00956AC8" w:rsidRPr="009A1C8E">
        <w:t xml:space="preserve">buyers and sellers for the market to function as intended </w:t>
      </w:r>
      <w:r w:rsidR="002D37DC" w:rsidRPr="009A1C8E">
        <w:fldChar w:fldCharType="begin"/>
      </w:r>
      <w:r w:rsidR="00DF654B" w:rsidRPr="009A1C8E">
        <w:instrText xml:space="preserve"> ADDIN EN.CITE &lt;EndNote&gt;&lt;Cite&gt;&lt;Author&gt;Carey&lt;/Author&gt;&lt;Year&gt;2017&lt;/Year&gt;&lt;RecNum&gt;253&lt;/RecNum&gt;&lt;DisplayText&gt;(3)&lt;/DisplayText&gt;&lt;record&gt;&lt;rec-number&gt;253&lt;/rec-number&gt;&lt;foreign-keys&gt;&lt;key app="EN" db-id="dtafe02tlezsd7ef59c5s9fdse5ze52xw2ta" timestamp="1554298000"&gt;253&lt;/key&gt;&lt;/foreign-keys&gt;&lt;ref-type name="Unpublished Work"&gt;34&lt;/ref-type&gt;&lt;contributors&gt;&lt;authors&gt;&lt;author&gt;Carey, Gemma&lt;/author&gt;&lt;author&gt;Dickinson, Helen&lt;/author&gt;&lt;author&gt;Gilchrist, David&lt;/author&gt;&lt;author&gt;Alexander, Damon&lt;/author&gt;&lt;author&gt;Kavanagh, Anne&lt;/author&gt;&lt;author&gt;Chand, Satish&lt;/author&gt;&lt;/authors&gt;&lt;/contributors&gt;&lt;titles&gt;&lt;title&gt;Proposal: Stewarding thin markets: improving public sector market effectiveness&lt;/title&gt;&lt;/titles&gt;&lt;dates&gt;&lt;year&gt;2017&lt;/year&gt;&lt;/dates&gt;&lt;publisher&gt;The University of New South Wales&lt;/publisher&gt;&lt;urls&gt;&lt;/urls&gt;&lt;/record&gt;&lt;/Cite&gt;&lt;/EndNote&gt;</w:instrText>
      </w:r>
      <w:r w:rsidR="002D37DC" w:rsidRPr="009A1C8E">
        <w:fldChar w:fldCharType="separate"/>
      </w:r>
      <w:r w:rsidR="00DF654B" w:rsidRPr="009A1C8E">
        <w:rPr>
          <w:noProof/>
        </w:rPr>
        <w:t>(3)</w:t>
      </w:r>
      <w:r w:rsidR="002D37DC" w:rsidRPr="009A1C8E">
        <w:fldChar w:fldCharType="end"/>
      </w:r>
      <w:r w:rsidR="00956AC8" w:rsidRPr="009A1C8E">
        <w:t xml:space="preserve">. </w:t>
      </w:r>
      <w:r w:rsidR="00415EEC" w:rsidRPr="009A1C8E">
        <w:t xml:space="preserve">In the case of the NDIS, </w:t>
      </w:r>
      <w:r w:rsidR="00DF51FA" w:rsidRPr="009A1C8E">
        <w:t>thin markets may present in certain regions</w:t>
      </w:r>
      <w:r w:rsidR="00096AE7" w:rsidRPr="009A1C8E">
        <w:t>,</w:t>
      </w:r>
      <w:r w:rsidR="00F46B05" w:rsidRPr="009A1C8E">
        <w:t xml:space="preserve"> or for particular</w:t>
      </w:r>
      <w:r w:rsidR="00096AE7" w:rsidRPr="009A1C8E">
        <w:t xml:space="preserve"> </w:t>
      </w:r>
      <w:r w:rsidR="00DF51FA" w:rsidRPr="009A1C8E">
        <w:t>se</w:t>
      </w:r>
      <w:r w:rsidR="007551C3" w:rsidRPr="009A1C8E">
        <w:t xml:space="preserve">rvices </w:t>
      </w:r>
      <w:r w:rsidR="00096AE7" w:rsidRPr="009A1C8E">
        <w:t xml:space="preserve">and/or </w:t>
      </w:r>
      <w:r w:rsidR="00AD449F" w:rsidRPr="009A1C8E">
        <w:t xml:space="preserve">for </w:t>
      </w:r>
      <w:r w:rsidR="00096AE7" w:rsidRPr="009A1C8E">
        <w:t xml:space="preserve">specific cohorts </w:t>
      </w:r>
      <w:r w:rsidR="007551C3" w:rsidRPr="009A1C8E">
        <w:t>of people with disability</w:t>
      </w:r>
      <w:r w:rsidR="002066AF" w:rsidRPr="009A1C8E">
        <w:t xml:space="preserve"> </w:t>
      </w:r>
      <w:r w:rsidR="002D37DC" w:rsidRPr="009A1C8E">
        <w:fldChar w:fldCharType="begin"/>
      </w:r>
      <w:r w:rsidR="00234B58" w:rsidRPr="009A1C8E">
        <w:instrText xml:space="preserve"> ADDIN EN.CITE &lt;EndNote&gt;&lt;Cite&gt;&lt;Author&gt;Productivity Commission&lt;/Author&gt;&lt;Year&gt;2017&lt;/Year&gt;&lt;RecNum&gt;254&lt;/RecNum&gt;&lt;DisplayText&gt;(4)&lt;/DisplayText&gt;&lt;record&gt;&lt;rec-number&gt;254&lt;/rec-number&gt;&lt;foreign-keys&gt;&lt;key app="EN" db-id="dtafe02tlezsd7ef59c5s9fdse5ze52xw2ta" timestamp="1554298100"&gt;254&lt;/key&gt;&lt;/foreign-keys&gt;&lt;ref-type name="Report"&gt;27&lt;/ref-type&gt;&lt;contributors&gt;&lt;authors&gt;&lt;author&gt;Productivity Commission,&lt;/author&gt;&lt;/authors&gt;&lt;/contributors&gt;&lt;titles&gt;&lt;title&gt;National Disability Insurance Scheme (NDIS) Costs&lt;/title&gt;&lt;secondary-title&gt;Study report&lt;/secondary-title&gt;&lt;/titles&gt;&lt;dates&gt;&lt;year&gt;2017&lt;/year&gt;&lt;/dates&gt;&lt;publisher&gt;Canberra&lt;/publisher&gt;&lt;urls&gt;&lt;/urls&gt;&lt;/record&gt;&lt;/Cite&gt;&lt;/EndNote&gt;</w:instrText>
      </w:r>
      <w:r w:rsidR="002D37DC" w:rsidRPr="009A1C8E">
        <w:fldChar w:fldCharType="separate"/>
      </w:r>
      <w:r w:rsidR="00234B58" w:rsidRPr="009A1C8E">
        <w:rPr>
          <w:noProof/>
        </w:rPr>
        <w:t>(4)</w:t>
      </w:r>
      <w:r w:rsidR="002D37DC" w:rsidRPr="009A1C8E">
        <w:fldChar w:fldCharType="end"/>
      </w:r>
      <w:r w:rsidR="007551C3" w:rsidRPr="009A1C8E">
        <w:t>.</w:t>
      </w:r>
      <w:r w:rsidR="00127CFD" w:rsidRPr="009A1C8E">
        <w:t xml:space="preserve"> </w:t>
      </w:r>
      <w:r w:rsidR="00CA425E" w:rsidRPr="009A1C8E">
        <w:t xml:space="preserve">They may therefore </w:t>
      </w:r>
      <w:r w:rsidR="00C63AB3" w:rsidRPr="009A1C8E">
        <w:t>arise</w:t>
      </w:r>
      <w:r w:rsidR="00CA425E" w:rsidRPr="009A1C8E">
        <w:t xml:space="preserve"> as a result of unbalanced supply and demand, and/or unbalanced information about support </w:t>
      </w:r>
      <w:r w:rsidR="002D37DC" w:rsidRPr="009A1C8E">
        <w:fldChar w:fldCharType="begin"/>
      </w:r>
      <w:r w:rsidR="00802827" w:rsidRPr="009A1C8E">
        <w:instrText xml:space="preserve"> ADDIN EN.CITE &lt;EndNote&gt;&lt;Cite&gt;&lt;Author&gt;Commonwealth Department of Social Services&lt;/Author&gt;&lt;Year&gt;2015&lt;/Year&gt;&lt;RecNum&gt;255&lt;/RecNum&gt;&lt;DisplayText&gt;(5)&lt;/DisplayText&gt;&lt;record&gt;&lt;rec-number&gt;255&lt;/rec-number&gt;&lt;foreign-keys&gt;&lt;key app="EN" db-id="dtafe02tlezsd7ef59c5s9fdse5ze52xw2ta" timestamp="1554298291"&gt;255&lt;/key&gt;&lt;/foreign-keys&gt;&lt;ref-type name="Journal Article"&gt;17&lt;/ref-type&gt;&lt;contributors&gt;&lt;authors&gt;&lt;author&gt;Commonwealth Department of Social Services,&lt;/author&gt;&lt;/authors&gt;&lt;/contributors&gt;&lt;titles&gt;&lt;title&gt;National Disability Insurance Scheme Integrated Market, Sector and Workforce Strategy&lt;/title&gt;&lt;/titles&gt;&lt;dates&gt;&lt;year&gt;2015&lt;/year&gt;&lt;/dates&gt;&lt;urls&gt;&lt;/urls&gt;&lt;/record&gt;&lt;/Cite&gt;&lt;/EndNote&gt;</w:instrText>
      </w:r>
      <w:r w:rsidR="002D37DC" w:rsidRPr="009A1C8E">
        <w:fldChar w:fldCharType="separate"/>
      </w:r>
      <w:r w:rsidR="00802827" w:rsidRPr="009A1C8E">
        <w:rPr>
          <w:noProof/>
        </w:rPr>
        <w:t>(5)</w:t>
      </w:r>
      <w:r w:rsidR="002D37DC" w:rsidRPr="009A1C8E">
        <w:fldChar w:fldCharType="end"/>
      </w:r>
      <w:r w:rsidR="00CA425E" w:rsidRPr="009A1C8E">
        <w:t xml:space="preserve">. </w:t>
      </w:r>
      <w:r w:rsidR="006C7AF4" w:rsidRPr="009A1C8E">
        <w:t xml:space="preserve">Thin markets and market inefficiencies may lead </w:t>
      </w:r>
      <w:r w:rsidR="00383A62" w:rsidRPr="009A1C8E">
        <w:t xml:space="preserve">to </w:t>
      </w:r>
      <w:r w:rsidR="006C7AF4" w:rsidRPr="009A1C8E">
        <w:t>the complete collapse of the market</w:t>
      </w:r>
      <w:r w:rsidR="00922585" w:rsidRPr="009A1C8E">
        <w:t>, where there are significant gaps or no providers</w:t>
      </w:r>
      <w:r w:rsidR="00BE1A87" w:rsidRPr="009A1C8E">
        <w:t xml:space="preserve"> </w:t>
      </w:r>
      <w:r w:rsidR="002D37DC" w:rsidRPr="009A1C8E">
        <w:fldChar w:fldCharType="begin"/>
      </w:r>
      <w:r w:rsidR="006114A6" w:rsidRPr="009A1C8E">
        <w:instrText xml:space="preserve"> ADDIN EN.CITE &lt;EndNote&gt;&lt;Cite&gt;&lt;Author&gt;Carey&lt;/Author&gt;&lt;Year&gt;2017&lt;/Year&gt;&lt;RecNum&gt;253&lt;/RecNum&gt;&lt;DisplayText&gt;(3)&lt;/DisplayText&gt;&lt;record&gt;&lt;rec-number&gt;253&lt;/rec-number&gt;&lt;foreign-keys&gt;&lt;key app="EN" db-id="dtafe02tlezsd7ef59c5s9fdse5ze52xw2ta" timestamp="1554298000"&gt;253&lt;/key&gt;&lt;/foreign-keys&gt;&lt;ref-type name="Unpublished Work"&gt;34&lt;/ref-type&gt;&lt;contributors&gt;&lt;authors&gt;&lt;author&gt;Carey, Gemma&lt;/author&gt;&lt;author&gt;Dickinson, Helen&lt;/author&gt;&lt;author&gt;Gilchrist, David&lt;/author&gt;&lt;author&gt;Alexander, Damon&lt;/author&gt;&lt;author&gt;Kavanagh, Anne&lt;/author&gt;&lt;author&gt;Chand, Satish&lt;/author&gt;&lt;/authors&gt;&lt;/contributors&gt;&lt;titles&gt;&lt;title&gt;Proposal: Stewarding thin markets: improving public sector market effectiveness&lt;/title&gt;&lt;/titles&gt;&lt;dates&gt;&lt;year&gt;2017&lt;/year&gt;&lt;/dates&gt;&lt;publisher&gt;The University of New South Wales&lt;/publisher&gt;&lt;urls&gt;&lt;/urls&gt;&lt;/record&gt;&lt;/Cite&gt;&lt;/EndNote&gt;</w:instrText>
      </w:r>
      <w:r w:rsidR="002D37DC" w:rsidRPr="009A1C8E">
        <w:fldChar w:fldCharType="separate"/>
      </w:r>
      <w:r w:rsidR="006114A6" w:rsidRPr="009A1C8E">
        <w:rPr>
          <w:noProof/>
        </w:rPr>
        <w:t>(3)</w:t>
      </w:r>
      <w:r w:rsidR="002D37DC" w:rsidRPr="009A1C8E">
        <w:fldChar w:fldCharType="end"/>
      </w:r>
      <w:r w:rsidR="00922585" w:rsidRPr="009A1C8E">
        <w:t>. This is</w:t>
      </w:r>
      <w:r w:rsidR="00BE1A87" w:rsidRPr="009A1C8E">
        <w:t xml:space="preserve"> market failure.</w:t>
      </w:r>
    </w:p>
    <w:p w:rsidR="00390A57" w:rsidRPr="009A1C8E" w:rsidRDefault="006D433D" w:rsidP="00A14F68">
      <w:pPr>
        <w:spacing w:before="120" w:after="120" w:line="276" w:lineRule="auto"/>
      </w:pPr>
      <w:r w:rsidRPr="009A1C8E">
        <w:t xml:space="preserve">Thin markets and market failure </w:t>
      </w:r>
      <w:r w:rsidR="0031533E" w:rsidRPr="009A1C8E">
        <w:t xml:space="preserve">will undermine the success of the NDIS and </w:t>
      </w:r>
      <w:r w:rsidR="00DA2664" w:rsidRPr="009A1C8E">
        <w:t xml:space="preserve">will </w:t>
      </w:r>
      <w:r w:rsidR="0031533E" w:rsidRPr="009A1C8E">
        <w:t>have significant implications</w:t>
      </w:r>
      <w:r w:rsidR="00AD4A59" w:rsidRPr="009A1C8E">
        <w:t xml:space="preserve"> for</w:t>
      </w:r>
      <w:r w:rsidR="0031533E" w:rsidRPr="009A1C8E">
        <w:t xml:space="preserve"> people with disability, their families</w:t>
      </w:r>
      <w:r w:rsidR="00383A62" w:rsidRPr="009A1C8E">
        <w:t xml:space="preserve">, </w:t>
      </w:r>
      <w:r w:rsidR="0031533E" w:rsidRPr="009A1C8E">
        <w:t>carers</w:t>
      </w:r>
      <w:r w:rsidR="00383A62" w:rsidRPr="009A1C8E">
        <w:t xml:space="preserve"> and communities</w:t>
      </w:r>
      <w:r w:rsidR="0031533E" w:rsidRPr="009A1C8E">
        <w:t xml:space="preserve">. </w:t>
      </w:r>
      <w:r w:rsidR="007A4382" w:rsidRPr="009A1C8E">
        <w:t>Drawing on the literature and early implementation documents, it is noted that:</w:t>
      </w:r>
    </w:p>
    <w:p w:rsidR="00390A57" w:rsidRPr="009A1C8E" w:rsidRDefault="007A4382" w:rsidP="00A14F68">
      <w:pPr>
        <w:pStyle w:val="ListParagraph"/>
        <w:numPr>
          <w:ilvl w:val="0"/>
          <w:numId w:val="25"/>
        </w:numPr>
        <w:spacing w:before="120" w:after="120" w:line="276" w:lineRule="auto"/>
      </w:pPr>
      <w:r w:rsidRPr="009A1C8E">
        <w:t xml:space="preserve">“Where there are thin </w:t>
      </w:r>
      <w:proofErr w:type="gramStart"/>
      <w:r w:rsidRPr="009A1C8E">
        <w:t>market</w:t>
      </w:r>
      <w:proofErr w:type="gramEnd"/>
      <w:r w:rsidRPr="009A1C8E">
        <w:t xml:space="preserve"> segments, such as rural and remote areas, providing choice will be more difficult and may require a greater level of market facilitation. It should also be acknowledged that there may be high personal and economic transaction costs to change providers, and these should be minimised</w:t>
      </w:r>
      <w:r w:rsidR="004F2F75" w:rsidRPr="009A1C8E">
        <w:t xml:space="preserve">” </w:t>
      </w:r>
      <w:r w:rsidR="002D37DC" w:rsidRPr="009A1C8E">
        <w:fldChar w:fldCharType="begin"/>
      </w:r>
      <w:r w:rsidR="00CB69E2" w:rsidRPr="009A1C8E">
        <w:instrText xml:space="preserve"> ADDIN EN.CITE &lt;EndNote&gt;&lt;Cite&gt;&lt;Author&gt;Commonwealth Department of Social Services&lt;/Author&gt;&lt;Year&gt;2015&lt;/Year&gt;&lt;RecNum&gt;255&lt;/RecNum&gt;&lt;DisplayText&gt;(5)&lt;/DisplayText&gt;&lt;record&gt;&lt;rec-number&gt;255&lt;/rec-number&gt;&lt;foreign-keys&gt;&lt;key app="EN" db-id="dtafe02tlezsd7ef59c5s9fdse5ze52xw2ta" timestamp="1554298291"&gt;255&lt;/key&gt;&lt;/foreign-keys&gt;&lt;ref-type name="Journal Article"&gt;17&lt;/ref-type&gt;&lt;contributors&gt;&lt;authors&gt;&lt;author&gt;Commonwealth Department of Social Services,&lt;/author&gt;&lt;/authors&gt;&lt;/contributors&gt;&lt;titles&gt;&lt;title&gt;National Disability Insurance Scheme Integrated Market, Sector and Workforce Strategy&lt;/title&gt;&lt;/titles&gt;&lt;dates&gt;&lt;year&gt;2015&lt;/year&gt;&lt;/dates&gt;&lt;urls&gt;&lt;/urls&gt;&lt;/record&gt;&lt;/Cite&gt;&lt;/EndNote&gt;</w:instrText>
      </w:r>
      <w:r w:rsidR="002D37DC" w:rsidRPr="009A1C8E">
        <w:fldChar w:fldCharType="separate"/>
      </w:r>
      <w:r w:rsidR="00CB69E2" w:rsidRPr="009A1C8E">
        <w:rPr>
          <w:noProof/>
        </w:rPr>
        <w:t>(5)</w:t>
      </w:r>
      <w:r w:rsidR="002D37DC" w:rsidRPr="009A1C8E">
        <w:fldChar w:fldCharType="end"/>
      </w:r>
      <w:r w:rsidR="004F2F75" w:rsidRPr="009A1C8E">
        <w:t>.</w:t>
      </w:r>
    </w:p>
    <w:p w:rsidR="0008649D" w:rsidRPr="009A1C8E" w:rsidRDefault="005803B7" w:rsidP="00A14F68">
      <w:pPr>
        <w:pStyle w:val="ListParagraph"/>
        <w:numPr>
          <w:ilvl w:val="0"/>
          <w:numId w:val="25"/>
        </w:numPr>
        <w:spacing w:before="120" w:after="120" w:line="276" w:lineRule="auto"/>
      </w:pPr>
      <w:r w:rsidRPr="009A1C8E">
        <w:t xml:space="preserve">Localised or systemic market failure may </w:t>
      </w:r>
      <w:r w:rsidR="008F2A7D" w:rsidRPr="009A1C8E">
        <w:t>encompass a</w:t>
      </w:r>
      <w:r w:rsidRPr="009A1C8E">
        <w:t xml:space="preserve"> “decrease in participant choice, and decrease in the quality of service choices</w:t>
      </w:r>
      <w:r w:rsidR="008F2A7D" w:rsidRPr="009A1C8E">
        <w:t>”</w:t>
      </w:r>
      <w:r w:rsidR="004F2F75" w:rsidRPr="009A1C8E">
        <w:t xml:space="preserve"> </w:t>
      </w:r>
      <w:r w:rsidR="002D37DC" w:rsidRPr="009A1C8E">
        <w:fldChar w:fldCharType="begin"/>
      </w:r>
      <w:r w:rsidR="00CB69E2" w:rsidRPr="009A1C8E">
        <w:instrText xml:space="preserve"> ADDIN EN.CITE &lt;EndNote&gt;&lt;Cite&gt;&lt;Author&gt;Commonwealth Department of Social Services&lt;/Author&gt;&lt;Year&gt;2015&lt;/Year&gt;&lt;RecNum&gt;255&lt;/RecNum&gt;&lt;DisplayText&gt;(5)&lt;/DisplayText&gt;&lt;record&gt;&lt;rec-number&gt;255&lt;/rec-number&gt;&lt;foreign-keys&gt;&lt;key app="EN" db-id="dtafe02tlezsd7ef59c5s9fdse5ze52xw2ta" timestamp="1554298291"&gt;255&lt;/key&gt;&lt;/foreign-keys&gt;&lt;ref-type name="Journal Article"&gt;17&lt;/ref-type&gt;&lt;contributors&gt;&lt;authors&gt;&lt;author&gt;Commonwealth Department of Social Services,&lt;/author&gt;&lt;/authors&gt;&lt;/contributors&gt;&lt;titles&gt;&lt;title&gt;National Disability Insurance Scheme Integrated Market, Sector and Workforce Strategy&lt;/title&gt;&lt;/titles&gt;&lt;dates&gt;&lt;year&gt;2015&lt;/year&gt;&lt;/dates&gt;&lt;urls&gt;&lt;/urls&gt;&lt;/record&gt;&lt;/Cite&gt;&lt;/EndNote&gt;</w:instrText>
      </w:r>
      <w:r w:rsidR="002D37DC" w:rsidRPr="009A1C8E">
        <w:fldChar w:fldCharType="separate"/>
      </w:r>
      <w:r w:rsidR="00CB69E2" w:rsidRPr="009A1C8E">
        <w:rPr>
          <w:noProof/>
        </w:rPr>
        <w:t>(5)</w:t>
      </w:r>
      <w:r w:rsidR="002D37DC" w:rsidRPr="009A1C8E">
        <w:fldChar w:fldCharType="end"/>
      </w:r>
      <w:r w:rsidR="00CB69E2" w:rsidRPr="009A1C8E">
        <w:t>.</w:t>
      </w:r>
    </w:p>
    <w:p w:rsidR="00D55A05" w:rsidRPr="009A1C8E" w:rsidRDefault="00D55A05" w:rsidP="00A14F68">
      <w:pPr>
        <w:pStyle w:val="ListParagraph"/>
        <w:numPr>
          <w:ilvl w:val="0"/>
          <w:numId w:val="25"/>
        </w:numPr>
        <w:spacing w:before="120" w:after="120" w:line="276" w:lineRule="auto"/>
      </w:pPr>
      <w:r w:rsidRPr="009A1C8E">
        <w:t>“</w:t>
      </w:r>
      <w:r w:rsidR="002646AB" w:rsidRPr="009A1C8E">
        <w:t>In urban or peri-urban areas low prevalence of disability (or specific types of disability or particularly challenging situations with few or no support providers) may also present challenges in terms of thin markets</w:t>
      </w:r>
      <w:r w:rsidRPr="009A1C8E">
        <w:t>”</w:t>
      </w:r>
      <w:r w:rsidR="00206136" w:rsidRPr="009A1C8E">
        <w:t xml:space="preserve"> </w:t>
      </w:r>
      <w:r w:rsidR="002D37DC" w:rsidRPr="009A1C8E">
        <w:fldChar w:fldCharType="begin"/>
      </w:r>
      <w:r w:rsidR="00206136" w:rsidRPr="009A1C8E">
        <w:instrText xml:space="preserve"> ADDIN EN.CITE &lt;EndNote&gt;&lt;Cite&gt;&lt;Author&gt;Carey&lt;/Author&gt;&lt;Year&gt;2017&lt;/Year&gt;&lt;RecNum&gt;256&lt;/RecNum&gt;&lt;DisplayText&gt;(6)&lt;/DisplayText&gt;&lt;record&gt;&lt;rec-number&gt;256&lt;/rec-number&gt;&lt;foreign-keys&gt;&lt;key app="EN" db-id="dtafe02tlezsd7ef59c5s9fdse5ze52xw2ta" timestamp="1554298449"&gt;256&lt;/key&gt;&lt;/foreign-keys&gt;&lt;ref-type name="Journal Article"&gt;17&lt;/ref-type&gt;&lt;contributors&gt;&lt;authors&gt;&lt;author&gt;Carey, Gemma&lt;/author&gt;&lt;author&gt;Malbon, Eleanor&lt;/author&gt;&lt;author&gt;Reeders, Daniel&lt;/author&gt;&lt;author&gt;Kavanagh, Anne&lt;/author&gt;&lt;author&gt;Llewellyn, Gwynnyth&lt;/author&gt;&lt;/authors&gt;&lt;/contributors&gt;&lt;titles&gt;&lt;title&gt;Redressing or entrenching social and health inequities through policy implementation? Examining personalised budgets through the Australian National Disability Insurance Scheme&lt;/title&gt;&lt;secondary-title&gt;International journal for equity in health&lt;/secondary-title&gt;&lt;/titles&gt;&lt;periodical&gt;&lt;full-title&gt;International journal for equity in health&lt;/full-title&gt;&lt;/periodical&gt;&lt;pages&gt;192&lt;/pages&gt;&lt;volume&gt;16&lt;/volume&gt;&lt;number&gt;1&lt;/number&gt;&lt;dates&gt;&lt;year&gt;2017&lt;/year&gt;&lt;/dates&gt;&lt;urls&gt;&lt;/urls&gt;&lt;/record&gt;&lt;/Cite&gt;&lt;/EndNote&gt;</w:instrText>
      </w:r>
      <w:r w:rsidR="002D37DC" w:rsidRPr="009A1C8E">
        <w:fldChar w:fldCharType="separate"/>
      </w:r>
      <w:r w:rsidR="00206136" w:rsidRPr="009A1C8E">
        <w:rPr>
          <w:noProof/>
        </w:rPr>
        <w:t>(6)</w:t>
      </w:r>
      <w:r w:rsidR="002D37DC" w:rsidRPr="009A1C8E">
        <w:fldChar w:fldCharType="end"/>
      </w:r>
      <w:r w:rsidRPr="009A1C8E">
        <w:t>.</w:t>
      </w:r>
    </w:p>
    <w:p w:rsidR="004F2F75" w:rsidRPr="009A1C8E" w:rsidRDefault="00AE2136" w:rsidP="00A14F68">
      <w:pPr>
        <w:pStyle w:val="ListParagraph"/>
        <w:numPr>
          <w:ilvl w:val="0"/>
          <w:numId w:val="25"/>
        </w:numPr>
        <w:spacing w:before="120" w:after="120" w:line="276" w:lineRule="auto"/>
      </w:pPr>
      <w:r w:rsidRPr="009A1C8E">
        <w:t>“</w:t>
      </w:r>
      <w:r w:rsidR="002646AB" w:rsidRPr="009A1C8E">
        <w:t xml:space="preserve">Thin markets are also susceptible to market failure, where no new providers enter the </w:t>
      </w:r>
      <w:r w:rsidR="0081480C" w:rsidRPr="009A1C8E">
        <w:t>marketplace</w:t>
      </w:r>
      <w:r w:rsidR="002646AB" w:rsidRPr="009A1C8E">
        <w:t xml:space="preserve"> due to high costs of entry or lack of business prospects, and existing providers are challenged by being paid retrospectively for business, gaining the necessary breadth and depth of expertise</w:t>
      </w:r>
      <w:r w:rsidR="00AD4A59" w:rsidRPr="009A1C8E">
        <w:t>,</w:t>
      </w:r>
      <w:r w:rsidR="002646AB" w:rsidRPr="009A1C8E">
        <w:t xml:space="preserve"> and business costs running higher than the funds collected via individuals</w:t>
      </w:r>
      <w:r w:rsidR="00D55A05" w:rsidRPr="009A1C8E">
        <w:t>”</w:t>
      </w:r>
      <w:r w:rsidR="00206136" w:rsidRPr="009A1C8E">
        <w:t xml:space="preserve"> </w:t>
      </w:r>
      <w:r w:rsidR="002D37DC" w:rsidRPr="009A1C8E">
        <w:fldChar w:fldCharType="begin"/>
      </w:r>
      <w:r w:rsidR="00206136" w:rsidRPr="009A1C8E">
        <w:instrText xml:space="preserve"> ADDIN EN.CITE &lt;EndNote&gt;&lt;Cite&gt;&lt;Author&gt;Carey&lt;/Author&gt;&lt;Year&gt;2017&lt;/Year&gt;&lt;RecNum&gt;256&lt;/RecNum&gt;&lt;DisplayText&gt;(6)&lt;/DisplayText&gt;&lt;record&gt;&lt;rec-number&gt;256&lt;/rec-number&gt;&lt;foreign-keys&gt;&lt;key app="EN" db-id="dtafe02tlezsd7ef59c5s9fdse5ze52xw2ta" timestamp="1554298449"&gt;256&lt;/key&gt;&lt;/foreign-keys&gt;&lt;ref-type name="Journal Article"&gt;17&lt;/ref-type&gt;&lt;contributors&gt;&lt;authors&gt;&lt;author&gt;Carey, Gemma&lt;/author&gt;&lt;author&gt;Malbon, Eleanor&lt;/author&gt;&lt;author&gt;Reeders, Daniel&lt;/author&gt;&lt;author&gt;Kavanagh, Anne&lt;/author&gt;&lt;author&gt;Llewellyn, Gwynnyth&lt;/author&gt;&lt;/authors&gt;&lt;/contributors&gt;&lt;titles&gt;&lt;title&gt;Redressing or entrenching social and health inequities through policy implementation? Examining personalised budgets through the Australian National Disability Insurance Scheme&lt;/title&gt;&lt;secondary-title&gt;International journal for equity in health&lt;/secondary-title&gt;&lt;/titles&gt;&lt;periodical&gt;&lt;full-title&gt;International journal for equity in health&lt;/full-title&gt;&lt;/periodical&gt;&lt;pages&gt;192&lt;/pages&gt;&lt;volume&gt;16&lt;/volume&gt;&lt;number&gt;1&lt;/number&gt;&lt;dates&gt;&lt;year&gt;2017&lt;/year&gt;&lt;/dates&gt;&lt;urls&gt;&lt;/urls&gt;&lt;/record&gt;&lt;/Cite&gt;&lt;/EndNote&gt;</w:instrText>
      </w:r>
      <w:r w:rsidR="002D37DC" w:rsidRPr="009A1C8E">
        <w:fldChar w:fldCharType="separate"/>
      </w:r>
      <w:r w:rsidR="00206136" w:rsidRPr="009A1C8E">
        <w:rPr>
          <w:noProof/>
        </w:rPr>
        <w:t>(6)</w:t>
      </w:r>
      <w:r w:rsidR="002D37DC" w:rsidRPr="009A1C8E">
        <w:fldChar w:fldCharType="end"/>
      </w:r>
      <w:r w:rsidR="002646AB" w:rsidRPr="009A1C8E">
        <w:t>.</w:t>
      </w:r>
    </w:p>
    <w:p w:rsidR="001F3FCF" w:rsidRPr="009A1C8E" w:rsidRDefault="00383A62" w:rsidP="00A14F68">
      <w:pPr>
        <w:spacing w:before="120" w:after="120" w:line="276" w:lineRule="auto"/>
      </w:pPr>
      <w:r w:rsidRPr="009A1C8E">
        <w:t>W</w:t>
      </w:r>
      <w:r w:rsidR="000506AD" w:rsidRPr="009A1C8E">
        <w:t xml:space="preserve">ithout </w:t>
      </w:r>
      <w:r w:rsidR="00CB13A8" w:rsidRPr="009A1C8E">
        <w:t>g</w:t>
      </w:r>
      <w:r w:rsidR="000506AD" w:rsidRPr="009A1C8E">
        <w:t xml:space="preserve">overnment intervention, this will result in </w:t>
      </w:r>
      <w:r w:rsidR="007574C0" w:rsidRPr="009A1C8E">
        <w:t xml:space="preserve">shortages, reduced competition and </w:t>
      </w:r>
      <w:r w:rsidR="000506AD" w:rsidRPr="009A1C8E">
        <w:t>poorer outcomes for people with disability</w:t>
      </w:r>
      <w:r w:rsidR="00DF190D" w:rsidRPr="009A1C8E">
        <w:t xml:space="preserve"> </w:t>
      </w:r>
      <w:r w:rsidR="002D37DC" w:rsidRPr="009A1C8E">
        <w:fldChar w:fldCharType="begin"/>
      </w:r>
      <w:r w:rsidR="006F46AC" w:rsidRPr="009A1C8E">
        <w:instrText xml:space="preserve"> ADDIN EN.CITE &lt;EndNote&gt;&lt;Cite&gt;&lt;Author&gt;Productivity Commission&lt;/Author&gt;&lt;Year&gt;2017&lt;/Year&gt;&lt;RecNum&gt;254&lt;/RecNum&gt;&lt;DisplayText&gt;(4)&lt;/DisplayText&gt;&lt;record&gt;&lt;rec-number&gt;254&lt;/rec-number&gt;&lt;foreign-keys&gt;&lt;key app="EN" db-id="dtafe02tlezsd7ef59c5s9fdse5ze52xw2ta" timestamp="1554298100"&gt;254&lt;/key&gt;&lt;/foreign-keys&gt;&lt;ref-type name="Report"&gt;27&lt;/ref-type&gt;&lt;contributors&gt;&lt;authors&gt;&lt;author&gt;Productivity Commission,&lt;/author&gt;&lt;/authors&gt;&lt;/contributors&gt;&lt;titles&gt;&lt;title&gt;National Disability Insurance Scheme (NDIS) Costs&lt;/title&gt;&lt;secondary-title&gt;Study report&lt;/secondary-title&gt;&lt;/titles&gt;&lt;dates&gt;&lt;year&gt;2017&lt;/year&gt;&lt;/dates&gt;&lt;publisher&gt;Canberra&lt;/publisher&gt;&lt;urls&gt;&lt;/urls&gt;&lt;/record&gt;&lt;/Cite&gt;&lt;/EndNote&gt;</w:instrText>
      </w:r>
      <w:r w:rsidR="002D37DC" w:rsidRPr="009A1C8E">
        <w:fldChar w:fldCharType="separate"/>
      </w:r>
      <w:r w:rsidR="006F46AC" w:rsidRPr="009A1C8E">
        <w:rPr>
          <w:noProof/>
        </w:rPr>
        <w:t>(4)</w:t>
      </w:r>
      <w:r w:rsidR="002D37DC" w:rsidRPr="009A1C8E">
        <w:fldChar w:fldCharType="end"/>
      </w:r>
      <w:r w:rsidR="007574C0" w:rsidRPr="009A1C8E">
        <w:t xml:space="preserve">. </w:t>
      </w:r>
      <w:r w:rsidR="00E44BFC" w:rsidRPr="009A1C8E">
        <w:t>Participants</w:t>
      </w:r>
      <w:r w:rsidR="007574C0" w:rsidRPr="009A1C8E">
        <w:t xml:space="preserve"> most at risk include people living in outer regional</w:t>
      </w:r>
      <w:r w:rsidR="00ED2040" w:rsidRPr="009A1C8E">
        <w:t xml:space="preserve"> and</w:t>
      </w:r>
      <w:r w:rsidR="007574C0" w:rsidRPr="009A1C8E">
        <w:t xml:space="preserve"> remote areas</w:t>
      </w:r>
      <w:r w:rsidR="00AD4A59" w:rsidRPr="009A1C8E">
        <w:t>;</w:t>
      </w:r>
      <w:r w:rsidR="007574C0" w:rsidRPr="009A1C8E">
        <w:t xml:space="preserve"> </w:t>
      </w:r>
      <w:r w:rsidR="00ED2040" w:rsidRPr="009A1C8E">
        <w:t>people with complex, specialised needs or challenging behaviours</w:t>
      </w:r>
      <w:r w:rsidR="00AD4A59" w:rsidRPr="009A1C8E">
        <w:t>;</w:t>
      </w:r>
      <w:r w:rsidR="00ED2040" w:rsidRPr="009A1C8E">
        <w:t xml:space="preserve"> people </w:t>
      </w:r>
      <w:r w:rsidRPr="009A1C8E">
        <w:t xml:space="preserve">who are </w:t>
      </w:r>
      <w:r w:rsidR="00ED2040" w:rsidRPr="009A1C8E">
        <w:t>culturally and linguistically diverse</w:t>
      </w:r>
      <w:r w:rsidR="00AD4A59" w:rsidRPr="009A1C8E">
        <w:t>;</w:t>
      </w:r>
      <w:r w:rsidR="00ED2040" w:rsidRPr="009A1C8E">
        <w:t xml:space="preserve"> </w:t>
      </w:r>
      <w:r w:rsidR="00E44BFC" w:rsidRPr="009A1C8E">
        <w:t>Aboriginal and Torres Strait Islander</w:t>
      </w:r>
      <w:r w:rsidR="0095778B" w:rsidRPr="009A1C8E">
        <w:t>s</w:t>
      </w:r>
      <w:r w:rsidR="00AD4A59" w:rsidRPr="009A1C8E">
        <w:t>;</w:t>
      </w:r>
      <w:r w:rsidR="00E44BFC" w:rsidRPr="009A1C8E">
        <w:t xml:space="preserve"> and people with acute and immediate needs </w:t>
      </w:r>
      <w:r w:rsidR="002D37DC" w:rsidRPr="009A1C8E">
        <w:fldChar w:fldCharType="begin"/>
      </w:r>
      <w:r w:rsidR="006F46AC" w:rsidRPr="009A1C8E">
        <w:instrText xml:space="preserve"> ADDIN EN.CITE &lt;EndNote&gt;&lt;Cite&gt;&lt;Author&gt;Productivity Commission&lt;/Author&gt;&lt;Year&gt;2017&lt;/Year&gt;&lt;RecNum&gt;254&lt;/RecNum&gt;&lt;DisplayText&gt;(4)&lt;/DisplayText&gt;&lt;record&gt;&lt;rec-number&gt;254&lt;/rec-number&gt;&lt;foreign-keys&gt;&lt;key app="EN" db-id="dtafe02tlezsd7ef59c5s9fdse5ze52xw2ta" timestamp="1554298100"&gt;254&lt;/key&gt;&lt;/foreign-keys&gt;&lt;ref-type name="Report"&gt;27&lt;/ref-type&gt;&lt;contributors&gt;&lt;authors&gt;&lt;author&gt;Productivity Commission,&lt;/author&gt;&lt;/authors&gt;&lt;/contributors&gt;&lt;titles&gt;&lt;title&gt;National Disability Insurance Scheme (NDIS) Costs&lt;/title&gt;&lt;secondary-title&gt;Study report&lt;/secondary-title&gt;&lt;/titles&gt;&lt;dates&gt;&lt;year&gt;2017&lt;/year&gt;&lt;/dates&gt;&lt;publisher&gt;Canberra&lt;/publisher&gt;&lt;urls&gt;&lt;/urls&gt;&lt;/record&gt;&lt;/Cite&gt;&lt;/EndNote&gt;</w:instrText>
      </w:r>
      <w:r w:rsidR="002D37DC" w:rsidRPr="009A1C8E">
        <w:fldChar w:fldCharType="separate"/>
      </w:r>
      <w:r w:rsidR="006F46AC" w:rsidRPr="009A1C8E">
        <w:rPr>
          <w:noProof/>
        </w:rPr>
        <w:t>(4)</w:t>
      </w:r>
      <w:r w:rsidR="002D37DC" w:rsidRPr="009A1C8E">
        <w:fldChar w:fldCharType="end"/>
      </w:r>
      <w:r w:rsidR="00E44BFC" w:rsidRPr="009A1C8E">
        <w:t>.</w:t>
      </w:r>
    </w:p>
    <w:p w:rsidR="0031533E" w:rsidRPr="009A1C8E" w:rsidRDefault="00B42F28" w:rsidP="00A14F68">
      <w:pPr>
        <w:spacing w:before="120" w:after="120" w:line="276" w:lineRule="auto"/>
      </w:pPr>
      <w:r w:rsidRPr="009A1C8E">
        <w:t xml:space="preserve">Geographic and consumer diversity </w:t>
      </w:r>
      <w:r w:rsidR="006F604E" w:rsidRPr="009A1C8E">
        <w:t>need</w:t>
      </w:r>
      <w:r w:rsidRPr="009A1C8E">
        <w:t xml:space="preserve"> to be considered in each individual local market</w:t>
      </w:r>
      <w:r w:rsidR="006F604E" w:rsidRPr="009A1C8E">
        <w:t xml:space="preserve">. Otherwise, people with disability will not have access to robust and functioning </w:t>
      </w:r>
      <w:r w:rsidR="006F604E" w:rsidRPr="009A1C8E">
        <w:lastRenderedPageBreak/>
        <w:t>markets and will</w:t>
      </w:r>
      <w:r w:rsidR="00383A62" w:rsidRPr="009A1C8E">
        <w:t>, at best,</w:t>
      </w:r>
      <w:r w:rsidR="006F604E" w:rsidRPr="009A1C8E">
        <w:t xml:space="preserve"> be unable to exercise true choice and control</w:t>
      </w:r>
      <w:r w:rsidR="00383A62" w:rsidRPr="009A1C8E">
        <w:t>, or at worst, have no access to essential supports</w:t>
      </w:r>
      <w:r w:rsidR="006F604E" w:rsidRPr="009A1C8E">
        <w:t xml:space="preserve">. </w:t>
      </w:r>
      <w:r w:rsidR="00947C73" w:rsidRPr="009A1C8E">
        <w:t xml:space="preserve">NDS looks forward to seeing the results of the DSS and NDIA commissioned work investigating thin markets </w:t>
      </w:r>
      <w:r w:rsidR="002D37DC" w:rsidRPr="009A1C8E">
        <w:fldChar w:fldCharType="begin"/>
      </w:r>
      <w:r w:rsidR="005D588A" w:rsidRPr="009A1C8E">
        <w:instrText xml:space="preserve"> ADDIN EN.CITE &lt;EndNote&gt;&lt;Cite&gt;&lt;Author&gt;Commonwealth Department of Social Services&lt;/Author&gt;&lt;Year&gt;2019&lt;/Year&gt;&lt;RecNum&gt;266&lt;/RecNum&gt;&lt;DisplayText&gt;(7)&lt;/DisplayText&gt;&lt;record&gt;&lt;rec-number&gt;266&lt;/rec-number&gt;&lt;foreign-keys&gt;&lt;key app="EN" db-id="dtafe02tlezsd7ef59c5s9fdse5ze52xw2ta" timestamp="1554377722"&gt;266&lt;/key&gt;&lt;/foreign-keys&gt;&lt;ref-type name="Report"&gt;27&lt;/ref-type&gt;&lt;contributors&gt;&lt;authors&gt;&lt;author&gt;Commonwealth Department of Social Services,&lt;/author&gt;&lt;/authors&gt;&lt;/contributors&gt;&lt;titles&gt;&lt;title&gt;Growing the NDIS Market and Workforce&lt;/title&gt;&lt;/titles&gt;&lt;dates&gt;&lt;year&gt;2019&lt;/year&gt;&lt;/dates&gt;&lt;urls&gt;&lt;/urls&gt;&lt;/record&gt;&lt;/Cite&gt;&lt;/EndNote&gt;</w:instrText>
      </w:r>
      <w:r w:rsidR="002D37DC" w:rsidRPr="009A1C8E">
        <w:fldChar w:fldCharType="separate"/>
      </w:r>
      <w:r w:rsidR="005D588A" w:rsidRPr="009A1C8E">
        <w:rPr>
          <w:noProof/>
        </w:rPr>
        <w:t>(7)</w:t>
      </w:r>
      <w:r w:rsidR="002D37DC" w:rsidRPr="009A1C8E">
        <w:fldChar w:fldCharType="end"/>
      </w:r>
      <w:r w:rsidR="00947C73" w:rsidRPr="009A1C8E">
        <w:t xml:space="preserve">, as key strategies and effective intervention options need to be urgently developed. </w:t>
      </w:r>
      <w:r w:rsidR="00594E60" w:rsidRPr="009A1C8E">
        <w:t xml:space="preserve">Protecting against thin markets is critical to ensure efficiency, effectiveness and equity </w:t>
      </w:r>
      <w:r w:rsidR="00383A62" w:rsidRPr="009A1C8E">
        <w:t xml:space="preserve">and </w:t>
      </w:r>
      <w:r w:rsidR="00767E25" w:rsidRPr="009A1C8E">
        <w:t xml:space="preserve">is </w:t>
      </w:r>
      <w:r w:rsidR="000F18AD" w:rsidRPr="009A1C8E">
        <w:t xml:space="preserve">integral </w:t>
      </w:r>
      <w:r w:rsidR="00383A62" w:rsidRPr="009A1C8E">
        <w:t xml:space="preserve">to deliver the promise of </w:t>
      </w:r>
      <w:r w:rsidRPr="009A1C8E">
        <w:t>the NDIS</w:t>
      </w:r>
      <w:r w:rsidR="006F604E" w:rsidRPr="009A1C8E">
        <w:t>.</w:t>
      </w:r>
    </w:p>
    <w:p w:rsidR="00812356" w:rsidRPr="009A1C8E" w:rsidRDefault="00812356" w:rsidP="00830706">
      <w:pPr>
        <w:pStyle w:val="Heading2"/>
      </w:pPr>
      <w:bookmarkStart w:id="31" w:name="_Toc7614939"/>
      <w:r w:rsidRPr="009A1C8E">
        <w:t>1.3 Market stewardship</w:t>
      </w:r>
      <w:bookmarkEnd w:id="31"/>
    </w:p>
    <w:p w:rsidR="00812356" w:rsidRPr="009A1C8E" w:rsidRDefault="0038689F" w:rsidP="00A14F68">
      <w:pPr>
        <w:spacing w:before="120" w:after="120" w:line="276" w:lineRule="auto"/>
      </w:pPr>
      <w:r w:rsidRPr="009A1C8E">
        <w:t xml:space="preserve">A key element </w:t>
      </w:r>
      <w:r w:rsidR="00CA19BA" w:rsidRPr="009A1C8E">
        <w:t xml:space="preserve">in mitigating the risk of thin markets and developing a </w:t>
      </w:r>
      <w:r w:rsidR="00790104" w:rsidRPr="009A1C8E">
        <w:t xml:space="preserve">healthy marketplace </w:t>
      </w:r>
      <w:r w:rsidR="00CA19BA" w:rsidRPr="009A1C8E">
        <w:t xml:space="preserve">is </w:t>
      </w:r>
      <w:r w:rsidR="00CF4005" w:rsidRPr="009A1C8E">
        <w:t xml:space="preserve">market stewardship. Market stewardship </w:t>
      </w:r>
      <w:r w:rsidR="00A47D93" w:rsidRPr="009A1C8E">
        <w:t>i</w:t>
      </w:r>
      <w:r w:rsidR="002A5A7D" w:rsidRPr="009A1C8E">
        <w:t>s defined as a series of oversight actions that</w:t>
      </w:r>
      <w:r w:rsidR="00AD6BC1" w:rsidRPr="009A1C8E">
        <w:t xml:space="preserve"> support the functioning </w:t>
      </w:r>
      <w:r w:rsidR="008C7BC4" w:rsidRPr="009A1C8E">
        <w:t xml:space="preserve">of </w:t>
      </w:r>
      <w:r w:rsidR="00AD449F" w:rsidRPr="009A1C8E">
        <w:t>a</w:t>
      </w:r>
      <w:r w:rsidR="008C7BC4" w:rsidRPr="009A1C8E">
        <w:t xml:space="preserve"> market</w:t>
      </w:r>
      <w:r w:rsidR="00760FC6" w:rsidRPr="009A1C8E">
        <w:t xml:space="preserve"> </w:t>
      </w:r>
      <w:r w:rsidR="002D37DC" w:rsidRPr="009A1C8E">
        <w:fldChar w:fldCharType="begin"/>
      </w:r>
      <w:r w:rsidR="005D588A" w:rsidRPr="009A1C8E">
        <w:instrText xml:space="preserve"> ADDIN EN.CITE &lt;EndNote&gt;&lt;Cite&gt;&lt;Author&gt;Carey&lt;/Author&gt;&lt;Year&gt;2018&lt;/Year&gt;&lt;RecNum&gt;257&lt;/RecNum&gt;&lt;DisplayText&gt;(8)&lt;/DisplayText&gt;&lt;record&gt;&lt;rec-number&gt;257&lt;/rec-number&gt;&lt;foreign-keys&gt;&lt;key app="EN" db-id="dtafe02tlezsd7ef59c5s9fdse5ze52xw2ta" timestamp="1554298732"&gt;257&lt;/key&gt;&lt;/foreign-keys&gt;&lt;ref-type name="Journal Article"&gt;17&lt;/ref-type&gt;&lt;contributors&gt;&lt;authors&gt;&lt;author&gt;Carey, Gemma&lt;/author&gt;&lt;author&gt;Dickinson, Helen&lt;/author&gt;&lt;author&gt;Malbon, Eleanor&lt;/author&gt;&lt;author&gt;Reeders, Daniel&lt;/author&gt;&lt;/authors&gt;&lt;/contributors&gt;&lt;titles&gt;&lt;title&gt;The vexed question of market stewardship in the public sector: examining equity and the social contract through the Australian national disability insurance scheme&lt;/title&gt;&lt;secondary-title&gt;Social Policy &amp;amp; Administration&lt;/secondary-title&gt;&lt;/titles&gt;&lt;periodical&gt;&lt;full-title&gt;Social Policy &amp;amp; Administration&lt;/full-title&gt;&lt;/periodical&gt;&lt;pages&gt;387-407&lt;/pages&gt;&lt;volume&gt;52&lt;/volume&gt;&lt;number&gt;1&lt;/number&gt;&lt;dates&gt;&lt;year&gt;2018&lt;/year&gt;&lt;/dates&gt;&lt;urls&gt;&lt;/urls&gt;&lt;/record&gt;&lt;/Cite&gt;&lt;/EndNote&gt;</w:instrText>
      </w:r>
      <w:r w:rsidR="002D37DC" w:rsidRPr="009A1C8E">
        <w:fldChar w:fldCharType="separate"/>
      </w:r>
      <w:r w:rsidR="005D588A" w:rsidRPr="009A1C8E">
        <w:rPr>
          <w:noProof/>
        </w:rPr>
        <w:t>(8)</w:t>
      </w:r>
      <w:r w:rsidR="002D37DC" w:rsidRPr="009A1C8E">
        <w:fldChar w:fldCharType="end"/>
      </w:r>
      <w:r w:rsidR="00771C53" w:rsidRPr="009A1C8E">
        <w:t xml:space="preserve">. </w:t>
      </w:r>
      <w:r w:rsidR="00D44C55" w:rsidRPr="009A1C8E">
        <w:t xml:space="preserve">As </w:t>
      </w:r>
      <w:r w:rsidR="0094737A" w:rsidRPr="009A1C8E">
        <w:t xml:space="preserve">Carey et al. </w:t>
      </w:r>
      <w:r w:rsidR="002D37DC" w:rsidRPr="009A1C8E">
        <w:fldChar w:fldCharType="begin"/>
      </w:r>
      <w:r w:rsidR="005D588A" w:rsidRPr="009A1C8E">
        <w:instrText xml:space="preserve"> ADDIN EN.CITE &lt;EndNote&gt;&lt;Cite&gt;&lt;Author&gt;Carey&lt;/Author&gt;&lt;Year&gt;2018&lt;/Year&gt;&lt;RecNum&gt;257&lt;/RecNum&gt;&lt;DisplayText&gt;(8)&lt;/DisplayText&gt;&lt;record&gt;&lt;rec-number&gt;257&lt;/rec-number&gt;&lt;foreign-keys&gt;&lt;key app="EN" db-id="dtafe02tlezsd7ef59c5s9fdse5ze52xw2ta" timestamp="1554298732"&gt;257&lt;/key&gt;&lt;/foreign-keys&gt;&lt;ref-type name="Journal Article"&gt;17&lt;/ref-type&gt;&lt;contributors&gt;&lt;authors&gt;&lt;author&gt;Carey, Gemma&lt;/author&gt;&lt;author&gt;Dickinson, Helen&lt;/author&gt;&lt;author&gt;Malbon, Eleanor&lt;/author&gt;&lt;author&gt;Reeders, Daniel&lt;/author&gt;&lt;/authors&gt;&lt;/contributors&gt;&lt;titles&gt;&lt;title&gt;The vexed question of market stewardship in the public sector: examining equity and the social contract through the Australian national disability insurance scheme&lt;/title&gt;&lt;secondary-title&gt;Social Policy &amp;amp; Administration&lt;/secondary-title&gt;&lt;/titles&gt;&lt;periodical&gt;&lt;full-title&gt;Social Policy &amp;amp; Administration&lt;/full-title&gt;&lt;/periodical&gt;&lt;pages&gt;387-407&lt;/pages&gt;&lt;volume&gt;52&lt;/volume&gt;&lt;number&gt;1&lt;/number&gt;&lt;dates&gt;&lt;year&gt;2018&lt;/year&gt;&lt;/dates&gt;&lt;urls&gt;&lt;/urls&gt;&lt;/record&gt;&lt;/Cite&gt;&lt;/EndNote&gt;</w:instrText>
      </w:r>
      <w:r w:rsidR="002D37DC" w:rsidRPr="009A1C8E">
        <w:fldChar w:fldCharType="separate"/>
      </w:r>
      <w:r w:rsidR="005D588A" w:rsidRPr="009A1C8E">
        <w:rPr>
          <w:noProof/>
        </w:rPr>
        <w:t>(8)</w:t>
      </w:r>
      <w:r w:rsidR="002D37DC" w:rsidRPr="009A1C8E">
        <w:fldChar w:fldCharType="end"/>
      </w:r>
      <w:r w:rsidR="00D44C55" w:rsidRPr="009A1C8E">
        <w:t xml:space="preserve"> describes, this may involve </w:t>
      </w:r>
      <w:r w:rsidR="00ED050D" w:rsidRPr="009A1C8E">
        <w:t xml:space="preserve">monitoring markets for inequities, supplementing markets to address gaps, </w:t>
      </w:r>
      <w:r w:rsidR="005F2E3C" w:rsidRPr="009A1C8E">
        <w:t xml:space="preserve">setting </w:t>
      </w:r>
      <w:r w:rsidR="005F2E3C" w:rsidRPr="009A1C8E">
        <w:rPr>
          <w:bCs/>
        </w:rPr>
        <w:t>and adjusting</w:t>
      </w:r>
      <w:r w:rsidR="005F2E3C" w:rsidRPr="009A1C8E">
        <w:t xml:space="preserve"> the rules (i.e. prices), </w:t>
      </w:r>
      <w:r w:rsidR="0048463A" w:rsidRPr="009A1C8E">
        <w:t>monitoring service quality, supporting innovation and diffusion of best practice</w:t>
      </w:r>
      <w:r w:rsidR="00985E0B" w:rsidRPr="009A1C8E">
        <w:t>,</w:t>
      </w:r>
      <w:r w:rsidR="0048463A" w:rsidRPr="009A1C8E">
        <w:t xml:space="preserve"> and </w:t>
      </w:r>
      <w:r w:rsidR="00D44C55" w:rsidRPr="009A1C8E">
        <w:t xml:space="preserve">providing consumers with information about </w:t>
      </w:r>
      <w:r w:rsidR="00F82979" w:rsidRPr="009A1C8E">
        <w:t xml:space="preserve">available supports and </w:t>
      </w:r>
      <w:r w:rsidR="00D44C55" w:rsidRPr="009A1C8E">
        <w:t>provider</w:t>
      </w:r>
      <w:r w:rsidR="0048463A" w:rsidRPr="009A1C8E">
        <w:t>s.</w:t>
      </w:r>
      <w:r w:rsidR="00275B8C" w:rsidRPr="009A1C8E">
        <w:t xml:space="preserve"> This is distinct from </w:t>
      </w:r>
      <w:r w:rsidR="005110D0" w:rsidRPr="009A1C8E">
        <w:t xml:space="preserve">a regulatory role, which encompasses establishing standards for providers, </w:t>
      </w:r>
      <w:r w:rsidR="00C91F14" w:rsidRPr="009A1C8E">
        <w:t>registering</w:t>
      </w:r>
      <w:r w:rsidR="005110D0" w:rsidRPr="009A1C8E">
        <w:t xml:space="preserve"> and de-</w:t>
      </w:r>
      <w:r w:rsidR="00C91F14" w:rsidRPr="009A1C8E">
        <w:t>registering</w:t>
      </w:r>
      <w:r w:rsidR="005110D0" w:rsidRPr="009A1C8E">
        <w:t xml:space="preserve"> </w:t>
      </w:r>
      <w:r w:rsidR="00C91F14" w:rsidRPr="009A1C8E">
        <w:t>providers</w:t>
      </w:r>
      <w:r w:rsidR="005110D0" w:rsidRPr="009A1C8E">
        <w:t xml:space="preserve">, </w:t>
      </w:r>
      <w:r w:rsidR="00C91F14" w:rsidRPr="009A1C8E">
        <w:t>and</w:t>
      </w:r>
      <w:r w:rsidR="001948FC" w:rsidRPr="009A1C8E">
        <w:t xml:space="preserve"> merely</w:t>
      </w:r>
      <w:r w:rsidR="00C91F14" w:rsidRPr="009A1C8E">
        <w:t xml:space="preserve"> setting</w:t>
      </w:r>
      <w:r w:rsidR="006B126F" w:rsidRPr="009A1C8E">
        <w:t xml:space="preserve"> (and not adjusting)</w:t>
      </w:r>
      <w:r w:rsidR="00C91F14" w:rsidRPr="009A1C8E">
        <w:t xml:space="preserve"> rules </w:t>
      </w:r>
      <w:r w:rsidR="00F77B1F" w:rsidRPr="009A1C8E">
        <w:t>with</w:t>
      </w:r>
      <w:r w:rsidR="00C91F14" w:rsidRPr="009A1C8E">
        <w:t xml:space="preserve"> prices</w:t>
      </w:r>
      <w:r w:rsidR="001948FC" w:rsidRPr="009A1C8E">
        <w:t xml:space="preserve"> </w:t>
      </w:r>
      <w:r w:rsidR="002D37DC" w:rsidRPr="009A1C8E">
        <w:fldChar w:fldCharType="begin"/>
      </w:r>
      <w:r w:rsidR="005D588A" w:rsidRPr="009A1C8E">
        <w:instrText xml:space="preserve"> ADDIN EN.CITE &lt;EndNote&gt;&lt;Cite&gt;&lt;Author&gt;Carey&lt;/Author&gt;&lt;Year&gt;2018&lt;/Year&gt;&lt;RecNum&gt;257&lt;/RecNum&gt;&lt;DisplayText&gt;(8)&lt;/DisplayText&gt;&lt;record&gt;&lt;rec-number&gt;257&lt;/rec-number&gt;&lt;foreign-keys&gt;&lt;key app="EN" db-id="dtafe02tlezsd7ef59c5s9fdse5ze52xw2ta" timestamp="1554298732"&gt;257&lt;/key&gt;&lt;/foreign-keys&gt;&lt;ref-type name="Journal Article"&gt;17&lt;/ref-type&gt;&lt;contributors&gt;&lt;authors&gt;&lt;author&gt;Carey, Gemma&lt;/author&gt;&lt;author&gt;Dickinson, Helen&lt;/author&gt;&lt;author&gt;Malbon, Eleanor&lt;/author&gt;&lt;author&gt;Reeders, Daniel&lt;/author&gt;&lt;/authors&gt;&lt;/contributors&gt;&lt;titles&gt;&lt;title&gt;The vexed question of market stewardship in the public sector: examining equity and the social contract through the Australian national disability insurance scheme&lt;/title&gt;&lt;secondary-title&gt;Social Policy &amp;amp; Administration&lt;/secondary-title&gt;&lt;/titles&gt;&lt;periodical&gt;&lt;full-title&gt;Social Policy &amp;amp; Administration&lt;/full-title&gt;&lt;/periodical&gt;&lt;pages&gt;387-407&lt;/pages&gt;&lt;volume&gt;52&lt;/volume&gt;&lt;number&gt;1&lt;/number&gt;&lt;dates&gt;&lt;year&gt;2018&lt;/year&gt;&lt;/dates&gt;&lt;urls&gt;&lt;/urls&gt;&lt;/record&gt;&lt;/Cite&gt;&lt;/EndNote&gt;</w:instrText>
      </w:r>
      <w:r w:rsidR="002D37DC" w:rsidRPr="009A1C8E">
        <w:fldChar w:fldCharType="separate"/>
      </w:r>
      <w:r w:rsidR="005D588A" w:rsidRPr="009A1C8E">
        <w:rPr>
          <w:noProof/>
        </w:rPr>
        <w:t>(8)</w:t>
      </w:r>
      <w:r w:rsidR="002D37DC" w:rsidRPr="009A1C8E">
        <w:fldChar w:fldCharType="end"/>
      </w:r>
      <w:r w:rsidR="00C91F14" w:rsidRPr="009A1C8E">
        <w:t>.</w:t>
      </w:r>
    </w:p>
    <w:p w:rsidR="00F81486" w:rsidRPr="009A1C8E" w:rsidRDefault="002B75E4" w:rsidP="00A14F68">
      <w:pPr>
        <w:spacing w:before="120" w:after="120" w:line="276" w:lineRule="auto"/>
      </w:pPr>
      <w:r w:rsidRPr="009A1C8E">
        <w:t xml:space="preserve">According to the initial </w:t>
      </w:r>
      <w:r w:rsidR="00267ADD" w:rsidRPr="009A1C8E">
        <w:t>i</w:t>
      </w:r>
      <w:r w:rsidRPr="009A1C8E">
        <w:t xml:space="preserve">nquiry into the NDIS, it was imagined that the NDIA would </w:t>
      </w:r>
      <w:r w:rsidR="009C503D" w:rsidRPr="009A1C8E">
        <w:t xml:space="preserve">only intervene if </w:t>
      </w:r>
      <w:r w:rsidR="00267ADD" w:rsidRPr="009A1C8E">
        <w:t>market failure could be demonstrated</w:t>
      </w:r>
      <w:r w:rsidR="00153F36" w:rsidRPr="009A1C8E">
        <w:t xml:space="preserve"> </w:t>
      </w:r>
      <w:r w:rsidR="002D37DC" w:rsidRPr="009A1C8E">
        <w:fldChar w:fldCharType="begin"/>
      </w:r>
      <w:r w:rsidR="005D588A" w:rsidRPr="009A1C8E">
        <w:instrText xml:space="preserve"> ADDIN EN.CITE &lt;EndNote&gt;&lt;Cite&gt;&lt;Author&gt;Productivity Commission&lt;/Author&gt;&lt;Year&gt;2011&lt;/Year&gt;&lt;RecNum&gt;251&lt;/RecNum&gt;&lt;DisplayText&gt;(1, 9)&lt;/DisplayText&gt;&lt;record&gt;&lt;rec-number&gt;251&lt;/rec-number&gt;&lt;foreign-keys&gt;&lt;key app="EN" db-id="dtafe02tlezsd7ef59c5s9fdse5ze52xw2ta" timestamp="1554296572"&gt;251&lt;/key&gt;&lt;/foreign-keys&gt;&lt;ref-type name="Report"&gt;27&lt;/ref-type&gt;&lt;contributors&gt;&lt;authors&gt;&lt;author&gt;Productivity Commission,&lt;/author&gt;&lt;/authors&gt;&lt;/contributors&gt;&lt;titles&gt;&lt;title&gt;Disability Care and Support&lt;/title&gt;&lt;/titles&gt;&lt;number&gt;Report no. 54&lt;/number&gt;&lt;dates&gt;&lt;year&gt;2011&lt;/year&gt;&lt;/dates&gt;&lt;pub-location&gt;Canberra&lt;/pub-location&gt;&lt;urls&gt;&lt;/urls&gt;&lt;/record&gt;&lt;/Cite&gt;&lt;Cite&gt;&lt;Author&gt;Carey&lt;/Author&gt;&lt;Year&gt;2018&lt;/Year&gt;&lt;RecNum&gt;258&lt;/RecNum&gt;&lt;record&gt;&lt;rec-number&gt;258&lt;/rec-number&gt;&lt;foreign-keys&gt;&lt;key app="EN" db-id="dtafe02tlezsd7ef59c5s9fdse5ze52xw2ta" timestamp="1554302032"&gt;258&lt;/key&gt;&lt;/foreign-keys&gt;&lt;ref-type name="Report"&gt;27&lt;/ref-type&gt;&lt;contributors&gt;&lt;authors&gt;&lt;author&gt;Carey, Gemma&lt;/author&gt;&lt;author&gt;Malbon, Eleanor&lt;/author&gt;&lt;author&gt;Marjolin, Axelle&lt;/author&gt;&lt;author&gt;Reeders, Daniel&lt;/author&gt;&lt;/authors&gt;&lt;/contributors&gt;&lt;titles&gt;&lt;title&gt;National Disability Markets: Market stewardship actions for the NDIS&lt;/title&gt;&lt;/titles&gt;&lt;dates&gt;&lt;year&gt;2018&lt;/year&gt;&lt;/dates&gt;&lt;publisher&gt;Centre for Social Impact&lt;/publisher&gt;&lt;urls&gt;&lt;/urls&gt;&lt;/record&gt;&lt;/Cite&gt;&lt;/EndNote&gt;</w:instrText>
      </w:r>
      <w:r w:rsidR="002D37DC" w:rsidRPr="009A1C8E">
        <w:fldChar w:fldCharType="separate"/>
      </w:r>
      <w:r w:rsidR="005D588A" w:rsidRPr="009A1C8E">
        <w:rPr>
          <w:noProof/>
        </w:rPr>
        <w:t>(1, 9)</w:t>
      </w:r>
      <w:r w:rsidR="002D37DC" w:rsidRPr="009A1C8E">
        <w:fldChar w:fldCharType="end"/>
      </w:r>
      <w:r w:rsidR="00267ADD" w:rsidRPr="009A1C8E">
        <w:t>.</w:t>
      </w:r>
      <w:r w:rsidRPr="009A1C8E">
        <w:t xml:space="preserve"> </w:t>
      </w:r>
      <w:r w:rsidR="0001662D" w:rsidRPr="009A1C8E">
        <w:t>While</w:t>
      </w:r>
      <w:r w:rsidR="0000103A" w:rsidRPr="009A1C8E">
        <w:t xml:space="preserve"> the Productivity Commission </w:t>
      </w:r>
      <w:r w:rsidR="002D37DC" w:rsidRPr="009A1C8E">
        <w:fldChar w:fldCharType="begin"/>
      </w:r>
      <w:r w:rsidR="005E3DB1" w:rsidRPr="009A1C8E">
        <w:instrText xml:space="preserve"> ADDIN EN.CITE &lt;EndNote&gt;&lt;Cite&gt;&lt;Author&gt;Productivity Commission&lt;/Author&gt;&lt;Year&gt;2017&lt;/Year&gt;&lt;RecNum&gt;254&lt;/RecNum&gt;&lt;DisplayText&gt;(4)&lt;/DisplayText&gt;&lt;record&gt;&lt;rec-number&gt;254&lt;/rec-number&gt;&lt;foreign-keys&gt;&lt;key app="EN" db-id="dtafe02tlezsd7ef59c5s9fdse5ze52xw2ta" timestamp="1554298100"&gt;254&lt;/key&gt;&lt;/foreign-keys&gt;&lt;ref-type name="Report"&gt;27&lt;/ref-type&gt;&lt;contributors&gt;&lt;authors&gt;&lt;author&gt;Productivity Commission,&lt;/author&gt;&lt;/authors&gt;&lt;/contributors&gt;&lt;titles&gt;&lt;title&gt;National Disability Insurance Scheme (NDIS) Costs&lt;/title&gt;&lt;secondary-title&gt;Study report&lt;/secondary-title&gt;&lt;/titles&gt;&lt;dates&gt;&lt;year&gt;2017&lt;/year&gt;&lt;/dates&gt;&lt;publisher&gt;Canberra&lt;/publisher&gt;&lt;urls&gt;&lt;/urls&gt;&lt;/record&gt;&lt;/Cite&gt;&lt;/EndNote&gt;</w:instrText>
      </w:r>
      <w:r w:rsidR="002D37DC" w:rsidRPr="009A1C8E">
        <w:fldChar w:fldCharType="separate"/>
      </w:r>
      <w:r w:rsidR="005E3DB1" w:rsidRPr="009A1C8E">
        <w:rPr>
          <w:noProof/>
        </w:rPr>
        <w:t>(4)</w:t>
      </w:r>
      <w:r w:rsidR="002D37DC" w:rsidRPr="009A1C8E">
        <w:fldChar w:fldCharType="end"/>
      </w:r>
      <w:r w:rsidR="0000103A" w:rsidRPr="009A1C8E">
        <w:t xml:space="preserve"> urgently recommended the NDIA consider tailored approache</w:t>
      </w:r>
      <w:r w:rsidR="0083429F" w:rsidRPr="009A1C8E">
        <w:t>s</w:t>
      </w:r>
      <w:r w:rsidR="0000103A" w:rsidRPr="009A1C8E">
        <w:t xml:space="preserve"> to address thin markets,</w:t>
      </w:r>
      <w:r w:rsidR="0001662D" w:rsidRPr="009A1C8E">
        <w:t xml:space="preserve"> the role of the </w:t>
      </w:r>
      <w:r w:rsidR="00F82979" w:rsidRPr="009A1C8E">
        <w:t>A</w:t>
      </w:r>
      <w:r w:rsidR="0001662D" w:rsidRPr="009A1C8E">
        <w:t xml:space="preserve">gency was only </w:t>
      </w:r>
      <w:r w:rsidR="0083429F" w:rsidRPr="009A1C8E">
        <w:t xml:space="preserve">recently </w:t>
      </w:r>
      <w:r w:rsidR="0001662D" w:rsidRPr="009A1C8E">
        <w:t>clarified in October 2018 with release of the Market Enablement Framework</w:t>
      </w:r>
      <w:r w:rsidR="00D606DF" w:rsidRPr="009A1C8E">
        <w:t xml:space="preserve"> (MEF) </w:t>
      </w:r>
      <w:r w:rsidR="002D37DC" w:rsidRPr="009A1C8E">
        <w:fldChar w:fldCharType="begin"/>
      </w:r>
      <w:r w:rsidR="005D588A" w:rsidRPr="009A1C8E">
        <w:instrText xml:space="preserve"> ADDIN EN.CITE &lt;EndNote&gt;&lt;Cite&gt;&lt;Author&gt;National Disability Insurance Agency&lt;/Author&gt;&lt;Year&gt;2018&lt;/Year&gt;&lt;RecNum&gt;259&lt;/RecNum&gt;&lt;DisplayText&gt;(10)&lt;/DisplayText&gt;&lt;record&gt;&lt;rec-number&gt;259&lt;/rec-number&gt;&lt;foreign-keys&gt;&lt;key app="EN" db-id="dtafe02tlezsd7ef59c5s9fdse5ze52xw2ta" timestamp="1554302510"&gt;259&lt;/key&gt;&lt;/foreign-keys&gt;&lt;ref-type name="Report"&gt;27&lt;/ref-type&gt;&lt;contributors&gt;&lt;authors&gt;&lt;author&gt;National Disability Insurance Agency,&lt;/author&gt;&lt;/authors&gt;&lt;/contributors&gt;&lt;titles&gt;&lt;title&gt;National Disability Insurance Scheme Market Enablement Framework&lt;/title&gt;&lt;/titles&gt;&lt;dates&gt;&lt;year&gt;2018&lt;/year&gt;&lt;/dates&gt;&lt;urls&gt;&lt;/urls&gt;&lt;/record&gt;&lt;/Cite&gt;&lt;/EndNote&gt;</w:instrText>
      </w:r>
      <w:r w:rsidR="002D37DC" w:rsidRPr="009A1C8E">
        <w:fldChar w:fldCharType="separate"/>
      </w:r>
      <w:r w:rsidR="005D588A" w:rsidRPr="009A1C8E">
        <w:rPr>
          <w:noProof/>
        </w:rPr>
        <w:t>(10)</w:t>
      </w:r>
      <w:r w:rsidR="002D37DC" w:rsidRPr="009A1C8E">
        <w:fldChar w:fldCharType="end"/>
      </w:r>
      <w:r w:rsidR="0001662D" w:rsidRPr="009A1C8E">
        <w:t xml:space="preserve">. </w:t>
      </w:r>
      <w:r w:rsidR="00DD5875" w:rsidRPr="009A1C8E">
        <w:t>T</w:t>
      </w:r>
      <w:r w:rsidR="008F1449" w:rsidRPr="009A1C8E">
        <w:t xml:space="preserve">he </w:t>
      </w:r>
      <w:r w:rsidR="003B592E" w:rsidRPr="009A1C8E">
        <w:t>MEF</w:t>
      </w:r>
      <w:r w:rsidR="0001662D" w:rsidRPr="009A1C8E">
        <w:t xml:space="preserve"> offer</w:t>
      </w:r>
      <w:r w:rsidR="00DD5875" w:rsidRPr="009A1C8E">
        <w:t>s</w:t>
      </w:r>
      <w:r w:rsidR="0001662D" w:rsidRPr="009A1C8E">
        <w:t xml:space="preserve"> some insight</w:t>
      </w:r>
      <w:r w:rsidR="00D12573" w:rsidRPr="009A1C8E">
        <w:t>s</w:t>
      </w:r>
      <w:r w:rsidR="0001662D" w:rsidRPr="009A1C8E">
        <w:t xml:space="preserve"> into the NDIA’s approaches in monitoring </w:t>
      </w:r>
      <w:r w:rsidR="00D606DF" w:rsidRPr="009A1C8E">
        <w:t>and</w:t>
      </w:r>
      <w:r w:rsidR="0001662D" w:rsidRPr="009A1C8E">
        <w:t xml:space="preserve"> enabling the market, </w:t>
      </w:r>
      <w:r w:rsidR="00DD5875" w:rsidRPr="009A1C8E">
        <w:t xml:space="preserve">however </w:t>
      </w:r>
      <w:r w:rsidR="00CB304A" w:rsidRPr="009A1C8E">
        <w:t xml:space="preserve">there </w:t>
      </w:r>
      <w:r w:rsidR="0083429F" w:rsidRPr="009A1C8E">
        <w:t xml:space="preserve">is </w:t>
      </w:r>
      <w:r w:rsidR="00CB304A" w:rsidRPr="009A1C8E">
        <w:t xml:space="preserve">still no clear way to detect thin markets </w:t>
      </w:r>
      <w:r w:rsidR="002D37DC" w:rsidRPr="009A1C8E">
        <w:fldChar w:fldCharType="begin"/>
      </w:r>
      <w:r w:rsidR="002C7BB7" w:rsidRPr="009A1C8E">
        <w:instrText xml:space="preserve"> ADDIN EN.CITE &lt;EndNote&gt;&lt;Cite&gt;&lt;Author&gt;Carey&lt;/Author&gt;&lt;Year&gt;2017&lt;/Year&gt;&lt;RecNum&gt;253&lt;/RecNum&gt;&lt;DisplayText&gt;(3)&lt;/DisplayText&gt;&lt;record&gt;&lt;rec-number&gt;253&lt;/rec-number&gt;&lt;foreign-keys&gt;&lt;key app="EN" db-id="dtafe02tlezsd7ef59c5s9fdse5ze52xw2ta" timestamp="1554298000"&gt;253&lt;/key&gt;&lt;/foreign-keys&gt;&lt;ref-type name="Unpublished Work"&gt;34&lt;/ref-type&gt;&lt;contributors&gt;&lt;authors&gt;&lt;author&gt;Carey, Gemma&lt;/author&gt;&lt;author&gt;Dickinson, Helen&lt;/author&gt;&lt;author&gt;Gilchrist, David&lt;/author&gt;&lt;author&gt;Alexander, Damon&lt;/author&gt;&lt;author&gt;Kavanagh, Anne&lt;/author&gt;&lt;author&gt;Chand, Satish&lt;/author&gt;&lt;/authors&gt;&lt;/contributors&gt;&lt;titles&gt;&lt;title&gt;Proposal: Stewarding thin markets: improving public sector market effectiveness&lt;/title&gt;&lt;/titles&gt;&lt;dates&gt;&lt;year&gt;2017&lt;/year&gt;&lt;/dates&gt;&lt;publisher&gt;The University of New South Wales&lt;/publisher&gt;&lt;urls&gt;&lt;/urls&gt;&lt;/record&gt;&lt;/Cite&gt;&lt;/EndNote&gt;</w:instrText>
      </w:r>
      <w:r w:rsidR="002D37DC" w:rsidRPr="009A1C8E">
        <w:fldChar w:fldCharType="separate"/>
      </w:r>
      <w:r w:rsidR="002C7BB7" w:rsidRPr="009A1C8E">
        <w:rPr>
          <w:noProof/>
        </w:rPr>
        <w:t>(3)</w:t>
      </w:r>
      <w:r w:rsidR="002D37DC" w:rsidRPr="009A1C8E">
        <w:fldChar w:fldCharType="end"/>
      </w:r>
      <w:r w:rsidR="004A3DB6" w:rsidRPr="009A1C8E">
        <w:t>.</w:t>
      </w:r>
      <w:r w:rsidR="00B07EF5" w:rsidRPr="009A1C8E">
        <w:t xml:space="preserve"> </w:t>
      </w:r>
      <w:r w:rsidR="008F1449" w:rsidRPr="009A1C8E">
        <w:t xml:space="preserve">Furthermore, </w:t>
      </w:r>
      <w:r w:rsidR="0083429F" w:rsidRPr="009A1C8E">
        <w:t xml:space="preserve">the MEF </w:t>
      </w:r>
      <w:r w:rsidR="008F1449" w:rsidRPr="009A1C8E">
        <w:t xml:space="preserve">does not </w:t>
      </w:r>
      <w:r w:rsidR="00E87BF4" w:rsidRPr="009A1C8E">
        <w:t xml:space="preserve">mention </w:t>
      </w:r>
      <w:r w:rsidR="00B01A1B" w:rsidRPr="009A1C8E">
        <w:t>provider of last resort arrangement</w:t>
      </w:r>
      <w:r w:rsidR="00DF0192" w:rsidRPr="009A1C8E">
        <w:t>s</w:t>
      </w:r>
      <w:r w:rsidR="00B40764" w:rsidRPr="009A1C8E">
        <w:t xml:space="preserve"> </w:t>
      </w:r>
      <w:r w:rsidR="002D37DC" w:rsidRPr="009A1C8E">
        <w:fldChar w:fldCharType="begin"/>
      </w:r>
      <w:r w:rsidR="005D588A" w:rsidRPr="009A1C8E">
        <w:instrText xml:space="preserve"> ADDIN EN.CITE &lt;EndNote&gt;&lt;Cite&gt;&lt;Author&gt;National Disability Insurance Agency&lt;/Author&gt;&lt;Year&gt;2018&lt;/Year&gt;&lt;RecNum&gt;259&lt;/RecNum&gt;&lt;DisplayText&gt;(10)&lt;/DisplayText&gt;&lt;record&gt;&lt;rec-number&gt;259&lt;/rec-number&gt;&lt;foreign-keys&gt;&lt;key app="EN" db-id="dtafe02tlezsd7ef59c5s9fdse5ze52xw2ta" timestamp="1554302510"&gt;259&lt;/key&gt;&lt;/foreign-keys&gt;&lt;ref-type name="Report"&gt;27&lt;/ref-type&gt;&lt;contributors&gt;&lt;authors&gt;&lt;author&gt;National Disability Insurance Agency,&lt;/author&gt;&lt;/authors&gt;&lt;/contributors&gt;&lt;titles&gt;&lt;title&gt;National Disability Insurance Scheme Market Enablement Framework&lt;/title&gt;&lt;/titles&gt;&lt;dates&gt;&lt;year&gt;2018&lt;/year&gt;&lt;/dates&gt;&lt;urls&gt;&lt;/urls&gt;&lt;/record&gt;&lt;/Cite&gt;&lt;/EndNote&gt;</w:instrText>
      </w:r>
      <w:r w:rsidR="002D37DC" w:rsidRPr="009A1C8E">
        <w:fldChar w:fldCharType="separate"/>
      </w:r>
      <w:r w:rsidR="005D588A" w:rsidRPr="009A1C8E">
        <w:rPr>
          <w:noProof/>
        </w:rPr>
        <w:t>(10)</w:t>
      </w:r>
      <w:r w:rsidR="002D37DC" w:rsidRPr="009A1C8E">
        <w:fldChar w:fldCharType="end"/>
      </w:r>
      <w:r w:rsidR="00DF0192" w:rsidRPr="009A1C8E">
        <w:t xml:space="preserve">, which </w:t>
      </w:r>
      <w:r w:rsidR="008152A8" w:rsidRPr="009A1C8E">
        <w:t>the Productivity Commission</w:t>
      </w:r>
      <w:r w:rsidR="00195F29" w:rsidRPr="009A1C8E">
        <w:t xml:space="preserve"> called </w:t>
      </w:r>
      <w:r w:rsidR="0083429F" w:rsidRPr="009A1C8E">
        <w:t>up</w:t>
      </w:r>
      <w:r w:rsidR="00195F29" w:rsidRPr="009A1C8E">
        <w:t>on the NDIA to release</w:t>
      </w:r>
      <w:r w:rsidR="008152A8" w:rsidRPr="009A1C8E">
        <w:t xml:space="preserve"> in late 2017</w:t>
      </w:r>
      <w:r w:rsidR="0071320B" w:rsidRPr="009A1C8E">
        <w:t xml:space="preserve"> </w:t>
      </w:r>
      <w:r w:rsidR="002D37DC" w:rsidRPr="009A1C8E">
        <w:fldChar w:fldCharType="begin"/>
      </w:r>
      <w:r w:rsidR="00410BE5" w:rsidRPr="009A1C8E">
        <w:instrText xml:space="preserve"> ADDIN EN.CITE &lt;EndNote&gt;&lt;Cite&gt;&lt;Author&gt;Productivity Commission&lt;/Author&gt;&lt;Year&gt;2017&lt;/Year&gt;&lt;RecNum&gt;254&lt;/RecNum&gt;&lt;DisplayText&gt;(4)&lt;/DisplayText&gt;&lt;record&gt;&lt;rec-number&gt;254&lt;/rec-number&gt;&lt;foreign-keys&gt;&lt;key app="EN" db-id="dtafe02tlezsd7ef59c5s9fdse5ze52xw2ta" timestamp="1554298100"&gt;254&lt;/key&gt;&lt;/foreign-keys&gt;&lt;ref-type name="Report"&gt;27&lt;/ref-type&gt;&lt;contributors&gt;&lt;authors&gt;&lt;author&gt;Productivity Commission,&lt;/author&gt;&lt;/authors&gt;&lt;/contributors&gt;&lt;titles&gt;&lt;title&gt;National Disability Insurance Scheme (NDIS) Costs&lt;/title&gt;&lt;secondary-title&gt;Study report&lt;/secondary-title&gt;&lt;/titles&gt;&lt;dates&gt;&lt;year&gt;2017&lt;/year&gt;&lt;/dates&gt;&lt;publisher&gt;Canberra&lt;/publisher&gt;&lt;urls&gt;&lt;/urls&gt;&lt;/record&gt;&lt;/Cite&gt;&lt;/EndNote&gt;</w:instrText>
      </w:r>
      <w:r w:rsidR="002D37DC" w:rsidRPr="009A1C8E">
        <w:fldChar w:fldCharType="separate"/>
      </w:r>
      <w:r w:rsidR="00410BE5" w:rsidRPr="009A1C8E">
        <w:rPr>
          <w:noProof/>
        </w:rPr>
        <w:t>(4)</w:t>
      </w:r>
      <w:r w:rsidR="002D37DC" w:rsidRPr="009A1C8E">
        <w:fldChar w:fldCharType="end"/>
      </w:r>
      <w:r w:rsidR="008152A8" w:rsidRPr="009A1C8E">
        <w:t>.</w:t>
      </w:r>
    </w:p>
    <w:p w:rsidR="001D572D" w:rsidRPr="009A1C8E" w:rsidRDefault="001C05AD" w:rsidP="00A14F68">
      <w:pPr>
        <w:spacing w:before="120" w:after="120" w:line="276" w:lineRule="auto"/>
      </w:pPr>
      <w:r w:rsidRPr="009A1C8E">
        <w:t>Government</w:t>
      </w:r>
      <w:r w:rsidR="007955E7" w:rsidRPr="009A1C8E">
        <w:t>s are</w:t>
      </w:r>
      <w:r w:rsidRPr="009A1C8E">
        <w:t xml:space="preserve"> responsible for the welfare of </w:t>
      </w:r>
      <w:r w:rsidR="007955E7" w:rsidRPr="009A1C8E">
        <w:t xml:space="preserve">their </w:t>
      </w:r>
      <w:r w:rsidRPr="009A1C8E">
        <w:t xml:space="preserve">citizens </w:t>
      </w:r>
      <w:r w:rsidR="002D37DC" w:rsidRPr="009A1C8E">
        <w:fldChar w:fldCharType="begin"/>
      </w:r>
      <w:r w:rsidR="00984FE3" w:rsidRPr="009A1C8E">
        <w:instrText xml:space="preserve"> ADDIN EN.CITE &lt;EndNote&gt;&lt;Cite&gt;&lt;Author&gt;Carey&lt;/Author&gt;&lt;Year&gt;2017&lt;/Year&gt;&lt;RecNum&gt;253&lt;/RecNum&gt;&lt;DisplayText&gt;(3)&lt;/DisplayText&gt;&lt;record&gt;&lt;rec-number&gt;253&lt;/rec-number&gt;&lt;foreign-keys&gt;&lt;key app="EN" db-id="dtafe02tlezsd7ef59c5s9fdse5ze52xw2ta" timestamp="1554298000"&gt;253&lt;/key&gt;&lt;/foreign-keys&gt;&lt;ref-type name="Unpublished Work"&gt;34&lt;/ref-type&gt;&lt;contributors&gt;&lt;authors&gt;&lt;author&gt;Carey, Gemma&lt;/author&gt;&lt;author&gt;Dickinson, Helen&lt;/author&gt;&lt;author&gt;Gilchrist, David&lt;/author&gt;&lt;author&gt;Alexander, Damon&lt;/author&gt;&lt;author&gt;Kavanagh, Anne&lt;/author&gt;&lt;author&gt;Chand, Satish&lt;/author&gt;&lt;/authors&gt;&lt;/contributors&gt;&lt;titles&gt;&lt;title&gt;Proposal: Stewarding thin markets: improving public sector market effectiveness&lt;/title&gt;&lt;/titles&gt;&lt;dates&gt;&lt;year&gt;2017&lt;/year&gt;&lt;/dates&gt;&lt;publisher&gt;The University of New South Wales&lt;/publisher&gt;&lt;urls&gt;&lt;/urls&gt;&lt;/record&gt;&lt;/Cite&gt;&lt;/EndNote&gt;</w:instrText>
      </w:r>
      <w:r w:rsidR="002D37DC" w:rsidRPr="009A1C8E">
        <w:fldChar w:fldCharType="separate"/>
      </w:r>
      <w:r w:rsidR="00984FE3" w:rsidRPr="009A1C8E">
        <w:rPr>
          <w:noProof/>
        </w:rPr>
        <w:t>(3)</w:t>
      </w:r>
      <w:r w:rsidR="002D37DC" w:rsidRPr="009A1C8E">
        <w:fldChar w:fldCharType="end"/>
      </w:r>
      <w:r w:rsidR="007955E7" w:rsidRPr="009A1C8E">
        <w:t xml:space="preserve">, therefore </w:t>
      </w:r>
      <w:r w:rsidR="00590035" w:rsidRPr="009A1C8E">
        <w:t>stewardship function</w:t>
      </w:r>
      <w:r w:rsidR="007955E7" w:rsidRPr="009A1C8E">
        <w:t>s</w:t>
      </w:r>
      <w:r w:rsidR="00590035" w:rsidRPr="009A1C8E">
        <w:t xml:space="preserve"> </w:t>
      </w:r>
      <w:r w:rsidR="00AD2A2C" w:rsidRPr="009A1C8E">
        <w:t xml:space="preserve">need to be </w:t>
      </w:r>
      <w:r w:rsidR="00C24E24" w:rsidRPr="009A1C8E">
        <w:t xml:space="preserve">clearly </w:t>
      </w:r>
      <w:r w:rsidR="00AD2A2C" w:rsidRPr="009A1C8E">
        <w:t xml:space="preserve">established to </w:t>
      </w:r>
      <w:r w:rsidR="00EF67D6" w:rsidRPr="009A1C8E">
        <w:t>respond to early warning signals,</w:t>
      </w:r>
      <w:r w:rsidR="00CD6CBE" w:rsidRPr="009A1C8E">
        <w:t xml:space="preserve"> minimise the risk of thin markets and facilitate the creation and development of the NDIS marketplace. </w:t>
      </w:r>
      <w:r w:rsidR="007955E7" w:rsidRPr="009A1C8E">
        <w:t xml:space="preserve">Such stewardship functions must </w:t>
      </w:r>
      <w:r w:rsidRPr="009A1C8E">
        <w:t>go beyond ensu</w:t>
      </w:r>
      <w:r w:rsidR="007955E7" w:rsidRPr="009A1C8E">
        <w:t>r</w:t>
      </w:r>
      <w:r w:rsidRPr="009A1C8E">
        <w:t xml:space="preserve">ing minimum market protections and consider </w:t>
      </w:r>
      <w:r w:rsidR="00BD7C3C" w:rsidRPr="009A1C8E">
        <w:t xml:space="preserve">public value and </w:t>
      </w:r>
      <w:r w:rsidR="00090481" w:rsidRPr="009A1C8E">
        <w:t xml:space="preserve">longer term </w:t>
      </w:r>
      <w:r w:rsidRPr="009A1C8E">
        <w:t xml:space="preserve">outcomes </w:t>
      </w:r>
      <w:r w:rsidR="002D37DC" w:rsidRPr="009A1C8E">
        <w:fldChar w:fldCharType="begin"/>
      </w:r>
      <w:r w:rsidR="005D588A" w:rsidRPr="009A1C8E">
        <w:instrText xml:space="preserve"> ADDIN EN.CITE &lt;EndNote&gt;&lt;Cite&gt;&lt;Author&gt;Gash&lt;/Author&gt;&lt;Year&gt;2014&lt;/Year&gt;&lt;RecNum&gt;260&lt;/RecNum&gt;&lt;DisplayText&gt;(11)&lt;/DisplayText&gt;&lt;record&gt;&lt;rec-number&gt;260&lt;/rec-number&gt;&lt;foreign-keys&gt;&lt;key app="EN" db-id="dtafe02tlezsd7ef59c5s9fdse5ze52xw2ta" timestamp="1554303681"&gt;260&lt;/key&gt;&lt;/foreign-keys&gt;&lt;ref-type name="Report"&gt;27&lt;/ref-type&gt;&lt;contributors&gt;&lt;authors&gt;&lt;author&gt;Gash, T&lt;/author&gt;&lt;author&gt;Panchamia, N&lt;/author&gt;&lt;author&gt;Sims, S&lt;/author&gt;&lt;author&gt;Hotson, L&lt;/author&gt;&lt;/authors&gt;&lt;/contributors&gt;&lt;titles&gt;&lt;title&gt;Making public service markets work: Professionalising government’s approach to commissioning and market stewardship&lt;/title&gt;&lt;/titles&gt;&lt;dates&gt;&lt;year&gt;2014&lt;/year&gt;&lt;/dates&gt;&lt;pub-location&gt;UK&lt;/pub-location&gt;&lt;publisher&gt;Institute for Government&lt;/publisher&gt;&lt;urls&gt;&lt;/urls&gt;&lt;/record&gt;&lt;/Cite&gt;&lt;/EndNote&gt;</w:instrText>
      </w:r>
      <w:r w:rsidR="002D37DC" w:rsidRPr="009A1C8E">
        <w:fldChar w:fldCharType="separate"/>
      </w:r>
      <w:r w:rsidR="005D588A" w:rsidRPr="009A1C8E">
        <w:rPr>
          <w:noProof/>
        </w:rPr>
        <w:t>(11)</w:t>
      </w:r>
      <w:r w:rsidR="002D37DC" w:rsidRPr="009A1C8E">
        <w:fldChar w:fldCharType="end"/>
      </w:r>
      <w:r w:rsidRPr="009A1C8E">
        <w:t>.</w:t>
      </w:r>
    </w:p>
    <w:p w:rsidR="00193672" w:rsidRPr="009A1C8E" w:rsidRDefault="00193672" w:rsidP="00830706">
      <w:pPr>
        <w:pStyle w:val="Heading2"/>
      </w:pPr>
      <w:bookmarkStart w:id="32" w:name="_Toc7614940"/>
      <w:r w:rsidRPr="009A1C8E">
        <w:t xml:space="preserve">1.4 </w:t>
      </w:r>
      <w:r w:rsidR="005F20CC" w:rsidRPr="009A1C8E">
        <w:t>Report</w:t>
      </w:r>
      <w:r w:rsidRPr="009A1C8E">
        <w:t xml:space="preserve"> purpose</w:t>
      </w:r>
      <w:r w:rsidR="000A513F" w:rsidRPr="009A1C8E">
        <w:t xml:space="preserve"> and structure</w:t>
      </w:r>
      <w:bookmarkEnd w:id="32"/>
    </w:p>
    <w:p w:rsidR="000D0B7E" w:rsidRPr="009A1C8E" w:rsidRDefault="00030747" w:rsidP="00A14F68">
      <w:pPr>
        <w:spacing w:before="120" w:after="120" w:line="276" w:lineRule="auto"/>
      </w:pPr>
      <w:r w:rsidRPr="009A1C8E">
        <w:t xml:space="preserve">NDS is funded by the Victorian Government’s </w:t>
      </w:r>
      <w:r w:rsidR="00667C3E" w:rsidRPr="009A1C8E">
        <w:t xml:space="preserve">TSP “to support the readiness and transition of service providers and workforce to the NDIS”. </w:t>
      </w:r>
      <w:r w:rsidR="00C60E1B" w:rsidRPr="009A1C8E">
        <w:t xml:space="preserve">Since May 2016, NDS has </w:t>
      </w:r>
      <w:r w:rsidR="00C60E1B" w:rsidRPr="009A1C8E">
        <w:lastRenderedPageBreak/>
        <w:t xml:space="preserve">been delivering </w:t>
      </w:r>
      <w:r w:rsidR="00E37E0A" w:rsidRPr="009A1C8E">
        <w:t>its</w:t>
      </w:r>
      <w:r w:rsidR="00C60E1B" w:rsidRPr="009A1C8E">
        <w:t xml:space="preserve"> NDIS Sector Development Project (SDP) </w:t>
      </w:r>
      <w:r w:rsidR="00E37E0A" w:rsidRPr="009A1C8E">
        <w:t xml:space="preserve">of which </w:t>
      </w:r>
      <w:r w:rsidR="000D0B7E" w:rsidRPr="009A1C8E">
        <w:t>this report is a key deliverable.</w:t>
      </w:r>
    </w:p>
    <w:p w:rsidR="005E5CB4" w:rsidRPr="009A1C8E" w:rsidRDefault="00FA2814" w:rsidP="00A14F68">
      <w:pPr>
        <w:spacing w:before="120" w:after="120" w:line="276" w:lineRule="auto"/>
      </w:pPr>
      <w:r w:rsidRPr="009A1C8E">
        <w:t xml:space="preserve">This market dynamics study </w:t>
      </w:r>
      <w:r w:rsidR="00057B22" w:rsidRPr="009A1C8E">
        <w:t>aims to</w:t>
      </w:r>
      <w:r w:rsidR="005E5CB4" w:rsidRPr="009A1C8E">
        <w:t xml:space="preserve"> clarify:</w:t>
      </w:r>
    </w:p>
    <w:p w:rsidR="005E5CB4" w:rsidRPr="009A1C8E" w:rsidRDefault="005C1F33" w:rsidP="00A14F68">
      <w:pPr>
        <w:pStyle w:val="ListParagraph"/>
        <w:numPr>
          <w:ilvl w:val="0"/>
          <w:numId w:val="27"/>
        </w:numPr>
        <w:spacing w:before="120" w:after="120" w:line="276" w:lineRule="auto"/>
      </w:pPr>
      <w:r w:rsidRPr="009A1C8E">
        <w:t>T</w:t>
      </w:r>
      <w:r w:rsidR="005E5CB4" w:rsidRPr="009A1C8E">
        <w:t xml:space="preserve">he factors </w:t>
      </w:r>
      <w:r w:rsidR="00980F1E" w:rsidRPr="009A1C8E">
        <w:t>that</w:t>
      </w:r>
      <w:r w:rsidR="005E5CB4" w:rsidRPr="009A1C8E">
        <w:t xml:space="preserve"> influence:</w:t>
      </w:r>
    </w:p>
    <w:p w:rsidR="005E5CB4" w:rsidRPr="009A1C8E" w:rsidRDefault="005E5CB4" w:rsidP="00A14F68">
      <w:pPr>
        <w:pStyle w:val="ListParagraph"/>
        <w:numPr>
          <w:ilvl w:val="1"/>
          <w:numId w:val="27"/>
        </w:numPr>
        <w:spacing w:before="120" w:after="120" w:line="276" w:lineRule="auto"/>
      </w:pPr>
      <w:r w:rsidRPr="009A1C8E">
        <w:t>the sustainability of disability service providers under the NDIS</w:t>
      </w:r>
      <w:r w:rsidR="00DB2938" w:rsidRPr="009A1C8E">
        <w:t>;</w:t>
      </w:r>
      <w:r w:rsidR="007C35B5" w:rsidRPr="009A1C8E">
        <w:t xml:space="preserve"> and</w:t>
      </w:r>
    </w:p>
    <w:p w:rsidR="005E5CB4" w:rsidRPr="009A1C8E" w:rsidRDefault="005E5CB4" w:rsidP="00A14F68">
      <w:pPr>
        <w:pStyle w:val="ListParagraph"/>
        <w:numPr>
          <w:ilvl w:val="1"/>
          <w:numId w:val="27"/>
        </w:numPr>
        <w:spacing w:before="120" w:after="120" w:line="276" w:lineRule="auto"/>
      </w:pPr>
      <w:proofErr w:type="gramStart"/>
      <w:r w:rsidRPr="009A1C8E">
        <w:t>the</w:t>
      </w:r>
      <w:proofErr w:type="gramEnd"/>
      <w:r w:rsidRPr="009A1C8E">
        <w:t xml:space="preserve"> development of a diverse NDIS marketplace that provides true choice for people with disability right across Victoria</w:t>
      </w:r>
      <w:r w:rsidR="005C1F33" w:rsidRPr="009A1C8E">
        <w:t>.</w:t>
      </w:r>
    </w:p>
    <w:p w:rsidR="00E37E0A" w:rsidRPr="009A1C8E" w:rsidRDefault="005C1F33" w:rsidP="00A14F68">
      <w:pPr>
        <w:pStyle w:val="ListParagraph"/>
        <w:numPr>
          <w:ilvl w:val="0"/>
          <w:numId w:val="27"/>
        </w:numPr>
        <w:spacing w:before="120" w:after="120" w:line="276" w:lineRule="auto"/>
      </w:pPr>
      <w:r w:rsidRPr="009A1C8E">
        <w:t>T</w:t>
      </w:r>
      <w:r w:rsidR="005E5CB4" w:rsidRPr="009A1C8E">
        <w:t xml:space="preserve">he need for and nature of further sector development support </w:t>
      </w:r>
      <w:r w:rsidR="00393431" w:rsidRPr="009A1C8E">
        <w:t xml:space="preserve">required by Victorian disability service providers in the 2-3 years post NDIS transition to </w:t>
      </w:r>
      <w:r w:rsidR="005E5CB4" w:rsidRPr="009A1C8E">
        <w:t>help build provider sustainability and a diverse NDIS market</w:t>
      </w:r>
      <w:r w:rsidR="004074AA" w:rsidRPr="009A1C8E">
        <w:t>.</w:t>
      </w:r>
    </w:p>
    <w:p w:rsidR="00E37E0A" w:rsidRPr="009A1C8E" w:rsidRDefault="00E37E0A" w:rsidP="00A14F68">
      <w:pPr>
        <w:spacing w:before="120" w:after="120" w:line="276" w:lineRule="auto"/>
      </w:pPr>
      <w:r w:rsidRPr="009A1C8E">
        <w:t xml:space="preserve">In doing so, this study also examines the </w:t>
      </w:r>
      <w:r w:rsidR="00AF5803" w:rsidRPr="009A1C8E">
        <w:t xml:space="preserve">need for </w:t>
      </w:r>
      <w:r w:rsidRPr="009A1C8E">
        <w:t xml:space="preserve">market stewardship in supporting </w:t>
      </w:r>
      <w:r w:rsidR="00AF5803" w:rsidRPr="009A1C8E">
        <w:t>a diverse NDIS market.</w:t>
      </w:r>
    </w:p>
    <w:p w:rsidR="008D6D7E" w:rsidRPr="009A1C8E" w:rsidRDefault="008D6D7E" w:rsidP="00A14F68">
      <w:pPr>
        <w:spacing w:before="120" w:after="120" w:line="276" w:lineRule="auto"/>
      </w:pPr>
      <w:r w:rsidRPr="009A1C8E">
        <w:t xml:space="preserve">This report directly addresses the two SDP evaluation questions </w:t>
      </w:r>
      <w:r w:rsidR="002D37DC" w:rsidRPr="009A1C8E">
        <w:fldChar w:fldCharType="begin"/>
      </w:r>
      <w:r w:rsidR="005D588A" w:rsidRPr="009A1C8E">
        <w:instrText xml:space="preserve"> ADDIN EN.CITE &lt;EndNote&gt;&lt;Cite&gt;&lt;Author&gt;Brown&lt;/Author&gt;&lt;Year&gt;2018&lt;/Year&gt;&lt;RecNum&gt;261&lt;/RecNum&gt;&lt;DisplayText&gt;(12)&lt;/DisplayText&gt;&lt;record&gt;&lt;rec-number&gt;261&lt;/rec-number&gt;&lt;foreign-keys&gt;&lt;key app="EN" db-id="dtafe02tlezsd7ef59c5s9fdse5ze52xw2ta" timestamp="1554303960"&gt;261&lt;/key&gt;&lt;/foreign-keys&gt;&lt;ref-type name="Report"&gt;27&lt;/ref-type&gt;&lt;contributors&gt;&lt;authors&gt;&lt;author&gt;Brown, M&lt;/author&gt;&lt;author&gt;Canobi, S&lt;/author&gt;&lt;author&gt;Mathys, Z&lt;/author&gt;&lt;author&gt;Randall, K &lt;/author&gt;&lt;/authors&gt;&lt;/contributors&gt;&lt;titles&gt;&lt;title&gt;Evaluation: NDIS Sector Development Project Phase 2, Report 2 of 3&lt;/title&gt;&lt;/titles&gt;&lt;dates&gt;&lt;year&gt;2018&lt;/year&gt;&lt;/dates&gt;&lt;pub-location&gt;Melbourne&lt;/pub-location&gt;&lt;publisher&gt;Dyson Consulting Group and National Disability Services&lt;/publisher&gt;&lt;urls&gt;&lt;/urls&gt;&lt;/record&gt;&lt;/Cite&gt;&lt;/EndNote&gt;</w:instrText>
      </w:r>
      <w:r w:rsidR="002D37DC" w:rsidRPr="009A1C8E">
        <w:fldChar w:fldCharType="separate"/>
      </w:r>
      <w:r w:rsidR="005D588A" w:rsidRPr="009A1C8E">
        <w:rPr>
          <w:noProof/>
        </w:rPr>
        <w:t>(12)</w:t>
      </w:r>
      <w:r w:rsidR="002D37DC" w:rsidRPr="009A1C8E">
        <w:fldChar w:fldCharType="end"/>
      </w:r>
      <w:r w:rsidR="00E57605" w:rsidRPr="009A1C8E">
        <w:t xml:space="preserve"> </w:t>
      </w:r>
      <w:r w:rsidRPr="009A1C8E">
        <w:t>relating to impact and sustainability:</w:t>
      </w:r>
    </w:p>
    <w:p w:rsidR="008D6D7E" w:rsidRPr="009A1C8E" w:rsidRDefault="008D6D7E" w:rsidP="00A14F68">
      <w:pPr>
        <w:pStyle w:val="ListParagraph"/>
        <w:numPr>
          <w:ilvl w:val="0"/>
          <w:numId w:val="26"/>
        </w:numPr>
        <w:spacing w:before="120" w:after="120" w:line="276" w:lineRule="auto"/>
      </w:pPr>
      <w:r w:rsidRPr="009A1C8E">
        <w:t>What are the challenges to provider susta</w:t>
      </w:r>
      <w:r w:rsidR="007C35B5" w:rsidRPr="009A1C8E">
        <w:t>inability post NDIS transition?</w:t>
      </w:r>
    </w:p>
    <w:p w:rsidR="0084392E" w:rsidRPr="009A1C8E" w:rsidRDefault="008D6D7E" w:rsidP="00A14F68">
      <w:pPr>
        <w:pStyle w:val="ListParagraph"/>
        <w:numPr>
          <w:ilvl w:val="0"/>
          <w:numId w:val="26"/>
        </w:numPr>
        <w:spacing w:before="120" w:after="120" w:line="276" w:lineRule="auto"/>
      </w:pPr>
      <w:r w:rsidRPr="009A1C8E">
        <w:t>What further support and information is required post NDIS transition, in order to help build provider sustainability and develop a diverse NDIS market?</w:t>
      </w:r>
    </w:p>
    <w:p w:rsidR="005F20CC" w:rsidRPr="009A1C8E" w:rsidRDefault="00D70395" w:rsidP="00A14F68">
      <w:pPr>
        <w:spacing w:before="120" w:after="120" w:line="276" w:lineRule="auto"/>
        <w:sectPr w:rsidR="005F20CC" w:rsidRPr="009A1C8E" w:rsidSect="00AC237C">
          <w:pgSz w:w="12240" w:h="15840"/>
          <w:pgMar w:top="1440" w:right="1440" w:bottom="1440" w:left="1440" w:header="720" w:footer="720" w:gutter="0"/>
          <w:cols w:space="720"/>
          <w:docGrid w:linePitch="360"/>
        </w:sectPr>
      </w:pPr>
      <w:r w:rsidRPr="009A1C8E">
        <w:t>Understanding the factors influencing thin markets i</w:t>
      </w:r>
      <w:r w:rsidR="002C4D1C" w:rsidRPr="009A1C8E">
        <w:t>s</w:t>
      </w:r>
      <w:r w:rsidRPr="009A1C8E">
        <w:t xml:space="preserve"> </w:t>
      </w:r>
      <w:r w:rsidR="00A96370" w:rsidRPr="009A1C8E">
        <w:t>of</w:t>
      </w:r>
      <w:r w:rsidRPr="009A1C8E">
        <w:t xml:space="preserve"> central concern to NDS</w:t>
      </w:r>
      <w:r w:rsidR="00AF5803" w:rsidRPr="009A1C8E">
        <w:t xml:space="preserve">, as a means to supporting </w:t>
      </w:r>
      <w:r w:rsidRPr="009A1C8E">
        <w:t>effective</w:t>
      </w:r>
      <w:r w:rsidR="00AF5803" w:rsidRPr="009A1C8E">
        <w:t xml:space="preserve"> development of an </w:t>
      </w:r>
      <w:r w:rsidRPr="009A1C8E">
        <w:t>equitabl</w:t>
      </w:r>
      <w:r w:rsidR="00AF5803" w:rsidRPr="009A1C8E">
        <w:t>e NDIS market</w:t>
      </w:r>
      <w:r w:rsidRPr="009A1C8E">
        <w:t>.</w:t>
      </w:r>
      <w:r w:rsidR="002B0B97" w:rsidRPr="009A1C8E">
        <w:t xml:space="preserve"> </w:t>
      </w:r>
      <w:r w:rsidR="005E6ECA" w:rsidRPr="009A1C8E">
        <w:t>Therefore,</w:t>
      </w:r>
      <w:r w:rsidR="002B0B97" w:rsidRPr="009A1C8E">
        <w:t xml:space="preserve"> this report</w:t>
      </w:r>
      <w:r w:rsidR="00A17F1C" w:rsidRPr="009A1C8E">
        <w:t xml:space="preserve"> focus</w:t>
      </w:r>
      <w:r w:rsidR="00AF5803" w:rsidRPr="009A1C8E">
        <w:t>es</w:t>
      </w:r>
      <w:r w:rsidR="00A17F1C" w:rsidRPr="009A1C8E">
        <w:t xml:space="preserve"> on </w:t>
      </w:r>
      <w:r w:rsidR="008B1168" w:rsidRPr="009A1C8E">
        <w:t xml:space="preserve">how NDIS pricing, provider financial viability and </w:t>
      </w:r>
      <w:r w:rsidR="006E72E3" w:rsidRPr="009A1C8E">
        <w:t xml:space="preserve">disability workforce </w:t>
      </w:r>
      <w:r w:rsidR="00AF5803" w:rsidRPr="009A1C8E">
        <w:t xml:space="preserve">issues </w:t>
      </w:r>
      <w:r w:rsidR="006E72E3" w:rsidRPr="009A1C8E">
        <w:t xml:space="preserve">interconnect </w:t>
      </w:r>
      <w:r w:rsidR="00C8491F" w:rsidRPr="009A1C8E">
        <w:t>and impact providers</w:t>
      </w:r>
      <w:r w:rsidR="007C450A" w:rsidRPr="009A1C8E">
        <w:t>’</w:t>
      </w:r>
      <w:r w:rsidR="00C8491F" w:rsidRPr="009A1C8E">
        <w:t xml:space="preserve"> decision</w:t>
      </w:r>
      <w:r w:rsidR="00AF5803" w:rsidRPr="009A1C8E">
        <w:t>s</w:t>
      </w:r>
      <w:r w:rsidR="00C8491F" w:rsidRPr="009A1C8E">
        <w:t xml:space="preserve"> to discontinue services </w:t>
      </w:r>
      <w:r w:rsidR="006102F6" w:rsidRPr="009A1C8E">
        <w:t xml:space="preserve">or undergo merger or closure. </w:t>
      </w:r>
      <w:r w:rsidR="00823D7B" w:rsidRPr="009A1C8E">
        <w:t xml:space="preserve">Recommendations </w:t>
      </w:r>
      <w:r w:rsidR="00AF5803" w:rsidRPr="009A1C8E">
        <w:t xml:space="preserve">are provided </w:t>
      </w:r>
      <w:r w:rsidR="00823D7B" w:rsidRPr="009A1C8E">
        <w:t>for Governments</w:t>
      </w:r>
      <w:r w:rsidR="0035470D" w:rsidRPr="009A1C8E">
        <w:t>/NDIA</w:t>
      </w:r>
      <w:r w:rsidR="00823D7B" w:rsidRPr="009A1C8E">
        <w:t xml:space="preserve"> and NDS to consider</w:t>
      </w:r>
      <w:r w:rsidR="00F930F5" w:rsidRPr="009A1C8E">
        <w:t xml:space="preserve"> a range of market stewardship and sector development activities</w:t>
      </w:r>
      <w:r w:rsidR="00823D7B" w:rsidRPr="009A1C8E">
        <w:t xml:space="preserve"> </w:t>
      </w:r>
      <w:r w:rsidR="0035470D" w:rsidRPr="009A1C8E">
        <w:t>that</w:t>
      </w:r>
      <w:r w:rsidR="00F930F5" w:rsidRPr="009A1C8E">
        <w:t xml:space="preserve"> can mitigate </w:t>
      </w:r>
      <w:r w:rsidR="00823D7B" w:rsidRPr="009A1C8E">
        <w:t>the risk of thin markets</w:t>
      </w:r>
      <w:r w:rsidR="00F930F5" w:rsidRPr="009A1C8E">
        <w:t>,</w:t>
      </w:r>
      <w:r w:rsidR="00823D7B" w:rsidRPr="009A1C8E">
        <w:t xml:space="preserve"> and </w:t>
      </w:r>
      <w:r w:rsidR="00F930F5" w:rsidRPr="009A1C8E">
        <w:t xml:space="preserve">support the </w:t>
      </w:r>
      <w:r w:rsidR="00057B22" w:rsidRPr="009A1C8E">
        <w:t>develop</w:t>
      </w:r>
      <w:r w:rsidR="00F930F5" w:rsidRPr="009A1C8E">
        <w:t>ment of</w:t>
      </w:r>
      <w:r w:rsidR="00057B22" w:rsidRPr="009A1C8E">
        <w:t xml:space="preserve"> a diverse NDIS market</w:t>
      </w:r>
      <w:r w:rsidR="00E10D67" w:rsidRPr="009A1C8E">
        <w:t>.</w:t>
      </w:r>
    </w:p>
    <w:p w:rsidR="7CDC0B8A" w:rsidRPr="009A1C8E" w:rsidRDefault="00724508" w:rsidP="00830706">
      <w:pPr>
        <w:pStyle w:val="Heading1"/>
      </w:pPr>
      <w:bookmarkStart w:id="33" w:name="_Toc7614941"/>
      <w:r w:rsidRPr="009A1C8E">
        <w:lastRenderedPageBreak/>
        <w:t xml:space="preserve">2 </w:t>
      </w:r>
      <w:r w:rsidR="00F80DF8" w:rsidRPr="009A1C8E">
        <w:t>Methodology</w:t>
      </w:r>
      <w:bookmarkEnd w:id="33"/>
    </w:p>
    <w:p w:rsidR="00141A9F" w:rsidRPr="009A1C8E" w:rsidRDefault="00A96370" w:rsidP="00A14F68">
      <w:pPr>
        <w:spacing w:before="120" w:after="120" w:line="276" w:lineRule="auto"/>
      </w:pPr>
      <w:r w:rsidRPr="009A1C8E">
        <w:t>T</w:t>
      </w:r>
      <w:r w:rsidR="00141A9F" w:rsidRPr="009A1C8E">
        <w:t>his report</w:t>
      </w:r>
      <w:r w:rsidRPr="009A1C8E">
        <w:t xml:space="preserve"> analyses</w:t>
      </w:r>
      <w:r w:rsidR="00141A9F" w:rsidRPr="009A1C8E">
        <w:t xml:space="preserve"> </w:t>
      </w:r>
      <w:r w:rsidR="00E528B1" w:rsidRPr="009A1C8E">
        <w:t xml:space="preserve">Victorian and </w:t>
      </w:r>
      <w:r w:rsidR="005C1F33" w:rsidRPr="009A1C8E">
        <w:t>n</w:t>
      </w:r>
      <w:r w:rsidR="00E528B1" w:rsidRPr="009A1C8E">
        <w:t xml:space="preserve">ational data from </w:t>
      </w:r>
      <w:r w:rsidRPr="009A1C8E">
        <w:t xml:space="preserve">NDS’ </w:t>
      </w:r>
      <w:r w:rsidR="00056C2A" w:rsidRPr="009A1C8E">
        <w:t xml:space="preserve">2018 </w:t>
      </w:r>
      <w:r w:rsidR="00992ACC" w:rsidRPr="009A1C8E">
        <w:t xml:space="preserve">Annual Market </w:t>
      </w:r>
      <w:r w:rsidR="004735A4" w:rsidRPr="009A1C8E">
        <w:t>Survey</w:t>
      </w:r>
      <w:r w:rsidR="00992ACC" w:rsidRPr="009A1C8E">
        <w:t xml:space="preserve"> (AMS)</w:t>
      </w:r>
      <w:r w:rsidR="00E528B1" w:rsidRPr="009A1C8E">
        <w:t xml:space="preserve"> and</w:t>
      </w:r>
      <w:r w:rsidRPr="009A1C8E">
        <w:t xml:space="preserve"> </w:t>
      </w:r>
      <w:r w:rsidR="00385A0A" w:rsidRPr="009A1C8E">
        <w:t>Workforce</w:t>
      </w:r>
      <w:r w:rsidR="00665807" w:rsidRPr="009A1C8E">
        <w:t xml:space="preserve"> Wizard (</w:t>
      </w:r>
      <w:r w:rsidR="00385A0A" w:rsidRPr="009A1C8E">
        <w:t>September 2015 to December 2018).</w:t>
      </w:r>
    </w:p>
    <w:p w:rsidR="001E7B9F" w:rsidRPr="009A1C8E" w:rsidRDefault="001E7B9F" w:rsidP="00A14F68">
      <w:pPr>
        <w:spacing w:before="120" w:after="120" w:line="276" w:lineRule="auto"/>
      </w:pPr>
      <w:r w:rsidRPr="009A1C8E">
        <w:t xml:space="preserve">Victorian AMS data has been </w:t>
      </w:r>
      <w:r w:rsidR="00A96370" w:rsidRPr="009A1C8E">
        <w:t xml:space="preserve">segmented into </w:t>
      </w:r>
      <w:r w:rsidRPr="009A1C8E">
        <w:t>geographical groups</w:t>
      </w:r>
      <w:r w:rsidR="00A96370" w:rsidRPr="009A1C8E">
        <w:t>,</w:t>
      </w:r>
      <w:r w:rsidR="001D6639" w:rsidRPr="009A1C8E">
        <w:t xml:space="preserve"> comparing responses from organisations operating in metropolitan areas (i.e.</w:t>
      </w:r>
      <w:r w:rsidR="00A96370" w:rsidRPr="009A1C8E">
        <w:t xml:space="preserve"> greater</w:t>
      </w:r>
      <w:r w:rsidR="001D6639" w:rsidRPr="009A1C8E">
        <w:t xml:space="preserve"> Melbourne), regional areas (i.e. Murray, Gippsland and/or Western Victoria), and those operating at a state-wide level (i.e. </w:t>
      </w:r>
      <w:r w:rsidR="00A96370" w:rsidRPr="009A1C8E">
        <w:t xml:space="preserve">in both </w:t>
      </w:r>
      <w:r w:rsidR="00B23C9B" w:rsidRPr="009A1C8E">
        <w:t xml:space="preserve">or </w:t>
      </w:r>
      <w:r w:rsidR="00A96370" w:rsidRPr="009A1C8E">
        <w:t xml:space="preserve">at least one greater </w:t>
      </w:r>
      <w:r w:rsidR="001D6639" w:rsidRPr="009A1C8E">
        <w:t xml:space="preserve">Melbourne and </w:t>
      </w:r>
      <w:r w:rsidR="00A96370" w:rsidRPr="009A1C8E">
        <w:t xml:space="preserve">one </w:t>
      </w:r>
      <w:r w:rsidR="001D6639" w:rsidRPr="009A1C8E">
        <w:t>regional area).</w:t>
      </w:r>
    </w:p>
    <w:p w:rsidR="00655BFC" w:rsidRPr="009A1C8E" w:rsidRDefault="002B6384" w:rsidP="00A14F68">
      <w:pPr>
        <w:spacing w:before="120" w:after="120" w:line="276" w:lineRule="auto"/>
      </w:pPr>
      <w:r w:rsidRPr="009A1C8E">
        <w:t xml:space="preserve">It is important to note that a number of </w:t>
      </w:r>
      <w:r w:rsidR="00AB656C" w:rsidRPr="009A1C8E">
        <w:t>AMS questions</w:t>
      </w:r>
      <w:r w:rsidRPr="009A1C8E">
        <w:t xml:space="preserve"> received a low number of </w:t>
      </w:r>
      <w:r w:rsidR="00A96370" w:rsidRPr="009A1C8E">
        <w:t xml:space="preserve">Victorian </w:t>
      </w:r>
      <w:r w:rsidRPr="009A1C8E">
        <w:t>responses</w:t>
      </w:r>
      <w:r w:rsidR="005223E7" w:rsidRPr="009A1C8E">
        <w:t xml:space="preserve">. This is particularly </w:t>
      </w:r>
      <w:r w:rsidR="00A96370" w:rsidRPr="009A1C8E">
        <w:t xml:space="preserve">relevant </w:t>
      </w:r>
      <w:r w:rsidR="005223E7" w:rsidRPr="009A1C8E">
        <w:t xml:space="preserve">when </w:t>
      </w:r>
      <w:r w:rsidR="00DF0E37" w:rsidRPr="009A1C8E">
        <w:t xml:space="preserve">segmenting </w:t>
      </w:r>
      <w:r w:rsidR="00A96370" w:rsidRPr="009A1C8E">
        <w:t xml:space="preserve">into </w:t>
      </w:r>
      <w:r w:rsidR="00DF0E37" w:rsidRPr="009A1C8E">
        <w:t>geographical groups</w:t>
      </w:r>
      <w:r w:rsidR="00A96370" w:rsidRPr="009A1C8E">
        <w:t xml:space="preserve">, therefore </w:t>
      </w:r>
      <w:r w:rsidR="005223E7" w:rsidRPr="009A1C8E">
        <w:t xml:space="preserve">absolute values should be considered </w:t>
      </w:r>
      <w:r w:rsidR="00E30700" w:rsidRPr="009A1C8E">
        <w:t>when interpreting the</w:t>
      </w:r>
      <w:r w:rsidR="003C20BA" w:rsidRPr="009A1C8E">
        <w:t>se</w:t>
      </w:r>
      <w:r w:rsidR="00E30700" w:rsidRPr="009A1C8E">
        <w:t xml:space="preserve"> findings</w:t>
      </w:r>
      <w:r w:rsidR="00DF0E37" w:rsidRPr="009A1C8E">
        <w:t>.</w:t>
      </w:r>
    </w:p>
    <w:p w:rsidR="005C1B91" w:rsidRPr="009A1C8E" w:rsidRDefault="00A96370" w:rsidP="00A14F68">
      <w:pPr>
        <w:spacing w:before="120" w:after="120" w:line="276" w:lineRule="auto"/>
      </w:pPr>
      <w:r w:rsidRPr="009A1C8E">
        <w:t>T</w:t>
      </w:r>
      <w:r w:rsidR="00DF0E37" w:rsidRPr="009A1C8E">
        <w:t>his</w:t>
      </w:r>
      <w:r w:rsidR="005C1B91" w:rsidRPr="009A1C8E">
        <w:t xml:space="preserve"> report </w:t>
      </w:r>
      <w:r w:rsidRPr="009A1C8E">
        <w:t xml:space="preserve">also </w:t>
      </w:r>
      <w:r w:rsidR="005C1B91" w:rsidRPr="009A1C8E">
        <w:t xml:space="preserve">draws </w:t>
      </w:r>
      <w:r w:rsidRPr="009A1C8E">
        <w:t xml:space="preserve">heavily </w:t>
      </w:r>
      <w:r w:rsidR="005C1B91" w:rsidRPr="009A1C8E">
        <w:t xml:space="preserve">on the SDP </w:t>
      </w:r>
      <w:r w:rsidRPr="009A1C8E">
        <w:t>O</w:t>
      </w:r>
      <w:r w:rsidR="005C1B91" w:rsidRPr="009A1C8E">
        <w:t xml:space="preserve">utcomes </w:t>
      </w:r>
      <w:r w:rsidRPr="009A1C8E">
        <w:t>E</w:t>
      </w:r>
      <w:r w:rsidR="005C1B91" w:rsidRPr="009A1C8E">
        <w:t>valuation findings</w:t>
      </w:r>
      <w:r w:rsidRPr="009A1C8E">
        <w:t xml:space="preserve"> </w:t>
      </w:r>
      <w:r w:rsidR="002D37DC" w:rsidRPr="009A1C8E">
        <w:fldChar w:fldCharType="begin"/>
      </w:r>
      <w:r w:rsidR="005D588A" w:rsidRPr="009A1C8E">
        <w:instrText xml:space="preserve"> ADDIN EN.CITE &lt;EndNote&gt;&lt;Cite&gt;&lt;Author&gt;Brown&lt;/Author&gt;&lt;Year&gt;2018&lt;/Year&gt;&lt;RecNum&gt;261&lt;/RecNum&gt;&lt;DisplayText&gt;(12)&lt;/DisplayText&gt;&lt;record&gt;&lt;rec-number&gt;261&lt;/rec-number&gt;&lt;foreign-keys&gt;&lt;key app="EN" db-id="dtafe02tlezsd7ef59c5s9fdse5ze52xw2ta" timestamp="1554303960"&gt;261&lt;/key&gt;&lt;/foreign-keys&gt;&lt;ref-type name="Report"&gt;27&lt;/ref-type&gt;&lt;contributors&gt;&lt;authors&gt;&lt;author&gt;Brown, M&lt;/author&gt;&lt;author&gt;Canobi, S&lt;/author&gt;&lt;author&gt;Mathys, Z&lt;/author&gt;&lt;author&gt;Randall, K &lt;/author&gt;&lt;/authors&gt;&lt;/contributors&gt;&lt;titles&gt;&lt;title&gt;Evaluation: NDIS Sector Development Project Phase 2, Report 2 of 3&lt;/title&gt;&lt;/titles&gt;&lt;dates&gt;&lt;year&gt;2018&lt;/year&gt;&lt;/dates&gt;&lt;pub-location&gt;Melbourne&lt;/pub-location&gt;&lt;publisher&gt;Dyson Consulting Group and National Disability Services&lt;/publisher&gt;&lt;urls&gt;&lt;/urls&gt;&lt;/record&gt;&lt;/Cite&gt;&lt;/EndNote&gt;</w:instrText>
      </w:r>
      <w:r w:rsidR="002D37DC" w:rsidRPr="009A1C8E">
        <w:fldChar w:fldCharType="separate"/>
      </w:r>
      <w:r w:rsidR="005D588A" w:rsidRPr="009A1C8E">
        <w:rPr>
          <w:noProof/>
        </w:rPr>
        <w:t>(12)</w:t>
      </w:r>
      <w:r w:rsidR="002D37DC" w:rsidRPr="009A1C8E">
        <w:fldChar w:fldCharType="end"/>
      </w:r>
      <w:r w:rsidR="00404AB3" w:rsidRPr="009A1C8E">
        <w:t xml:space="preserve">, </w:t>
      </w:r>
      <w:r w:rsidR="000F55E4" w:rsidRPr="009A1C8E">
        <w:t xml:space="preserve">recent </w:t>
      </w:r>
      <w:r w:rsidR="003C0E8F" w:rsidRPr="009A1C8E">
        <w:t xml:space="preserve">SDP </w:t>
      </w:r>
      <w:r w:rsidR="000F55E4" w:rsidRPr="009A1C8E">
        <w:t xml:space="preserve">policy surveys </w:t>
      </w:r>
      <w:r w:rsidRPr="009A1C8E">
        <w:t xml:space="preserve">and reports, </w:t>
      </w:r>
      <w:r w:rsidR="000F55E4" w:rsidRPr="009A1C8E">
        <w:t xml:space="preserve">and </w:t>
      </w:r>
      <w:r w:rsidR="00832C73" w:rsidRPr="009A1C8E">
        <w:t xml:space="preserve">the </w:t>
      </w:r>
      <w:r w:rsidRPr="009A1C8E">
        <w:t xml:space="preserve">wider </w:t>
      </w:r>
      <w:r w:rsidR="0068401B" w:rsidRPr="009A1C8E">
        <w:t>existing literature.</w:t>
      </w:r>
    </w:p>
    <w:p w:rsidR="004D25D3" w:rsidRPr="009A1C8E" w:rsidRDefault="0068401B" w:rsidP="00A14F68">
      <w:pPr>
        <w:spacing w:before="120" w:after="120" w:line="276" w:lineRule="auto"/>
      </w:pPr>
      <w:r w:rsidRPr="009A1C8E">
        <w:t xml:space="preserve">Stakeholder </w:t>
      </w:r>
      <w:r w:rsidR="00FB6942" w:rsidRPr="009A1C8E">
        <w:t xml:space="preserve">feedback was </w:t>
      </w:r>
      <w:r w:rsidR="00764DCE" w:rsidRPr="009A1C8E">
        <w:t xml:space="preserve">received </w:t>
      </w:r>
      <w:r w:rsidR="00D520EF" w:rsidRPr="009A1C8E">
        <w:t>throughout the study</w:t>
      </w:r>
      <w:r w:rsidR="00AC29A4" w:rsidRPr="009A1C8E">
        <w:t>. Key stakeholders included:</w:t>
      </w:r>
    </w:p>
    <w:p w:rsidR="007447D8" w:rsidRPr="009A1C8E" w:rsidRDefault="00501662" w:rsidP="00A14F68">
      <w:pPr>
        <w:pStyle w:val="ListParagraph"/>
        <w:numPr>
          <w:ilvl w:val="0"/>
          <w:numId w:val="28"/>
        </w:numPr>
        <w:spacing w:before="120" w:after="120" w:line="276" w:lineRule="auto"/>
      </w:pPr>
      <w:r w:rsidRPr="009A1C8E">
        <w:t>DHHS – NDIS Branch</w:t>
      </w:r>
      <w:r w:rsidR="009A2774" w:rsidRPr="009A1C8E">
        <w:t>;</w:t>
      </w:r>
    </w:p>
    <w:p w:rsidR="002B4D87" w:rsidRPr="009A1C8E" w:rsidRDefault="002B4D87" w:rsidP="00A14F68">
      <w:pPr>
        <w:pStyle w:val="ListParagraph"/>
        <w:numPr>
          <w:ilvl w:val="0"/>
          <w:numId w:val="28"/>
        </w:numPr>
        <w:spacing w:before="120" w:after="120" w:line="276" w:lineRule="auto"/>
      </w:pPr>
      <w:r w:rsidRPr="009A1C8E">
        <w:t xml:space="preserve">NDS </w:t>
      </w:r>
      <w:r w:rsidR="00407FF4" w:rsidRPr="009A1C8E">
        <w:t>National Sector Development &amp; Research and Policy teams</w:t>
      </w:r>
      <w:r w:rsidR="00E70697" w:rsidRPr="009A1C8E">
        <w:t>;</w:t>
      </w:r>
    </w:p>
    <w:p w:rsidR="00501662" w:rsidRPr="009A1C8E" w:rsidRDefault="00501662" w:rsidP="00A14F68">
      <w:pPr>
        <w:pStyle w:val="ListParagraph"/>
        <w:numPr>
          <w:ilvl w:val="0"/>
          <w:numId w:val="28"/>
        </w:numPr>
        <w:spacing w:before="120" w:after="120" w:line="276" w:lineRule="auto"/>
      </w:pPr>
      <w:r w:rsidRPr="009A1C8E">
        <w:t>SDP Project Control Group</w:t>
      </w:r>
      <w:r w:rsidR="009A2774" w:rsidRPr="009A1C8E">
        <w:t>;</w:t>
      </w:r>
    </w:p>
    <w:p w:rsidR="00501662" w:rsidRPr="009A1C8E" w:rsidRDefault="00501662" w:rsidP="00A14F68">
      <w:pPr>
        <w:pStyle w:val="ListParagraph"/>
        <w:numPr>
          <w:ilvl w:val="0"/>
          <w:numId w:val="28"/>
        </w:numPr>
        <w:spacing w:before="120" w:after="120" w:line="276" w:lineRule="auto"/>
      </w:pPr>
      <w:r w:rsidRPr="009A1C8E">
        <w:t>SDP Leadership team</w:t>
      </w:r>
      <w:r w:rsidR="007C35B5" w:rsidRPr="009A1C8E">
        <w:t>; and</w:t>
      </w:r>
    </w:p>
    <w:p w:rsidR="002B4383" w:rsidRPr="009A1C8E" w:rsidRDefault="00407FF4" w:rsidP="00A14F68">
      <w:pPr>
        <w:pStyle w:val="ListParagraph"/>
        <w:numPr>
          <w:ilvl w:val="0"/>
          <w:numId w:val="28"/>
        </w:numPr>
        <w:spacing w:before="120" w:after="120" w:line="276" w:lineRule="auto"/>
        <w:rPr>
          <w:lang w:val="fr-FR"/>
        </w:rPr>
      </w:pPr>
      <w:r w:rsidRPr="009A1C8E">
        <w:t xml:space="preserve">NDS Victorian </w:t>
      </w:r>
      <w:r w:rsidR="00501662" w:rsidRPr="009A1C8E">
        <w:t xml:space="preserve">Policy </w:t>
      </w:r>
      <w:r w:rsidR="0036759F" w:rsidRPr="009A1C8E">
        <w:t>t</w:t>
      </w:r>
      <w:r w:rsidR="00501662" w:rsidRPr="009A1C8E">
        <w:t>eam</w:t>
      </w:r>
      <w:r w:rsidR="0036759F" w:rsidRPr="009A1C8E">
        <w:t>.</w:t>
      </w:r>
      <w:r w:rsidR="002B4383" w:rsidRPr="009A1C8E">
        <w:br w:type="page"/>
      </w:r>
    </w:p>
    <w:p w:rsidR="007E39A7" w:rsidRPr="009A1C8E" w:rsidRDefault="00724508" w:rsidP="00830706">
      <w:pPr>
        <w:pStyle w:val="Heading1"/>
      </w:pPr>
      <w:bookmarkStart w:id="34" w:name="_Toc7614942"/>
      <w:r w:rsidRPr="009A1C8E">
        <w:lastRenderedPageBreak/>
        <w:t xml:space="preserve">3 </w:t>
      </w:r>
      <w:r w:rsidR="007E39A7" w:rsidRPr="009A1C8E">
        <w:t>Key factors</w:t>
      </w:r>
      <w:r w:rsidR="00DA1DDA" w:rsidRPr="009A1C8E">
        <w:t xml:space="preserve"> influencing thin markets</w:t>
      </w:r>
      <w:bookmarkEnd w:id="34"/>
    </w:p>
    <w:p w:rsidR="004645B1" w:rsidRPr="009A1C8E" w:rsidRDefault="002906CB" w:rsidP="00A14F68">
      <w:pPr>
        <w:spacing w:before="120" w:after="120" w:line="276" w:lineRule="auto"/>
      </w:pPr>
      <w:r w:rsidRPr="009A1C8E">
        <w:t xml:space="preserve">This section </w:t>
      </w:r>
      <w:r w:rsidR="002F0D3F" w:rsidRPr="009A1C8E">
        <w:t>unpack</w:t>
      </w:r>
      <w:r w:rsidRPr="009A1C8E">
        <w:t>s</w:t>
      </w:r>
      <w:r w:rsidR="002F0D3F" w:rsidRPr="009A1C8E">
        <w:t xml:space="preserve"> the</w:t>
      </w:r>
      <w:r w:rsidR="009C0273" w:rsidRPr="009A1C8E">
        <w:t xml:space="preserve"> risk of thin markets</w:t>
      </w:r>
      <w:r w:rsidR="00A61C17" w:rsidRPr="009A1C8E">
        <w:t xml:space="preserve"> by exploring</w:t>
      </w:r>
      <w:r w:rsidR="002F0D3F" w:rsidRPr="009A1C8E">
        <w:t xml:space="preserve"> NDIS pricing, provider financial viability and the disability workforce</w:t>
      </w:r>
      <w:r w:rsidR="00A61C17" w:rsidRPr="009A1C8E">
        <w:t>.</w:t>
      </w:r>
    </w:p>
    <w:p w:rsidR="2DDBF7DD" w:rsidRPr="009A1C8E" w:rsidRDefault="00724508" w:rsidP="00830706">
      <w:pPr>
        <w:pStyle w:val="Heading2"/>
      </w:pPr>
      <w:bookmarkStart w:id="35" w:name="_Toc7614943"/>
      <w:r w:rsidRPr="009A1C8E">
        <w:t>3</w:t>
      </w:r>
      <w:r w:rsidR="00E86E44" w:rsidRPr="009A1C8E">
        <w:t xml:space="preserve">.1 </w:t>
      </w:r>
      <w:r w:rsidR="2DDBF7DD" w:rsidRPr="009A1C8E">
        <w:t>NDIS pricing</w:t>
      </w:r>
      <w:bookmarkEnd w:id="35"/>
    </w:p>
    <w:p w:rsidR="005C7B1C" w:rsidRPr="009A1C8E" w:rsidRDefault="008C754B" w:rsidP="00A14F68">
      <w:pPr>
        <w:spacing w:before="120" w:after="120" w:line="276" w:lineRule="auto"/>
      </w:pPr>
      <w:r w:rsidRPr="009A1C8E">
        <w:t>The majority of the NDIS market operates under fixed prices, with only 25% of active participants self</w:t>
      </w:r>
      <w:r w:rsidR="009729E3" w:rsidRPr="009A1C8E">
        <w:noBreakHyphen/>
      </w:r>
      <w:proofErr w:type="spellStart"/>
      <w:r w:rsidRPr="009A1C8E">
        <w:t>manag</w:t>
      </w:r>
      <w:r w:rsidR="00B31D45" w:rsidRPr="009A1C8E">
        <w:t>ing</w:t>
      </w:r>
      <w:proofErr w:type="spellEnd"/>
      <w:r w:rsidR="00B31D45" w:rsidRPr="009A1C8E">
        <w:t xml:space="preserve"> their funds either fully or in part</w:t>
      </w:r>
      <w:r w:rsidRPr="009A1C8E">
        <w:t xml:space="preserve"> </w:t>
      </w:r>
      <w:r w:rsidR="002D37DC" w:rsidRPr="009A1C8E">
        <w:fldChar w:fldCharType="begin"/>
      </w:r>
      <w:r w:rsidR="005D588A" w:rsidRPr="009A1C8E">
        <w:instrText xml:space="preserve"> ADDIN EN.CITE &lt;EndNote&gt;&lt;Cite&gt;&lt;Author&gt;National Disability Insurance Agency&lt;/Author&gt;&lt;Year&gt;2018&lt;/Year&gt;&lt;RecNum&gt;262&lt;/RecNum&gt;&lt;DisplayText&gt;(13)&lt;/DisplayText&gt;&lt;record&gt;&lt;rec-number&gt;262&lt;/rec-number&gt;&lt;foreign-keys&gt;&lt;key app="EN" db-id="dtafe02tlezsd7ef59c5s9fdse5ze52xw2ta" timestamp="1554305633"&gt;262&lt;/key&gt;&lt;/foreign-keys&gt;&lt;ref-type name="Journal Article"&gt;17&lt;/ref-type&gt;&lt;contributors&gt;&lt;authors&gt;&lt;author&gt;National Disability Insurance Agency,&lt;/author&gt;&lt;/authors&gt;&lt;/contributors&gt;&lt;titles&gt;&lt;title&gt;COAG Disability Reform Council Quarterly Report 31 December 2018&lt;/title&gt;&lt;/titles&gt;&lt;dates&gt;&lt;year&gt;2018&lt;/year&gt;&lt;/dates&gt;&lt;urls&gt;&lt;/urls&gt;&lt;/record&gt;&lt;/Cite&gt;&lt;/EndNote&gt;</w:instrText>
      </w:r>
      <w:r w:rsidR="002D37DC" w:rsidRPr="009A1C8E">
        <w:fldChar w:fldCharType="separate"/>
      </w:r>
      <w:r w:rsidR="005D588A" w:rsidRPr="009A1C8E">
        <w:rPr>
          <w:noProof/>
        </w:rPr>
        <w:t>(13)</w:t>
      </w:r>
      <w:r w:rsidR="002D37DC" w:rsidRPr="009A1C8E">
        <w:fldChar w:fldCharType="end"/>
      </w:r>
      <w:r w:rsidR="00B1476F" w:rsidRPr="009A1C8E">
        <w:t>.</w:t>
      </w:r>
      <w:r w:rsidR="00F929E2" w:rsidRPr="009A1C8E">
        <w:t xml:space="preserve"> </w:t>
      </w:r>
      <w:r w:rsidR="00282204" w:rsidRPr="009A1C8E">
        <w:t>NDIS</w:t>
      </w:r>
      <w:r w:rsidR="00B31D45" w:rsidRPr="009A1C8E">
        <w:t>-registered providers</w:t>
      </w:r>
      <w:r w:rsidR="00282204" w:rsidRPr="009A1C8E">
        <w:t xml:space="preserve"> </w:t>
      </w:r>
      <w:r w:rsidR="00FA4A4D" w:rsidRPr="009A1C8E">
        <w:t>can</w:t>
      </w:r>
      <w:r w:rsidR="00282204" w:rsidRPr="009A1C8E">
        <w:t xml:space="preserve"> </w:t>
      </w:r>
      <w:r w:rsidR="002560D5" w:rsidRPr="009A1C8E">
        <w:t>negotiate service prices</w:t>
      </w:r>
      <w:r w:rsidR="00B31D45" w:rsidRPr="009A1C8E">
        <w:t xml:space="preserve"> with participants who do not self-manage</w:t>
      </w:r>
      <w:r w:rsidR="005C1F33" w:rsidRPr="009A1C8E">
        <w:t xml:space="preserve">, </w:t>
      </w:r>
      <w:r w:rsidR="00282204" w:rsidRPr="009A1C8E">
        <w:t xml:space="preserve">up to the corresponding maximum </w:t>
      </w:r>
      <w:r w:rsidR="00842411" w:rsidRPr="009A1C8E">
        <w:t xml:space="preserve">in the NDIA </w:t>
      </w:r>
      <w:r w:rsidR="00095236" w:rsidRPr="009A1C8E">
        <w:t>P</w:t>
      </w:r>
      <w:r w:rsidR="00842411" w:rsidRPr="009A1C8E">
        <w:t xml:space="preserve">rice </w:t>
      </w:r>
      <w:r w:rsidR="00095236" w:rsidRPr="009A1C8E">
        <w:t>G</w:t>
      </w:r>
      <w:r w:rsidR="00842411" w:rsidRPr="009A1C8E">
        <w:t>uide</w:t>
      </w:r>
      <w:r w:rsidR="009A32B3" w:rsidRPr="009A1C8E">
        <w:t xml:space="preserve">. </w:t>
      </w:r>
      <w:r w:rsidR="00B31D45" w:rsidRPr="009A1C8E">
        <w:t>U</w:t>
      </w:r>
      <w:r w:rsidR="00842411" w:rsidRPr="009A1C8E">
        <w:t>nregistered providers</w:t>
      </w:r>
      <w:r w:rsidR="00B31D45" w:rsidRPr="009A1C8E">
        <w:t>, however,</w:t>
      </w:r>
      <w:r w:rsidR="00842411" w:rsidRPr="009A1C8E">
        <w:t xml:space="preserve"> are not subject to NDIS pricing </w:t>
      </w:r>
      <w:r w:rsidR="00B31D45" w:rsidRPr="009A1C8E">
        <w:t xml:space="preserve">caps </w:t>
      </w:r>
      <w:r w:rsidR="00842411" w:rsidRPr="009A1C8E">
        <w:t xml:space="preserve">and </w:t>
      </w:r>
      <w:r w:rsidR="0019424D" w:rsidRPr="009A1C8E">
        <w:t>can</w:t>
      </w:r>
      <w:r w:rsidR="000F5867" w:rsidRPr="009A1C8E">
        <w:t xml:space="preserve"> </w:t>
      </w:r>
      <w:r w:rsidR="0019424D" w:rsidRPr="009A1C8E">
        <w:t>negotiate freely with</w:t>
      </w:r>
      <w:r w:rsidR="002560D5" w:rsidRPr="009A1C8E">
        <w:t xml:space="preserve"> self-manag</w:t>
      </w:r>
      <w:r w:rsidR="00B31D45" w:rsidRPr="009A1C8E">
        <w:t>ing</w:t>
      </w:r>
      <w:r w:rsidR="002560D5" w:rsidRPr="009A1C8E">
        <w:t xml:space="preserve"> participants</w:t>
      </w:r>
      <w:r w:rsidR="0019424D" w:rsidRPr="009A1C8E">
        <w:t>.</w:t>
      </w:r>
      <w:r w:rsidR="005965F0" w:rsidRPr="009A1C8E">
        <w:t xml:space="preserve"> </w:t>
      </w:r>
      <w:r w:rsidR="00B31D45" w:rsidRPr="009A1C8E">
        <w:t>F</w:t>
      </w:r>
      <w:r w:rsidR="0062710D" w:rsidRPr="009A1C8E">
        <w:t xml:space="preserve">ixed prices are set by NDIA actuaries </w:t>
      </w:r>
      <w:r w:rsidR="003003FE" w:rsidRPr="009A1C8E">
        <w:t xml:space="preserve">and </w:t>
      </w:r>
      <w:r w:rsidR="00C90B0D" w:rsidRPr="009A1C8E">
        <w:t>should represent value for money and ensure</w:t>
      </w:r>
      <w:r w:rsidR="0014578C" w:rsidRPr="009A1C8E">
        <w:t xml:space="preserve"> the</w:t>
      </w:r>
      <w:r w:rsidR="00C90B0D" w:rsidRPr="009A1C8E">
        <w:t xml:space="preserve"> </w:t>
      </w:r>
      <w:r w:rsidR="005C7B1C" w:rsidRPr="009A1C8E">
        <w:t>long-term</w:t>
      </w:r>
      <w:r w:rsidR="00C90B0D" w:rsidRPr="009A1C8E">
        <w:t xml:space="preserve"> sustainability of the Scheme.</w:t>
      </w:r>
      <w:r w:rsidR="00D9423B" w:rsidRPr="009A1C8E">
        <w:t xml:space="preserve"> </w:t>
      </w:r>
      <w:r w:rsidR="000B07BC" w:rsidRPr="009A1C8E">
        <w:t>I</w:t>
      </w:r>
      <w:r w:rsidR="00861D62" w:rsidRPr="009A1C8E">
        <w:t>n the longer</w:t>
      </w:r>
      <w:r w:rsidR="008322B4" w:rsidRPr="009A1C8E">
        <w:t xml:space="preserve"> </w:t>
      </w:r>
      <w:r w:rsidR="00861D62" w:rsidRPr="009A1C8E">
        <w:t>term</w:t>
      </w:r>
      <w:r w:rsidR="000B07BC" w:rsidRPr="009A1C8E">
        <w:t>,</w:t>
      </w:r>
      <w:r w:rsidR="00BC3686" w:rsidRPr="009A1C8E">
        <w:t xml:space="preserve"> </w:t>
      </w:r>
      <w:r w:rsidR="00095236" w:rsidRPr="009A1C8E">
        <w:t xml:space="preserve">it is anticipated that </w:t>
      </w:r>
      <w:r w:rsidR="00BC3686" w:rsidRPr="009A1C8E">
        <w:t xml:space="preserve">“the pricing role of the Agency would diminish as the market developed, and this could allow disability services to even more </w:t>
      </w:r>
      <w:r w:rsidR="0023351D" w:rsidRPr="009A1C8E">
        <w:t xml:space="preserve">closely </w:t>
      </w:r>
      <w:r w:rsidR="00BC3686" w:rsidRPr="009A1C8E">
        <w:t xml:space="preserve">resemble the economy-wide </w:t>
      </w:r>
      <w:r w:rsidR="0012371D" w:rsidRPr="009A1C8E">
        <w:t xml:space="preserve">service </w:t>
      </w:r>
      <w:r w:rsidR="00BC3686" w:rsidRPr="009A1C8E">
        <w:t>sector”</w:t>
      </w:r>
      <w:r w:rsidR="00F6261D" w:rsidRPr="009A1C8E">
        <w:t xml:space="preserve"> </w:t>
      </w:r>
      <w:r w:rsidR="002D37DC" w:rsidRPr="009A1C8E">
        <w:fldChar w:fldCharType="begin"/>
      </w:r>
      <w:r w:rsidR="00F6261D" w:rsidRPr="009A1C8E">
        <w:instrText xml:space="preserve"> ADDIN EN.CITE &lt;EndNote&gt;&lt;Cite&gt;&lt;Author&gt;Productivity Commission&lt;/Author&gt;&lt;Year&gt;2011&lt;/Year&gt;&lt;RecNum&gt;251&lt;/RecNum&gt;&lt;DisplayText&gt;(1)&lt;/DisplayText&gt;&lt;record&gt;&lt;rec-number&gt;251&lt;/rec-number&gt;&lt;foreign-keys&gt;&lt;key app="EN" db-id="dtafe02tlezsd7ef59c5s9fdse5ze52xw2ta" timestamp="1554296572"&gt;251&lt;/key&gt;&lt;/foreign-keys&gt;&lt;ref-type name="Report"&gt;27&lt;/ref-type&gt;&lt;contributors&gt;&lt;authors&gt;&lt;author&gt;Productivity Commission,&lt;/author&gt;&lt;/authors&gt;&lt;/contributors&gt;&lt;titles&gt;&lt;title&gt;Disability Care and Support&lt;/title&gt;&lt;/titles&gt;&lt;number&gt;Report no. 54&lt;/number&gt;&lt;dates&gt;&lt;year&gt;2011&lt;/year&gt;&lt;/dates&gt;&lt;pub-location&gt;Canberra&lt;/pub-location&gt;&lt;urls&gt;&lt;/urls&gt;&lt;/record&gt;&lt;/Cite&gt;&lt;/EndNote&gt;</w:instrText>
      </w:r>
      <w:r w:rsidR="002D37DC" w:rsidRPr="009A1C8E">
        <w:fldChar w:fldCharType="separate"/>
      </w:r>
      <w:r w:rsidR="00F6261D" w:rsidRPr="009A1C8E">
        <w:rPr>
          <w:noProof/>
        </w:rPr>
        <w:t>(1)</w:t>
      </w:r>
      <w:r w:rsidR="002D37DC" w:rsidRPr="009A1C8E">
        <w:fldChar w:fldCharType="end"/>
      </w:r>
      <w:r w:rsidR="00BC3686" w:rsidRPr="009A1C8E">
        <w:t>.</w:t>
      </w:r>
    </w:p>
    <w:p w:rsidR="0062710D" w:rsidRPr="009A1C8E" w:rsidRDefault="00095236" w:rsidP="00A14F68">
      <w:pPr>
        <w:spacing w:before="120" w:after="120" w:line="276" w:lineRule="auto"/>
      </w:pPr>
      <w:r w:rsidRPr="009A1C8E">
        <w:t>A</w:t>
      </w:r>
      <w:r w:rsidR="00BC3686" w:rsidRPr="009A1C8E">
        <w:t xml:space="preserve">t present, </w:t>
      </w:r>
      <w:r w:rsidR="00B15B88" w:rsidRPr="009A1C8E">
        <w:t xml:space="preserve">and as </w:t>
      </w:r>
      <w:r w:rsidR="00D76690" w:rsidRPr="009A1C8E">
        <w:t>reiterated by the Victorian Government</w:t>
      </w:r>
      <w:r w:rsidR="00F6261D" w:rsidRPr="009A1C8E">
        <w:t xml:space="preserve"> </w:t>
      </w:r>
      <w:r w:rsidR="002D37DC" w:rsidRPr="009A1C8E">
        <w:fldChar w:fldCharType="begin"/>
      </w:r>
      <w:r w:rsidR="005A73D3" w:rsidRPr="009A1C8E">
        <w:instrText xml:space="preserve"> ADDIN EN.CITE &lt;EndNote&gt;&lt;Cite&gt;&lt;Author&gt;Productivity Commission&lt;/Author&gt;&lt;Year&gt;2017&lt;/Year&gt;&lt;RecNum&gt;254&lt;/RecNum&gt;&lt;DisplayText&gt;(4)&lt;/DisplayText&gt;&lt;record&gt;&lt;rec-number&gt;254&lt;/rec-number&gt;&lt;foreign-keys&gt;&lt;key app="EN" db-id="dtafe02tlezsd7ef59c5s9fdse5ze52xw2ta" timestamp="1554298100"&gt;254&lt;/key&gt;&lt;/foreign-keys&gt;&lt;ref-type name="Report"&gt;27&lt;/ref-type&gt;&lt;contributors&gt;&lt;authors&gt;&lt;author&gt;Productivity Commission,&lt;/author&gt;&lt;/authors&gt;&lt;/contributors&gt;&lt;titles&gt;&lt;title&gt;National Disability Insurance Scheme (NDIS) Costs&lt;/title&gt;&lt;secondary-title&gt;Study report&lt;/secondary-title&gt;&lt;/titles&gt;&lt;dates&gt;&lt;year&gt;2017&lt;/year&gt;&lt;/dates&gt;&lt;publisher&gt;Canberra&lt;/publisher&gt;&lt;urls&gt;&lt;/urls&gt;&lt;/record&gt;&lt;/Cite&gt;&lt;/EndNote&gt;</w:instrText>
      </w:r>
      <w:r w:rsidR="002D37DC" w:rsidRPr="009A1C8E">
        <w:fldChar w:fldCharType="separate"/>
      </w:r>
      <w:r w:rsidR="005A73D3" w:rsidRPr="009A1C8E">
        <w:rPr>
          <w:noProof/>
        </w:rPr>
        <w:t>(4)</w:t>
      </w:r>
      <w:r w:rsidR="002D37DC" w:rsidRPr="009A1C8E">
        <w:fldChar w:fldCharType="end"/>
      </w:r>
      <w:r w:rsidR="00D76690" w:rsidRPr="009A1C8E">
        <w:t xml:space="preserve">, “NDIS pricing may be inhibiting market growth or risking provider failure (particularly in areas or services in which there are thin markets). In some areas, the NDIA appears to have applied flawed assumptions to its calculation of prices”. The following sections explore </w:t>
      </w:r>
      <w:r w:rsidR="00AF2D2D" w:rsidRPr="009A1C8E">
        <w:t xml:space="preserve">the impact of </w:t>
      </w:r>
      <w:r w:rsidR="00B31D45" w:rsidRPr="009A1C8E">
        <w:t xml:space="preserve">lean </w:t>
      </w:r>
      <w:r w:rsidR="00AF2D2D" w:rsidRPr="009A1C8E">
        <w:t>NDIS pricing.</w:t>
      </w:r>
    </w:p>
    <w:p w:rsidR="2DDBF7DD" w:rsidRPr="009A1C8E" w:rsidRDefault="00770047" w:rsidP="00830706">
      <w:pPr>
        <w:pStyle w:val="Heading3"/>
      </w:pPr>
      <w:r w:rsidRPr="009A1C8E">
        <w:t>3</w:t>
      </w:r>
      <w:r w:rsidR="00E86E44" w:rsidRPr="009A1C8E">
        <w:t>.1.1</w:t>
      </w:r>
      <w:r w:rsidR="00095236" w:rsidRPr="009A1C8E">
        <w:t xml:space="preserve"> </w:t>
      </w:r>
      <w:proofErr w:type="gramStart"/>
      <w:r w:rsidR="00B31D45" w:rsidRPr="009A1C8E">
        <w:t>The</w:t>
      </w:r>
      <w:proofErr w:type="gramEnd"/>
      <w:r w:rsidR="00B31D45" w:rsidRPr="009A1C8E">
        <w:t xml:space="preserve"> most </w:t>
      </w:r>
      <w:r w:rsidR="00095236" w:rsidRPr="009A1C8E">
        <w:t>s</w:t>
      </w:r>
      <w:r w:rsidR="2DDBF7DD" w:rsidRPr="009A1C8E">
        <w:t>ignificant challenge</w:t>
      </w:r>
    </w:p>
    <w:p w:rsidR="00B57BB3" w:rsidRPr="009A1C8E" w:rsidRDefault="00B31D45" w:rsidP="00A14F68">
      <w:pPr>
        <w:spacing w:before="120" w:after="120" w:line="276" w:lineRule="auto"/>
      </w:pPr>
      <w:r w:rsidRPr="009A1C8E">
        <w:t xml:space="preserve">Providers responding to the AMS cited </w:t>
      </w:r>
      <w:r w:rsidR="008322B4" w:rsidRPr="009A1C8E">
        <w:t>“</w:t>
      </w:r>
      <w:r w:rsidR="000577AB" w:rsidRPr="009A1C8E">
        <w:t>A</w:t>
      </w:r>
      <w:r w:rsidR="00B57BB3" w:rsidRPr="009A1C8E">
        <w:t>djusting NDIS pricing</w:t>
      </w:r>
      <w:r w:rsidR="008322B4" w:rsidRPr="009A1C8E">
        <w:t>”</w:t>
      </w:r>
      <w:r w:rsidR="00B57BB3" w:rsidRPr="009A1C8E">
        <w:t xml:space="preserve"> as the top action </w:t>
      </w:r>
      <w:r w:rsidRPr="009A1C8E">
        <w:t xml:space="preserve">by </w:t>
      </w:r>
      <w:r w:rsidR="00B57BB3" w:rsidRPr="009A1C8E">
        <w:t xml:space="preserve">Government </w:t>
      </w:r>
      <w:r w:rsidR="00BB6EF4" w:rsidRPr="009A1C8E">
        <w:t>that would have the greatest positive impact on organisation</w:t>
      </w:r>
      <w:r w:rsidR="002F168F" w:rsidRPr="009A1C8E">
        <w:t>s</w:t>
      </w:r>
      <w:r w:rsidR="00BB6EF4" w:rsidRPr="009A1C8E">
        <w:t>’ capacity to deliver good services in the next year</w:t>
      </w:r>
      <w:r w:rsidR="002F168F" w:rsidRPr="009A1C8E">
        <w:t xml:space="preserve">. </w:t>
      </w:r>
      <w:r w:rsidR="00B57BB3" w:rsidRPr="009A1C8E">
        <w:t>In Victoria</w:t>
      </w:r>
      <w:r w:rsidR="00084D7F" w:rsidRPr="009A1C8E">
        <w:t xml:space="preserve">, 71 organisations cited this action, with </w:t>
      </w:r>
      <w:r w:rsidR="00766F0A" w:rsidRPr="009A1C8E">
        <w:t>5</w:t>
      </w:r>
      <w:r w:rsidR="00084D7F" w:rsidRPr="009A1C8E">
        <w:t>4%</w:t>
      </w:r>
      <w:r w:rsidR="00D276E2" w:rsidRPr="009A1C8E">
        <w:t xml:space="preserve"> (n=</w:t>
      </w:r>
      <w:r w:rsidR="002A7D84" w:rsidRPr="009A1C8E">
        <w:t>38</w:t>
      </w:r>
      <w:r w:rsidR="00D276E2" w:rsidRPr="009A1C8E">
        <w:t>)</w:t>
      </w:r>
      <w:r w:rsidR="00084D7F" w:rsidRPr="009A1C8E">
        <w:t xml:space="preserve"> ranking it as their </w:t>
      </w:r>
      <w:r w:rsidR="00341862" w:rsidRPr="009A1C8E">
        <w:t>number one</w:t>
      </w:r>
      <w:r w:rsidR="00084D7F" w:rsidRPr="009A1C8E">
        <w:t xml:space="preserve"> action</w:t>
      </w:r>
      <w:r w:rsidR="00F406E4" w:rsidRPr="009A1C8E">
        <w:t xml:space="preserve">, compared to </w:t>
      </w:r>
      <w:r w:rsidR="00B57BB3" w:rsidRPr="009A1C8E">
        <w:t>46% of national respondents.</w:t>
      </w:r>
    </w:p>
    <w:p w:rsidR="0027128F" w:rsidRPr="009A1C8E" w:rsidRDefault="00B31D45" w:rsidP="00A14F68">
      <w:pPr>
        <w:spacing w:before="120" w:after="120" w:line="276" w:lineRule="auto"/>
      </w:pPr>
      <w:r w:rsidRPr="009A1C8E">
        <w:t xml:space="preserve">Furthermore, </w:t>
      </w:r>
      <w:r w:rsidR="00F406E4" w:rsidRPr="009A1C8E">
        <w:t xml:space="preserve">the most commonly reported challenge </w:t>
      </w:r>
      <w:r w:rsidRPr="009A1C8E">
        <w:t>to Victorian providers’ sustainability post</w:t>
      </w:r>
      <w:r w:rsidR="008322B4" w:rsidRPr="009A1C8E">
        <w:t xml:space="preserve"> </w:t>
      </w:r>
      <w:r w:rsidRPr="009A1C8E">
        <w:t xml:space="preserve">NDIS implementation </w:t>
      </w:r>
      <w:r w:rsidR="00F406E4" w:rsidRPr="009A1C8E">
        <w:t>was</w:t>
      </w:r>
      <w:r w:rsidR="00B43675" w:rsidRPr="009A1C8E">
        <w:t xml:space="preserve"> </w:t>
      </w:r>
      <w:r w:rsidR="008322B4" w:rsidRPr="009A1C8E">
        <w:t>“</w:t>
      </w:r>
      <w:r w:rsidR="00B57BB3" w:rsidRPr="009A1C8E">
        <w:t>s</w:t>
      </w:r>
      <w:r w:rsidR="00D276E2" w:rsidRPr="009A1C8E">
        <w:t>ome service types are not viable because of lean NDIS pricing</w:t>
      </w:r>
      <w:r w:rsidR="008322B4" w:rsidRPr="009A1C8E">
        <w:t>”</w:t>
      </w:r>
      <w:r w:rsidR="00D276E2" w:rsidRPr="009A1C8E">
        <w:t xml:space="preserve"> (n=163, 20%)</w:t>
      </w:r>
      <w:r w:rsidR="00FA4897" w:rsidRPr="009A1C8E">
        <w:t xml:space="preserve">. </w:t>
      </w:r>
      <w:r w:rsidR="005B098F" w:rsidRPr="009A1C8E">
        <w:t xml:space="preserve">This </w:t>
      </w:r>
      <w:r w:rsidR="00B43675" w:rsidRPr="009A1C8E">
        <w:t>was the top challenge for</w:t>
      </w:r>
      <w:r w:rsidR="005B098F" w:rsidRPr="009A1C8E">
        <w:t xml:space="preserve"> </w:t>
      </w:r>
      <w:r w:rsidR="00043040" w:rsidRPr="009A1C8E">
        <w:t>regional</w:t>
      </w:r>
      <w:r w:rsidR="00B57BB3" w:rsidRPr="009A1C8E">
        <w:t xml:space="preserve">, </w:t>
      </w:r>
      <w:r w:rsidR="00043040" w:rsidRPr="009A1C8E">
        <w:t>metro</w:t>
      </w:r>
      <w:r w:rsidR="00B57BB3" w:rsidRPr="009A1C8E">
        <w:t xml:space="preserve">, </w:t>
      </w:r>
      <w:r w:rsidR="000F635B" w:rsidRPr="009A1C8E">
        <w:t>and state-wide</w:t>
      </w:r>
      <w:r w:rsidR="00B57BB3" w:rsidRPr="009A1C8E">
        <w:t xml:space="preserve"> </w:t>
      </w:r>
      <w:r w:rsidR="000F635B" w:rsidRPr="009A1C8E">
        <w:t>respondents</w:t>
      </w:r>
      <w:r w:rsidR="00436639" w:rsidRPr="009A1C8E">
        <w:t xml:space="preserve"> </w:t>
      </w:r>
      <w:r w:rsidR="002D37DC" w:rsidRPr="009A1C8E">
        <w:fldChar w:fldCharType="begin"/>
      </w:r>
      <w:r w:rsidR="005D588A" w:rsidRPr="009A1C8E">
        <w:instrText xml:space="preserve"> ADDIN EN.CITE &lt;EndNote&gt;&lt;Cite&gt;&lt;Author&gt;Brown&lt;/Author&gt;&lt;Year&gt;2018&lt;/Year&gt;&lt;RecNum&gt;261&lt;/RecNum&gt;&lt;DisplayText&gt;(12)&lt;/DisplayText&gt;&lt;record&gt;&lt;rec-number&gt;261&lt;/rec-number&gt;&lt;foreign-keys&gt;&lt;key app="EN" db-id="dtafe02tlezsd7ef59c5s9fdse5ze52xw2ta" timestamp="1554303960"&gt;261&lt;/key&gt;&lt;/foreign-keys&gt;&lt;ref-type name="Report"&gt;27&lt;/ref-type&gt;&lt;contributors&gt;&lt;authors&gt;&lt;author&gt;Brown, M&lt;/author&gt;&lt;author&gt;Canobi, S&lt;/author&gt;&lt;author&gt;Mathys, Z&lt;/author&gt;&lt;author&gt;Randall, K &lt;/author&gt;&lt;/authors&gt;&lt;/contributors&gt;&lt;titles&gt;&lt;title&gt;Evaluation: NDIS Sector Development Project Phase 2, Report 2 of 3&lt;/title&gt;&lt;/titles&gt;&lt;dates&gt;&lt;year&gt;2018&lt;/year&gt;&lt;/dates&gt;&lt;pub-location&gt;Melbourne&lt;/pub-location&gt;&lt;publisher&gt;Dyson Consulting Group and National Disability Services&lt;/publisher&gt;&lt;urls&gt;&lt;/urls&gt;&lt;/record&gt;&lt;/Cite&gt;&lt;/EndNote&gt;</w:instrText>
      </w:r>
      <w:r w:rsidR="002D37DC" w:rsidRPr="009A1C8E">
        <w:fldChar w:fldCharType="separate"/>
      </w:r>
      <w:r w:rsidR="005D588A" w:rsidRPr="009A1C8E">
        <w:rPr>
          <w:noProof/>
        </w:rPr>
        <w:t>(12)</w:t>
      </w:r>
      <w:r w:rsidR="002D37DC" w:rsidRPr="009A1C8E">
        <w:fldChar w:fldCharType="end"/>
      </w:r>
      <w:r w:rsidR="00043040" w:rsidRPr="009A1C8E">
        <w:t>.</w:t>
      </w:r>
    </w:p>
    <w:p w:rsidR="2DDBF7DD" w:rsidRPr="009A1C8E" w:rsidRDefault="00770047" w:rsidP="00830706">
      <w:pPr>
        <w:pStyle w:val="Heading3"/>
      </w:pPr>
      <w:r w:rsidRPr="009A1C8E">
        <w:lastRenderedPageBreak/>
        <w:t>3</w:t>
      </w:r>
      <w:r w:rsidR="00E86E44" w:rsidRPr="009A1C8E">
        <w:t xml:space="preserve">.1.2 </w:t>
      </w:r>
      <w:r w:rsidR="00F406E4" w:rsidRPr="009A1C8E">
        <w:t>The i</w:t>
      </w:r>
      <w:r w:rsidR="2407D86A" w:rsidRPr="009A1C8E">
        <w:t>mpact of inadequate pricing</w:t>
      </w:r>
      <w:r w:rsidR="001B553C" w:rsidRPr="009A1C8E">
        <w:t xml:space="preserve"> </w:t>
      </w:r>
      <w:r w:rsidR="00D24595" w:rsidRPr="009A1C8E">
        <w:t xml:space="preserve">on </w:t>
      </w:r>
      <w:r w:rsidR="004B37A1" w:rsidRPr="009A1C8E">
        <w:t xml:space="preserve">the </w:t>
      </w:r>
      <w:r w:rsidR="00D24595" w:rsidRPr="009A1C8E">
        <w:t xml:space="preserve">ability to deliver </w:t>
      </w:r>
      <w:r w:rsidR="001B553C" w:rsidRPr="009A1C8E">
        <w:t>service</w:t>
      </w:r>
      <w:r w:rsidR="00D24595" w:rsidRPr="009A1C8E">
        <w:t>s</w:t>
      </w:r>
    </w:p>
    <w:p w:rsidR="001A2173" w:rsidRPr="009A1C8E" w:rsidRDefault="0079016D" w:rsidP="00A14F68">
      <w:pPr>
        <w:spacing w:before="120" w:after="120" w:line="276" w:lineRule="auto"/>
      </w:pPr>
      <w:r w:rsidRPr="009A1C8E">
        <w:t>Sixty-three percent</w:t>
      </w:r>
      <w:r w:rsidR="2407D86A" w:rsidRPr="009A1C8E">
        <w:t xml:space="preserve"> (n=60) of Victorian </w:t>
      </w:r>
      <w:r w:rsidRPr="009A1C8E">
        <w:t xml:space="preserve">AMS </w:t>
      </w:r>
      <w:r w:rsidR="2407D86A" w:rsidRPr="009A1C8E">
        <w:t xml:space="preserve">respondents </w:t>
      </w:r>
      <w:r w:rsidR="002906CB" w:rsidRPr="009A1C8E">
        <w:t xml:space="preserve">were </w:t>
      </w:r>
      <w:r w:rsidR="2407D86A" w:rsidRPr="009A1C8E">
        <w:t xml:space="preserve">worried they would not be able to provide NDIS services at </w:t>
      </w:r>
      <w:r w:rsidR="00B43675" w:rsidRPr="009A1C8E">
        <w:t>the</w:t>
      </w:r>
      <w:r w:rsidR="2407D86A" w:rsidRPr="009A1C8E">
        <w:t xml:space="preserve"> current </w:t>
      </w:r>
      <w:r w:rsidR="009512E4" w:rsidRPr="009A1C8E">
        <w:t>2018-2019</w:t>
      </w:r>
      <w:r w:rsidR="00EB7EF0" w:rsidRPr="009A1C8E">
        <w:t xml:space="preserve"> </w:t>
      </w:r>
      <w:r w:rsidR="2407D86A" w:rsidRPr="009A1C8E">
        <w:t>prices</w:t>
      </w:r>
      <w:r w:rsidR="002906CB" w:rsidRPr="009A1C8E">
        <w:t xml:space="preserve">, and less than </w:t>
      </w:r>
      <w:r w:rsidR="2407D86A" w:rsidRPr="009A1C8E">
        <w:t xml:space="preserve">20% (n=18) </w:t>
      </w:r>
      <w:r w:rsidR="002906CB" w:rsidRPr="009A1C8E">
        <w:t>were not concerned</w:t>
      </w:r>
      <w:r w:rsidR="2407D86A" w:rsidRPr="009A1C8E">
        <w:t>. Victorian providers expressed greater concern compared to respondents from all states and territories</w:t>
      </w:r>
      <w:r w:rsidR="006F6BDB" w:rsidRPr="009A1C8E">
        <w:t>, where 58%</w:t>
      </w:r>
      <w:r w:rsidR="008D6112" w:rsidRPr="009A1C8E">
        <w:t xml:space="preserve"> (</w:t>
      </w:r>
      <w:r w:rsidR="2407D86A" w:rsidRPr="009A1C8E">
        <w:t>n=263</w:t>
      </w:r>
      <w:r w:rsidR="005E6C9E" w:rsidRPr="009A1C8E">
        <w:t>)</w:t>
      </w:r>
      <w:r w:rsidR="008D6112" w:rsidRPr="009A1C8E">
        <w:t xml:space="preserve"> were worried</w:t>
      </w:r>
      <w:r w:rsidR="005E6C9E" w:rsidRPr="009A1C8E">
        <w:t xml:space="preserve"> (appendix</w:t>
      </w:r>
      <w:r w:rsidR="00EA5D60" w:rsidRPr="009A1C8E">
        <w:t xml:space="preserve"> 1A)</w:t>
      </w:r>
      <w:r w:rsidR="2407D86A" w:rsidRPr="009A1C8E">
        <w:t>.</w:t>
      </w:r>
    </w:p>
    <w:p w:rsidR="2407D86A" w:rsidRPr="009A1C8E" w:rsidRDefault="00483DAC" w:rsidP="00A14F68">
      <w:pPr>
        <w:spacing w:before="120" w:after="120" w:line="276" w:lineRule="auto"/>
      </w:pPr>
      <w:r w:rsidRPr="009A1C8E">
        <w:t xml:space="preserve">The majority of </w:t>
      </w:r>
      <w:r w:rsidR="001A2173" w:rsidRPr="009A1C8E">
        <w:t>Victorian organisations operating in regional areas</w:t>
      </w:r>
      <w:r w:rsidR="009C74D8" w:rsidRPr="009A1C8E">
        <w:t xml:space="preserve"> – </w:t>
      </w:r>
      <w:r w:rsidR="001A2173" w:rsidRPr="009A1C8E">
        <w:t xml:space="preserve">i.e. </w:t>
      </w:r>
      <w:r w:rsidRPr="009A1C8E">
        <w:t xml:space="preserve">both </w:t>
      </w:r>
      <w:r w:rsidR="001A2173" w:rsidRPr="009A1C8E">
        <w:t xml:space="preserve">regional and </w:t>
      </w:r>
      <w:r w:rsidR="009C74D8" w:rsidRPr="009A1C8E">
        <w:t xml:space="preserve">state-wide </w:t>
      </w:r>
      <w:r w:rsidRPr="009A1C8E">
        <w:t xml:space="preserve">respondents </w:t>
      </w:r>
      <w:r w:rsidR="009C74D8" w:rsidRPr="009A1C8E">
        <w:t>–</w:t>
      </w:r>
      <w:r w:rsidR="001A2173" w:rsidRPr="009A1C8E">
        <w:t xml:space="preserve"> </w:t>
      </w:r>
      <w:r w:rsidR="009C74D8" w:rsidRPr="009A1C8E">
        <w:t xml:space="preserve">agreed or agreed strongly that </w:t>
      </w:r>
      <w:r w:rsidR="001A2173" w:rsidRPr="009A1C8E">
        <w:t xml:space="preserve">they </w:t>
      </w:r>
      <w:r w:rsidR="009C74D8" w:rsidRPr="009A1C8E">
        <w:t xml:space="preserve">were “worried [they] won’t </w:t>
      </w:r>
      <w:r w:rsidR="001A2173" w:rsidRPr="009A1C8E">
        <w:t xml:space="preserve">be able to provide NDIS services at </w:t>
      </w:r>
      <w:r w:rsidR="009C74D8" w:rsidRPr="009A1C8E">
        <w:t xml:space="preserve">current </w:t>
      </w:r>
      <w:r w:rsidR="001A2173" w:rsidRPr="009A1C8E">
        <w:t>prices</w:t>
      </w:r>
      <w:r w:rsidR="009C74D8" w:rsidRPr="009A1C8E">
        <w:t>” (2018-19 prices)</w:t>
      </w:r>
      <w:r w:rsidR="001A2173" w:rsidRPr="009A1C8E">
        <w:t>. Interestingly</w:t>
      </w:r>
      <w:r w:rsidRPr="009A1C8E">
        <w:t xml:space="preserve"> </w:t>
      </w:r>
      <w:r w:rsidR="009C74D8" w:rsidRPr="009A1C8E">
        <w:t xml:space="preserve">providers operating solely in regional areas </w:t>
      </w:r>
      <w:r w:rsidRPr="009A1C8E">
        <w:t>were more likely to disagree or disagree</w:t>
      </w:r>
      <w:r w:rsidR="009C74D8" w:rsidRPr="009A1C8E">
        <w:t xml:space="preserve"> strongly with this statement</w:t>
      </w:r>
      <w:r w:rsidRPr="009A1C8E">
        <w:t>, indicating they are</w:t>
      </w:r>
      <w:r w:rsidR="00964F16" w:rsidRPr="009A1C8E">
        <w:t xml:space="preserve"> somewhat</w:t>
      </w:r>
      <w:r w:rsidRPr="009A1C8E">
        <w:t xml:space="preserve"> less worried than </w:t>
      </w:r>
      <w:r w:rsidR="009C74D8" w:rsidRPr="009A1C8E">
        <w:t xml:space="preserve">their </w:t>
      </w:r>
      <w:r w:rsidR="001A2173" w:rsidRPr="009A1C8E">
        <w:t xml:space="preserve">metro and state-wide </w:t>
      </w:r>
      <w:r w:rsidR="009C74D8" w:rsidRPr="009A1C8E">
        <w:t xml:space="preserve">counterparts </w:t>
      </w:r>
      <w:r w:rsidR="001A2173" w:rsidRPr="009A1C8E">
        <w:t>(</w:t>
      </w:r>
      <w:r w:rsidR="00C56BE3" w:rsidRPr="009A1C8E">
        <w:t>table 1, and appendix 1B</w:t>
      </w:r>
      <w:r w:rsidR="00EA5D60" w:rsidRPr="009A1C8E">
        <w:t>)</w:t>
      </w:r>
      <w:r w:rsidR="001A2173" w:rsidRPr="009A1C8E">
        <w:t>.</w:t>
      </w:r>
    </w:p>
    <w:p w:rsidR="00483DAC" w:rsidRPr="00830706" w:rsidRDefault="00483DAC" w:rsidP="00A14F68">
      <w:pPr>
        <w:spacing w:before="120" w:after="120" w:line="276" w:lineRule="auto"/>
        <w:rPr>
          <w:b/>
          <w:color w:val="497594"/>
        </w:rPr>
      </w:pPr>
      <w:r w:rsidRPr="00830706">
        <w:rPr>
          <w:b/>
          <w:color w:val="497594"/>
        </w:rPr>
        <w:t xml:space="preserve">Table 1: To what extent do you agree that you are worried you won't be able to provide NDIS services at current prices? </w:t>
      </w:r>
      <w:proofErr w:type="gramStart"/>
      <w:r w:rsidRPr="00830706">
        <w:rPr>
          <w:b/>
          <w:color w:val="497594"/>
        </w:rPr>
        <w:t>Geographical group analysis.</w:t>
      </w:r>
      <w:proofErr w:type="gramEnd"/>
    </w:p>
    <w:tbl>
      <w:tblPr>
        <w:tblStyle w:val="TableGrid"/>
        <w:tblW w:w="5000" w:type="pct"/>
        <w:tblLook w:val="04A0"/>
      </w:tblPr>
      <w:tblGrid>
        <w:gridCol w:w="3090"/>
        <w:gridCol w:w="2162"/>
        <w:gridCol w:w="2162"/>
        <w:gridCol w:w="2162"/>
      </w:tblGrid>
      <w:tr w:rsidR="00483DAC" w:rsidRPr="009A1C8E" w:rsidTr="005E4E9A">
        <w:trPr>
          <w:trHeight w:val="260"/>
          <w:tblHeader/>
        </w:trPr>
        <w:tc>
          <w:tcPr>
            <w:tcW w:w="1258" w:type="pct"/>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497594"/>
            <w:noWrap/>
            <w:hideMark/>
          </w:tcPr>
          <w:p w:rsidR="00483DAC" w:rsidRPr="00391D50" w:rsidRDefault="00483DAC" w:rsidP="00A14F68">
            <w:pPr>
              <w:spacing w:before="120" w:after="120" w:line="276" w:lineRule="auto"/>
              <w:rPr>
                <w:b/>
                <w:color w:val="FFFFFF" w:themeColor="background1"/>
              </w:rPr>
            </w:pPr>
            <w:bookmarkStart w:id="36" w:name="ColumnTitle_1"/>
            <w:r w:rsidRPr="00391D50">
              <w:rPr>
                <w:b/>
                <w:color w:val="FFFFFF" w:themeColor="background1"/>
              </w:rPr>
              <w:t>Criteria</w:t>
            </w:r>
          </w:p>
        </w:tc>
        <w:tc>
          <w:tcPr>
            <w:tcW w:w="1247" w:type="pct"/>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497594"/>
            <w:noWrap/>
            <w:hideMark/>
          </w:tcPr>
          <w:p w:rsidR="00483DAC" w:rsidRPr="00391D50" w:rsidRDefault="00483DAC" w:rsidP="00A14F68">
            <w:pPr>
              <w:spacing w:before="120" w:after="120" w:line="276" w:lineRule="auto"/>
              <w:rPr>
                <w:b/>
                <w:color w:val="FFFFFF" w:themeColor="background1"/>
              </w:rPr>
            </w:pPr>
            <w:r w:rsidRPr="00391D50">
              <w:rPr>
                <w:b/>
                <w:color w:val="FFFFFF" w:themeColor="background1"/>
              </w:rPr>
              <w:t>Metro</w:t>
            </w:r>
          </w:p>
        </w:tc>
        <w:tc>
          <w:tcPr>
            <w:tcW w:w="1247" w:type="pct"/>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497594"/>
            <w:noWrap/>
            <w:hideMark/>
          </w:tcPr>
          <w:p w:rsidR="00483DAC" w:rsidRPr="00391D50" w:rsidRDefault="00483DAC" w:rsidP="00A14F68">
            <w:pPr>
              <w:spacing w:before="120" w:after="120" w:line="276" w:lineRule="auto"/>
              <w:rPr>
                <w:b/>
                <w:color w:val="FFFFFF" w:themeColor="background1"/>
              </w:rPr>
            </w:pPr>
            <w:r w:rsidRPr="00391D50">
              <w:rPr>
                <w:b/>
                <w:color w:val="FFFFFF" w:themeColor="background1"/>
              </w:rPr>
              <w:t>Regional</w:t>
            </w:r>
          </w:p>
        </w:tc>
        <w:tc>
          <w:tcPr>
            <w:tcW w:w="1247" w:type="pct"/>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497594"/>
            <w:noWrap/>
            <w:hideMark/>
          </w:tcPr>
          <w:p w:rsidR="00483DAC" w:rsidRPr="00391D50" w:rsidRDefault="00483DAC" w:rsidP="00A14F68">
            <w:pPr>
              <w:spacing w:before="120" w:after="120" w:line="276" w:lineRule="auto"/>
              <w:rPr>
                <w:b/>
                <w:color w:val="FFFFFF" w:themeColor="background1"/>
              </w:rPr>
            </w:pPr>
            <w:r w:rsidRPr="00391D50">
              <w:rPr>
                <w:b/>
                <w:color w:val="FFFFFF" w:themeColor="background1"/>
              </w:rPr>
              <w:t>State-wide</w:t>
            </w:r>
          </w:p>
        </w:tc>
      </w:tr>
      <w:bookmarkEnd w:id="36"/>
      <w:tr w:rsidR="00483DAC" w:rsidRPr="009A1C8E" w:rsidTr="005E4E9A">
        <w:trPr>
          <w:trHeight w:val="260"/>
        </w:trPr>
        <w:tc>
          <w:tcPr>
            <w:tcW w:w="1258" w:type="pct"/>
            <w:tcBorders>
              <w:top w:val="single" w:sz="4" w:space="0" w:color="EEECE1" w:themeColor="background2"/>
            </w:tcBorders>
            <w:noWrap/>
            <w:hideMark/>
          </w:tcPr>
          <w:p w:rsidR="00483DAC" w:rsidRPr="009A1C8E" w:rsidRDefault="00483DAC" w:rsidP="00A14F68">
            <w:pPr>
              <w:spacing w:before="120" w:after="120" w:line="276" w:lineRule="auto"/>
            </w:pPr>
            <w:r w:rsidRPr="009A1C8E">
              <w:t>Agree or agree strongly</w:t>
            </w:r>
          </w:p>
        </w:tc>
        <w:tc>
          <w:tcPr>
            <w:tcW w:w="1247" w:type="pct"/>
            <w:tcBorders>
              <w:top w:val="single" w:sz="4" w:space="0" w:color="EEECE1" w:themeColor="background2"/>
            </w:tcBorders>
            <w:noWrap/>
            <w:hideMark/>
          </w:tcPr>
          <w:p w:rsidR="00483DAC" w:rsidRPr="009A1C8E" w:rsidRDefault="00483DAC" w:rsidP="00A14F68">
            <w:pPr>
              <w:spacing w:before="120" w:after="120" w:line="276" w:lineRule="auto"/>
            </w:pPr>
            <w:r w:rsidRPr="009A1C8E">
              <w:t>51%</w:t>
            </w:r>
          </w:p>
        </w:tc>
        <w:tc>
          <w:tcPr>
            <w:tcW w:w="1247" w:type="pct"/>
            <w:tcBorders>
              <w:top w:val="single" w:sz="4" w:space="0" w:color="EEECE1" w:themeColor="background2"/>
            </w:tcBorders>
            <w:noWrap/>
            <w:hideMark/>
          </w:tcPr>
          <w:p w:rsidR="00483DAC" w:rsidRPr="009A1C8E" w:rsidRDefault="00483DAC" w:rsidP="00A14F68">
            <w:pPr>
              <w:spacing w:before="120" w:after="120" w:line="276" w:lineRule="auto"/>
            </w:pPr>
            <w:r w:rsidRPr="009A1C8E">
              <w:t>66%</w:t>
            </w:r>
          </w:p>
        </w:tc>
        <w:tc>
          <w:tcPr>
            <w:tcW w:w="1247" w:type="pct"/>
            <w:tcBorders>
              <w:top w:val="single" w:sz="4" w:space="0" w:color="EEECE1" w:themeColor="background2"/>
            </w:tcBorders>
            <w:noWrap/>
            <w:hideMark/>
          </w:tcPr>
          <w:p w:rsidR="00483DAC" w:rsidRPr="009A1C8E" w:rsidRDefault="00483DAC" w:rsidP="00A14F68">
            <w:pPr>
              <w:spacing w:before="120" w:after="120" w:line="276" w:lineRule="auto"/>
            </w:pPr>
            <w:r w:rsidRPr="009A1C8E">
              <w:t>76%</w:t>
            </w:r>
          </w:p>
        </w:tc>
      </w:tr>
      <w:tr w:rsidR="00483DAC" w:rsidRPr="009A1C8E" w:rsidTr="00483DAC">
        <w:trPr>
          <w:trHeight w:val="260"/>
        </w:trPr>
        <w:tc>
          <w:tcPr>
            <w:tcW w:w="1258" w:type="pct"/>
            <w:noWrap/>
            <w:hideMark/>
          </w:tcPr>
          <w:p w:rsidR="00483DAC" w:rsidRPr="009A1C8E" w:rsidRDefault="00483DAC" w:rsidP="00A14F68">
            <w:pPr>
              <w:spacing w:before="120" w:after="120" w:line="276" w:lineRule="auto"/>
            </w:pPr>
            <w:r w:rsidRPr="009A1C8E">
              <w:t>Neither agree nor disagree</w:t>
            </w:r>
          </w:p>
        </w:tc>
        <w:tc>
          <w:tcPr>
            <w:tcW w:w="1247" w:type="pct"/>
            <w:noWrap/>
            <w:hideMark/>
          </w:tcPr>
          <w:p w:rsidR="00483DAC" w:rsidRPr="009A1C8E" w:rsidRDefault="00483DAC" w:rsidP="00A14F68">
            <w:pPr>
              <w:spacing w:before="120" w:after="120" w:line="276" w:lineRule="auto"/>
            </w:pPr>
            <w:r w:rsidRPr="009A1C8E">
              <w:t>32%</w:t>
            </w:r>
          </w:p>
        </w:tc>
        <w:tc>
          <w:tcPr>
            <w:tcW w:w="1247" w:type="pct"/>
            <w:noWrap/>
            <w:hideMark/>
          </w:tcPr>
          <w:p w:rsidR="00483DAC" w:rsidRPr="009A1C8E" w:rsidRDefault="00483DAC" w:rsidP="00A14F68">
            <w:pPr>
              <w:spacing w:before="120" w:after="120" w:line="276" w:lineRule="auto"/>
            </w:pPr>
            <w:r w:rsidRPr="009A1C8E">
              <w:t>9%</w:t>
            </w:r>
          </w:p>
        </w:tc>
        <w:tc>
          <w:tcPr>
            <w:tcW w:w="1247" w:type="pct"/>
            <w:noWrap/>
            <w:hideMark/>
          </w:tcPr>
          <w:p w:rsidR="00483DAC" w:rsidRPr="009A1C8E" w:rsidRDefault="00483DAC" w:rsidP="00A14F68">
            <w:pPr>
              <w:spacing w:before="120" w:after="120" w:line="276" w:lineRule="auto"/>
            </w:pPr>
            <w:r w:rsidRPr="009A1C8E">
              <w:t>8%</w:t>
            </w:r>
          </w:p>
        </w:tc>
      </w:tr>
      <w:tr w:rsidR="00483DAC" w:rsidRPr="009A1C8E" w:rsidTr="00483DAC">
        <w:trPr>
          <w:trHeight w:val="260"/>
        </w:trPr>
        <w:tc>
          <w:tcPr>
            <w:tcW w:w="1258" w:type="pct"/>
            <w:noWrap/>
            <w:hideMark/>
          </w:tcPr>
          <w:p w:rsidR="00483DAC" w:rsidRPr="009A1C8E" w:rsidRDefault="00483DAC" w:rsidP="00A14F68">
            <w:pPr>
              <w:spacing w:before="120" w:after="120" w:line="276" w:lineRule="auto"/>
            </w:pPr>
            <w:r w:rsidRPr="009A1C8E">
              <w:t>Disagree or disagree strongly</w:t>
            </w:r>
          </w:p>
        </w:tc>
        <w:tc>
          <w:tcPr>
            <w:tcW w:w="1247" w:type="pct"/>
            <w:noWrap/>
            <w:hideMark/>
          </w:tcPr>
          <w:p w:rsidR="00483DAC" w:rsidRPr="009A1C8E" w:rsidRDefault="00483DAC" w:rsidP="00A14F68">
            <w:pPr>
              <w:spacing w:before="120" w:after="120" w:line="276" w:lineRule="auto"/>
            </w:pPr>
            <w:r w:rsidRPr="009A1C8E">
              <w:t>16%</w:t>
            </w:r>
          </w:p>
        </w:tc>
        <w:tc>
          <w:tcPr>
            <w:tcW w:w="1247" w:type="pct"/>
            <w:noWrap/>
            <w:hideMark/>
          </w:tcPr>
          <w:p w:rsidR="00483DAC" w:rsidRPr="009A1C8E" w:rsidRDefault="00483DAC" w:rsidP="00A14F68">
            <w:pPr>
              <w:spacing w:before="120" w:after="120" w:line="276" w:lineRule="auto"/>
            </w:pPr>
            <w:r w:rsidRPr="009A1C8E">
              <w:t>25%</w:t>
            </w:r>
          </w:p>
        </w:tc>
        <w:tc>
          <w:tcPr>
            <w:tcW w:w="1247" w:type="pct"/>
            <w:noWrap/>
            <w:hideMark/>
          </w:tcPr>
          <w:p w:rsidR="00483DAC" w:rsidRPr="009A1C8E" w:rsidRDefault="00483DAC" w:rsidP="00A14F68">
            <w:pPr>
              <w:spacing w:before="120" w:after="120" w:line="276" w:lineRule="auto"/>
            </w:pPr>
            <w:r w:rsidRPr="009A1C8E">
              <w:t>16%</w:t>
            </w:r>
          </w:p>
        </w:tc>
      </w:tr>
    </w:tbl>
    <w:p w:rsidR="00D24595" w:rsidRPr="009A1C8E" w:rsidRDefault="00D24595" w:rsidP="00830706">
      <w:pPr>
        <w:pStyle w:val="Heading3"/>
      </w:pPr>
      <w:r w:rsidRPr="009A1C8E">
        <w:t>3.1.</w:t>
      </w:r>
      <w:r w:rsidR="004B37A1" w:rsidRPr="009A1C8E">
        <w:t>3</w:t>
      </w:r>
      <w:r w:rsidR="00B40B74" w:rsidRPr="009A1C8E">
        <w:t xml:space="preserve"> </w:t>
      </w:r>
      <w:r w:rsidRPr="009A1C8E">
        <w:t>The impact of inadequate pricing on</w:t>
      </w:r>
      <w:r w:rsidR="004B37A1" w:rsidRPr="009A1C8E">
        <w:t xml:space="preserve"> service</w:t>
      </w:r>
      <w:r w:rsidRPr="009A1C8E">
        <w:t xml:space="preserve"> quality</w:t>
      </w:r>
    </w:p>
    <w:p w:rsidR="00D24595" w:rsidRPr="009A1C8E" w:rsidRDefault="001B553C" w:rsidP="00A14F68">
      <w:pPr>
        <w:spacing w:before="120" w:after="120" w:line="276" w:lineRule="auto"/>
      </w:pPr>
      <w:r w:rsidRPr="009A1C8E">
        <w:t>A</w:t>
      </w:r>
      <w:r w:rsidR="001071A1" w:rsidRPr="009A1C8E">
        <w:t xml:space="preserve"> greater proportion of Victorian organisations </w:t>
      </w:r>
      <w:r w:rsidRPr="009A1C8E">
        <w:t xml:space="preserve">reported </w:t>
      </w:r>
      <w:r w:rsidR="001071A1" w:rsidRPr="009A1C8E">
        <w:t xml:space="preserve">they will have to reduce the quality of services </w:t>
      </w:r>
      <w:r w:rsidRPr="009A1C8E">
        <w:t xml:space="preserve">under NDIA </w:t>
      </w:r>
      <w:r w:rsidR="001071A1" w:rsidRPr="009A1C8E">
        <w:t xml:space="preserve">prices, compared </w:t>
      </w:r>
      <w:r w:rsidRPr="009A1C8E">
        <w:t xml:space="preserve">with </w:t>
      </w:r>
      <w:r w:rsidR="001071A1" w:rsidRPr="009A1C8E">
        <w:t>national organisations (agree or agree strongly: n</w:t>
      </w:r>
      <w:r w:rsidR="00264C40" w:rsidRPr="009A1C8E">
        <w:t>=59, 61%</w:t>
      </w:r>
      <w:r w:rsidR="001071A1" w:rsidRPr="009A1C8E">
        <w:t xml:space="preserve"> and </w:t>
      </w:r>
      <w:r w:rsidR="00BB4991" w:rsidRPr="009A1C8E">
        <w:t>n=</w:t>
      </w:r>
      <w:r w:rsidR="00E82887" w:rsidRPr="009A1C8E">
        <w:t xml:space="preserve">245, </w:t>
      </w:r>
      <w:r w:rsidR="00D52F89" w:rsidRPr="009A1C8E">
        <w:t>5</w:t>
      </w:r>
      <w:r w:rsidR="00264C40" w:rsidRPr="009A1C8E">
        <w:t>4%</w:t>
      </w:r>
      <w:r w:rsidR="001071A1" w:rsidRPr="009A1C8E">
        <w:t xml:space="preserve"> respectively</w:t>
      </w:r>
      <w:r w:rsidR="00264C40" w:rsidRPr="009A1C8E">
        <w:t>)</w:t>
      </w:r>
      <w:r w:rsidR="00BB4991" w:rsidRPr="009A1C8E">
        <w:t xml:space="preserve"> </w:t>
      </w:r>
      <w:r w:rsidR="00232BC4" w:rsidRPr="009A1C8E">
        <w:t>(</w:t>
      </w:r>
      <w:r w:rsidR="00D90038" w:rsidRPr="009A1C8E">
        <w:t>appendix 1C</w:t>
      </w:r>
      <w:r w:rsidR="00232BC4" w:rsidRPr="009A1C8E">
        <w:t>).</w:t>
      </w:r>
      <w:r w:rsidR="00D24595" w:rsidRPr="009A1C8E">
        <w:t xml:space="preserve"> Regional and metropolitan organisations were slightly more likely </w:t>
      </w:r>
      <w:r w:rsidR="00FB0E17" w:rsidRPr="009A1C8E">
        <w:t xml:space="preserve">than state-wide organisations </w:t>
      </w:r>
      <w:r w:rsidR="00D24595" w:rsidRPr="009A1C8E">
        <w:t xml:space="preserve">to agree </w:t>
      </w:r>
      <w:r w:rsidR="00645663" w:rsidRPr="009A1C8E">
        <w:t xml:space="preserve">that quality will have to be reduced </w:t>
      </w:r>
      <w:r w:rsidR="00D24595" w:rsidRPr="009A1C8E">
        <w:t>(regional: n=20, 63%</w:t>
      </w:r>
      <w:r w:rsidR="00A876E9" w:rsidRPr="009A1C8E">
        <w:t>;</w:t>
      </w:r>
      <w:r w:rsidR="00D24595" w:rsidRPr="009A1C8E">
        <w:t xml:space="preserve"> metro: n=23, 62%</w:t>
      </w:r>
      <w:r w:rsidR="00A876E9" w:rsidRPr="009A1C8E">
        <w:t>;</w:t>
      </w:r>
      <w:r w:rsidR="00D24595" w:rsidRPr="009A1C8E">
        <w:t xml:space="preserve"> state-wide: n=14, 56%).</w:t>
      </w:r>
    </w:p>
    <w:p w:rsidR="005F2578" w:rsidRPr="009A1C8E" w:rsidRDefault="00D24595" w:rsidP="00A14F68">
      <w:pPr>
        <w:spacing w:before="120" w:after="120" w:line="276" w:lineRule="auto"/>
      </w:pPr>
      <w:r w:rsidRPr="009A1C8E">
        <w:t>This data shows that NDIS pricing is more concerning to Vic</w:t>
      </w:r>
      <w:r w:rsidR="003E2254" w:rsidRPr="009A1C8E">
        <w:t>torian providers than national providers</w:t>
      </w:r>
      <w:r w:rsidRPr="009A1C8E">
        <w:t xml:space="preserve"> – both in relation to the ability to continue delivering services, and to maintain quality.</w:t>
      </w:r>
    </w:p>
    <w:p w:rsidR="004D2AE8" w:rsidRPr="009A1C8E" w:rsidRDefault="009E250A" w:rsidP="00A14F68">
      <w:pPr>
        <w:spacing w:before="120" w:after="120" w:line="276" w:lineRule="auto"/>
      </w:pPr>
      <w:r w:rsidRPr="009A1C8E">
        <w:t>The impact of i</w:t>
      </w:r>
      <w:r w:rsidR="003D58BC" w:rsidRPr="009A1C8E">
        <w:t xml:space="preserve">nsufficient pricing </w:t>
      </w:r>
      <w:r w:rsidRPr="009A1C8E">
        <w:t xml:space="preserve">on service </w:t>
      </w:r>
      <w:r w:rsidR="00A74746" w:rsidRPr="009A1C8E">
        <w:t xml:space="preserve">quality </w:t>
      </w:r>
      <w:r w:rsidR="00E4515D" w:rsidRPr="009A1C8E">
        <w:t>was</w:t>
      </w:r>
      <w:r w:rsidR="00D24595" w:rsidRPr="009A1C8E">
        <w:t xml:space="preserve"> further illustrated </w:t>
      </w:r>
      <w:r w:rsidR="00E4515D" w:rsidRPr="009A1C8E">
        <w:t>by the</w:t>
      </w:r>
      <w:r w:rsidR="00D24595" w:rsidRPr="009A1C8E">
        <w:t xml:space="preserve"> </w:t>
      </w:r>
      <w:r w:rsidR="00F148F7" w:rsidRPr="009A1C8E">
        <w:t xml:space="preserve">interviews </w:t>
      </w:r>
      <w:r w:rsidR="00E4515D" w:rsidRPr="009A1C8E">
        <w:t>undertaken by</w:t>
      </w:r>
      <w:r w:rsidR="00F148F7" w:rsidRPr="009A1C8E">
        <w:t xml:space="preserve"> </w:t>
      </w:r>
      <w:r w:rsidR="00F71E71" w:rsidRPr="009A1C8E">
        <w:t>Green</w:t>
      </w:r>
      <w:r w:rsidR="00F148F7" w:rsidRPr="009A1C8E">
        <w:t xml:space="preserve"> et.al</w:t>
      </w:r>
      <w:r w:rsidR="00E51A94" w:rsidRPr="009A1C8E">
        <w:t xml:space="preserve"> </w:t>
      </w:r>
      <w:r w:rsidR="002D37DC" w:rsidRPr="009A1C8E">
        <w:fldChar w:fldCharType="begin"/>
      </w:r>
      <w:r w:rsidR="005D588A" w:rsidRPr="009A1C8E">
        <w:instrText xml:space="preserve"> ADDIN EN.CITE &lt;EndNote&gt;&lt;Cite&gt;&lt;Author&gt;Green&lt;/Author&gt;&lt;Year&gt;2018&lt;/Year&gt;&lt;RecNum&gt;263&lt;/RecNum&gt;&lt;DisplayText&gt;(14)&lt;/DisplayText&gt;&lt;record&gt;&lt;rec-number&gt;263&lt;/rec-number&gt;&lt;foreign-keys&gt;&lt;key app="EN" db-id="dtafe02tlezsd7ef59c5s9fdse5ze52xw2ta" timestamp="1554306740"&gt;263&lt;/key&gt;&lt;/foreign-keys&gt;&lt;ref-type name="Journal Article"&gt;17&lt;/ref-type&gt;&lt;contributors&gt;&lt;authors&gt;&lt;author&gt;Green, Celia&lt;/author&gt;&lt;author&gt;Malbon, Eleanor&lt;/author&gt;&lt;author&gt;Carey, Gemma&lt;/author&gt;&lt;author&gt;Dickinson, Helen&lt;/author&gt;&lt;author&gt;Reeders, Daniel&lt;/author&gt;&lt;/authors&gt;&lt;/contributors&gt;&lt;titles&gt;&lt;title&gt;Competition and collaboration between service providers in the NDIS&lt;/title&gt;&lt;/titles&gt;&lt;dates&gt;&lt;year&gt;2018&lt;/year&gt;&lt;/dates&gt;&lt;urls&gt;&lt;/urls&gt;&lt;/record&gt;&lt;/Cite&gt;&lt;/EndNote&gt;</w:instrText>
      </w:r>
      <w:r w:rsidR="002D37DC" w:rsidRPr="009A1C8E">
        <w:fldChar w:fldCharType="separate"/>
      </w:r>
      <w:r w:rsidR="005D588A" w:rsidRPr="009A1C8E">
        <w:rPr>
          <w:noProof/>
        </w:rPr>
        <w:t>(14)</w:t>
      </w:r>
      <w:r w:rsidR="002D37DC" w:rsidRPr="009A1C8E">
        <w:fldChar w:fldCharType="end"/>
      </w:r>
      <w:r w:rsidR="00F148F7" w:rsidRPr="009A1C8E">
        <w:t xml:space="preserve">. While </w:t>
      </w:r>
      <w:r w:rsidR="00F71E71" w:rsidRPr="009A1C8E">
        <w:t xml:space="preserve">this paper </w:t>
      </w:r>
      <w:r w:rsidR="0053533A" w:rsidRPr="009A1C8E">
        <w:t>focussed</w:t>
      </w:r>
      <w:r w:rsidR="00F71E71" w:rsidRPr="009A1C8E">
        <w:t xml:space="preserve"> on the impact of </w:t>
      </w:r>
      <w:r w:rsidR="00F71E71" w:rsidRPr="009A1C8E">
        <w:lastRenderedPageBreak/>
        <w:t>the NDIS on collaboration</w:t>
      </w:r>
      <w:r w:rsidR="00B0626D" w:rsidRPr="009A1C8E">
        <w:t xml:space="preserve">, </w:t>
      </w:r>
      <w:r w:rsidR="00C14448" w:rsidRPr="009A1C8E">
        <w:t xml:space="preserve">it </w:t>
      </w:r>
      <w:r w:rsidR="00D24595" w:rsidRPr="009A1C8E">
        <w:t xml:space="preserve">also </w:t>
      </w:r>
      <w:r w:rsidR="00C14448" w:rsidRPr="009A1C8E">
        <w:t>clear</w:t>
      </w:r>
      <w:r w:rsidR="00D24595" w:rsidRPr="009A1C8E">
        <w:t>ly found</w:t>
      </w:r>
      <w:r w:rsidR="00C14448" w:rsidRPr="009A1C8E">
        <w:t xml:space="preserve"> that low NDI</w:t>
      </w:r>
      <w:r w:rsidR="00585DDB" w:rsidRPr="009A1C8E">
        <w:t>S</w:t>
      </w:r>
      <w:r w:rsidR="00C14448" w:rsidRPr="009A1C8E">
        <w:t xml:space="preserve"> </w:t>
      </w:r>
      <w:r w:rsidR="002C7898" w:rsidRPr="009A1C8E">
        <w:t xml:space="preserve">prices </w:t>
      </w:r>
      <w:r w:rsidR="00B0626D" w:rsidRPr="009A1C8E">
        <w:t xml:space="preserve">threaten </w:t>
      </w:r>
      <w:r w:rsidR="002C7898" w:rsidRPr="009A1C8E">
        <w:t xml:space="preserve">service </w:t>
      </w:r>
      <w:r w:rsidR="00B0626D" w:rsidRPr="009A1C8E">
        <w:t>quality</w:t>
      </w:r>
      <w:r w:rsidR="00C14448" w:rsidRPr="009A1C8E">
        <w:t xml:space="preserve">. </w:t>
      </w:r>
      <w:r w:rsidR="00D24595" w:rsidRPr="009A1C8E">
        <w:t>P</w:t>
      </w:r>
      <w:r w:rsidR="00561EDC" w:rsidRPr="009A1C8E">
        <w:t xml:space="preserve">roviders </w:t>
      </w:r>
      <w:r w:rsidR="00CB6C09" w:rsidRPr="009A1C8E">
        <w:t xml:space="preserve">were concerned </w:t>
      </w:r>
      <w:r w:rsidR="00D24595" w:rsidRPr="009A1C8E">
        <w:t xml:space="preserve">about </w:t>
      </w:r>
      <w:r w:rsidR="00CB6C09" w:rsidRPr="009A1C8E">
        <w:t xml:space="preserve">clients </w:t>
      </w:r>
      <w:r w:rsidR="00D24595" w:rsidRPr="009A1C8E">
        <w:t xml:space="preserve">being </w:t>
      </w:r>
      <w:r w:rsidR="00185B0A" w:rsidRPr="009A1C8E">
        <w:t xml:space="preserve">left with organisations that delivered </w:t>
      </w:r>
      <w:r w:rsidR="00C735E0" w:rsidRPr="009A1C8E">
        <w:t>lesser</w:t>
      </w:r>
      <w:r w:rsidR="00185B0A" w:rsidRPr="009A1C8E">
        <w:t xml:space="preserve"> quality services because of </w:t>
      </w:r>
      <w:r w:rsidR="00C735E0" w:rsidRPr="009A1C8E">
        <w:t>low</w:t>
      </w:r>
      <w:r w:rsidR="00185B0A" w:rsidRPr="009A1C8E">
        <w:t xml:space="preserve"> </w:t>
      </w:r>
      <w:r w:rsidR="004D2AE8" w:rsidRPr="009A1C8E">
        <w:t>prices for</w:t>
      </w:r>
      <w:r w:rsidR="00CB6C09" w:rsidRPr="009A1C8E">
        <w:t xml:space="preserve"> direct supports </w:t>
      </w:r>
      <w:r w:rsidR="004D2AE8" w:rsidRPr="009A1C8E">
        <w:t>such as crisis management and daily living.</w:t>
      </w:r>
      <w:r w:rsidR="00C5767B" w:rsidRPr="009A1C8E">
        <w:t xml:space="preserve"> In the words of one respondent:</w:t>
      </w:r>
    </w:p>
    <w:p w:rsidR="007F5883" w:rsidRPr="009A1C8E" w:rsidRDefault="00A14323" w:rsidP="00443E28">
      <w:pPr>
        <w:spacing w:before="120" w:after="120" w:line="276" w:lineRule="auto"/>
        <w:ind w:left="540"/>
      </w:pPr>
      <w:r w:rsidRPr="00B35E2D">
        <w:rPr>
          <w:b/>
        </w:rPr>
        <w:t>“We</w:t>
      </w:r>
      <w:r w:rsidR="00D24595" w:rsidRPr="00B35E2D">
        <w:rPr>
          <w:b/>
        </w:rPr>
        <w:t>’</w:t>
      </w:r>
      <w:r w:rsidRPr="00B35E2D">
        <w:rPr>
          <w:b/>
        </w:rPr>
        <w:t>re actually making a large loss on NDIS services, and we’re actually reviewing all that at the moment and I’m in discussion with high up officials in the NDIS. We have been saying from the word go that it’s unsustainable… particularly in direct support delivery which is what we do… it’s a loss-making venture</w:t>
      </w:r>
      <w:r w:rsidR="00526894" w:rsidRPr="00B35E2D">
        <w:rPr>
          <w:b/>
        </w:rPr>
        <w:t xml:space="preserve">” </w:t>
      </w:r>
      <w:r w:rsidR="002D37DC" w:rsidRPr="00B35E2D">
        <w:rPr>
          <w:b/>
        </w:rPr>
        <w:fldChar w:fldCharType="begin"/>
      </w:r>
      <w:r w:rsidR="005D588A" w:rsidRPr="00B35E2D">
        <w:rPr>
          <w:b/>
        </w:rPr>
        <w:instrText xml:space="preserve"> ADDIN EN.CITE &lt;EndNote&gt;&lt;Cite&gt;&lt;Author&gt;Green&lt;/Author&gt;&lt;Year&gt;2018&lt;/Year&gt;&lt;RecNum&gt;263&lt;/RecNum&gt;&lt;DisplayText&gt;(14)&lt;/DisplayText&gt;&lt;record&gt;&lt;rec-number&gt;263&lt;/rec-number&gt;&lt;foreign-keys&gt;&lt;key app="EN" db-id="dtafe02tlezsd7ef59c5s9fdse5ze52xw2ta" timestamp="1554306740"&gt;263&lt;/key&gt;&lt;/foreign-keys&gt;&lt;ref-type name="Journal Article"&gt;17&lt;/ref-type&gt;&lt;contributors&gt;&lt;authors&gt;&lt;author&gt;Green, Celia&lt;/author&gt;&lt;author&gt;Malbon, Eleanor&lt;/author&gt;&lt;author&gt;Carey, Gemma&lt;/author&gt;&lt;author&gt;Dickinson, Helen&lt;/author&gt;&lt;author&gt;Reeders, Daniel&lt;/author&gt;&lt;/authors&gt;&lt;/contributors&gt;&lt;titles&gt;&lt;title&gt;Competition and collaboration between service providers in the NDIS&lt;/title&gt;&lt;/titles&gt;&lt;dates&gt;&lt;year&gt;2018&lt;/year&gt;&lt;/dates&gt;&lt;urls&gt;&lt;/urls&gt;&lt;/record&gt;&lt;/Cite&gt;&lt;/EndNote&gt;</w:instrText>
      </w:r>
      <w:r w:rsidR="002D37DC" w:rsidRPr="00B35E2D">
        <w:rPr>
          <w:b/>
        </w:rPr>
        <w:fldChar w:fldCharType="separate"/>
      </w:r>
      <w:r w:rsidR="005D588A" w:rsidRPr="00B35E2D">
        <w:rPr>
          <w:b/>
          <w:noProof/>
        </w:rPr>
        <w:t>(14)</w:t>
      </w:r>
      <w:r w:rsidR="002D37DC" w:rsidRPr="00B35E2D">
        <w:rPr>
          <w:b/>
        </w:rPr>
        <w:fldChar w:fldCharType="end"/>
      </w:r>
      <w:r w:rsidRPr="009A1C8E">
        <w:t>.</w:t>
      </w:r>
    </w:p>
    <w:p w:rsidR="2DDBF7DD" w:rsidRPr="009A1C8E" w:rsidRDefault="00770047" w:rsidP="00830706">
      <w:pPr>
        <w:pStyle w:val="Heading2"/>
      </w:pPr>
      <w:bookmarkStart w:id="37" w:name="_Toc7614944"/>
      <w:r w:rsidRPr="009A1C8E">
        <w:t>3</w:t>
      </w:r>
      <w:r w:rsidR="00E86E44" w:rsidRPr="009A1C8E">
        <w:t xml:space="preserve">.2 </w:t>
      </w:r>
      <w:r w:rsidR="2DDBF7DD" w:rsidRPr="009A1C8E">
        <w:t xml:space="preserve">Provider financial </w:t>
      </w:r>
      <w:r w:rsidR="00DD1C79" w:rsidRPr="009A1C8E">
        <w:t>viability</w:t>
      </w:r>
      <w:bookmarkEnd w:id="37"/>
    </w:p>
    <w:p w:rsidR="00770047" w:rsidRPr="009A1C8E" w:rsidRDefault="00D24595" w:rsidP="00A14F68">
      <w:pPr>
        <w:spacing w:before="120" w:after="120" w:line="276" w:lineRule="auto"/>
      </w:pPr>
      <w:r w:rsidRPr="009A1C8E">
        <w:t xml:space="preserve">Another financial factor influencing thin markets </w:t>
      </w:r>
      <w:r w:rsidR="008B73CA" w:rsidRPr="009A1C8E">
        <w:t xml:space="preserve">is </w:t>
      </w:r>
      <w:r w:rsidR="003377B7" w:rsidRPr="009A1C8E">
        <w:t>providers</w:t>
      </w:r>
      <w:r w:rsidR="008B73CA" w:rsidRPr="009A1C8E">
        <w:t>’ ability</w:t>
      </w:r>
      <w:r w:rsidR="003377B7" w:rsidRPr="009A1C8E">
        <w:t xml:space="preserve"> </w:t>
      </w:r>
      <w:r w:rsidRPr="009A1C8E">
        <w:t xml:space="preserve">to generate the profits required </w:t>
      </w:r>
      <w:r w:rsidR="00930191" w:rsidRPr="009A1C8E">
        <w:t>to</w:t>
      </w:r>
      <w:r w:rsidR="003377B7" w:rsidRPr="009A1C8E">
        <w:t xml:space="preserve"> continue</w:t>
      </w:r>
      <w:r w:rsidR="00930191" w:rsidRPr="009A1C8E">
        <w:t xml:space="preserve"> surviv</w:t>
      </w:r>
      <w:r w:rsidR="003377B7" w:rsidRPr="009A1C8E">
        <w:t>ing</w:t>
      </w:r>
      <w:r w:rsidR="00930191" w:rsidRPr="009A1C8E">
        <w:t xml:space="preserve"> under the NDIS</w:t>
      </w:r>
      <w:r w:rsidR="00727BA3" w:rsidRPr="009A1C8E">
        <w:t>. It is also a question</w:t>
      </w:r>
      <w:r w:rsidR="00B16FB4" w:rsidRPr="009A1C8E">
        <w:t xml:space="preserve"> of</w:t>
      </w:r>
      <w:r w:rsidR="00727BA3" w:rsidRPr="009A1C8E">
        <w:t xml:space="preserve"> </w:t>
      </w:r>
      <w:r w:rsidR="00930191" w:rsidRPr="009A1C8E">
        <w:t>whether</w:t>
      </w:r>
      <w:r w:rsidR="003377B7" w:rsidRPr="009A1C8E">
        <w:t xml:space="preserve"> </w:t>
      </w:r>
      <w:r w:rsidR="00727BA3" w:rsidRPr="009A1C8E">
        <w:t>providers</w:t>
      </w:r>
      <w:r w:rsidR="008B73CA" w:rsidRPr="009A1C8E">
        <w:t xml:space="preserve"> have </w:t>
      </w:r>
      <w:r w:rsidR="00930191" w:rsidRPr="009A1C8E">
        <w:t>sufficient</w:t>
      </w:r>
      <w:r w:rsidRPr="009A1C8E">
        <w:t xml:space="preserve"> </w:t>
      </w:r>
      <w:r w:rsidR="00930191" w:rsidRPr="009A1C8E">
        <w:t>and av</w:t>
      </w:r>
      <w:r w:rsidR="003377B7" w:rsidRPr="009A1C8E">
        <w:t xml:space="preserve">ailable assets to fund the </w:t>
      </w:r>
      <w:r w:rsidR="00A32819" w:rsidRPr="009A1C8E">
        <w:t xml:space="preserve">necessary </w:t>
      </w:r>
      <w:r w:rsidR="003377B7" w:rsidRPr="009A1C8E">
        <w:t>scale-up.</w:t>
      </w:r>
    </w:p>
    <w:p w:rsidR="002126A2" w:rsidRPr="009A1C8E" w:rsidRDefault="00770047" w:rsidP="00830706">
      <w:pPr>
        <w:pStyle w:val="Heading3"/>
      </w:pPr>
      <w:r w:rsidRPr="009A1C8E">
        <w:t>3</w:t>
      </w:r>
      <w:r w:rsidR="00E86E44" w:rsidRPr="009A1C8E">
        <w:t xml:space="preserve">.2.1 </w:t>
      </w:r>
      <w:r w:rsidR="007C777A" w:rsidRPr="009A1C8E">
        <w:t xml:space="preserve">2018 </w:t>
      </w:r>
      <w:r w:rsidR="00382838" w:rsidRPr="009A1C8E">
        <w:t>P</w:t>
      </w:r>
      <w:r w:rsidR="007C777A" w:rsidRPr="009A1C8E">
        <w:t xml:space="preserve">rofit and </w:t>
      </w:r>
      <w:r w:rsidR="00382838" w:rsidRPr="009A1C8E">
        <w:t>L</w:t>
      </w:r>
      <w:r w:rsidR="007C777A" w:rsidRPr="009A1C8E">
        <w:t>oss (P&amp;L) results</w:t>
      </w:r>
    </w:p>
    <w:p w:rsidR="00192FB1" w:rsidRPr="009A1C8E" w:rsidRDefault="00A84F4D" w:rsidP="00A14F68">
      <w:pPr>
        <w:spacing w:before="120" w:after="120" w:line="276" w:lineRule="auto"/>
      </w:pPr>
      <w:r w:rsidRPr="009A1C8E">
        <w:t xml:space="preserve">In the financial year ending 30 June 2018, </w:t>
      </w:r>
      <w:r w:rsidR="00BE3963" w:rsidRPr="009A1C8E">
        <w:t>the majority of disability service providers made a surplus (</w:t>
      </w:r>
      <w:r w:rsidR="00CE6E6C" w:rsidRPr="009A1C8E">
        <w:t>46% of Victorian and 48% of national respondents).</w:t>
      </w:r>
      <w:r w:rsidR="00897D01" w:rsidRPr="009A1C8E">
        <w:t xml:space="preserve"> </w:t>
      </w:r>
      <w:r w:rsidR="00B4055C" w:rsidRPr="009A1C8E">
        <w:t>In Victoria,</w:t>
      </w:r>
      <w:r w:rsidR="004C30BD" w:rsidRPr="009A1C8E">
        <w:t xml:space="preserve"> </w:t>
      </w:r>
      <w:bookmarkStart w:id="38" w:name="OLE_LINK2"/>
      <w:r w:rsidR="004C30BD" w:rsidRPr="009A1C8E">
        <w:t>37% (n=10) of regional organisations made a los</w:t>
      </w:r>
      <w:bookmarkEnd w:id="38"/>
      <w:r w:rsidR="004C30BD" w:rsidRPr="009A1C8E">
        <w:t xml:space="preserve">s compared </w:t>
      </w:r>
      <w:r w:rsidR="00711B33" w:rsidRPr="009A1C8E">
        <w:t xml:space="preserve">with </w:t>
      </w:r>
      <w:r w:rsidR="004C30BD" w:rsidRPr="009A1C8E">
        <w:t xml:space="preserve">25% of metro (n=8) and 24% of </w:t>
      </w:r>
      <w:r w:rsidR="00FA3490" w:rsidRPr="009A1C8E">
        <w:t>state</w:t>
      </w:r>
      <w:r w:rsidR="00702E40" w:rsidRPr="009A1C8E">
        <w:t>-</w:t>
      </w:r>
      <w:r w:rsidR="00FA3490" w:rsidRPr="009A1C8E">
        <w:t xml:space="preserve">wide </w:t>
      </w:r>
      <w:r w:rsidR="004C30BD" w:rsidRPr="009A1C8E">
        <w:t xml:space="preserve">(n=5) respondents. </w:t>
      </w:r>
      <w:r w:rsidR="00B4055C" w:rsidRPr="009A1C8E">
        <w:t xml:space="preserve">State-wide organisations predominately </w:t>
      </w:r>
      <w:r w:rsidR="00BC5593" w:rsidRPr="009A1C8E">
        <w:t>made</w:t>
      </w:r>
      <w:r w:rsidR="004C30BD" w:rsidRPr="009A1C8E">
        <w:t xml:space="preserve"> </w:t>
      </w:r>
      <w:r w:rsidR="00885658" w:rsidRPr="009A1C8E">
        <w:t xml:space="preserve">a </w:t>
      </w:r>
      <w:r w:rsidR="004C30BD" w:rsidRPr="009A1C8E">
        <w:t>profit</w:t>
      </w:r>
      <w:r w:rsidR="00885658" w:rsidRPr="009A1C8E">
        <w:t xml:space="preserve"> (n=12, 57%), </w:t>
      </w:r>
      <w:r w:rsidR="00B4055C" w:rsidRPr="009A1C8E">
        <w:t>compared to</w:t>
      </w:r>
      <w:r w:rsidR="00A90545" w:rsidRPr="009A1C8E">
        <w:t xml:space="preserve"> just under half</w:t>
      </w:r>
      <w:r w:rsidR="00B4055C" w:rsidRPr="009A1C8E">
        <w:t xml:space="preserve"> of</w:t>
      </w:r>
      <w:r w:rsidR="00A90545" w:rsidRPr="009A1C8E">
        <w:t xml:space="preserve"> metro (n=13, 41%) and regional (n=</w:t>
      </w:r>
      <w:r w:rsidR="00A944E4" w:rsidRPr="009A1C8E">
        <w:t>11, 41%)</w:t>
      </w:r>
      <w:r w:rsidR="00A90545" w:rsidRPr="009A1C8E">
        <w:t xml:space="preserve"> respondents. </w:t>
      </w:r>
      <w:r w:rsidR="00FA3490" w:rsidRPr="009A1C8E">
        <w:t>Almost as many regional organisations made a loss as made a profit.</w:t>
      </w:r>
    </w:p>
    <w:p w:rsidR="006B080B" w:rsidRPr="009A1C8E" w:rsidRDefault="008C5226" w:rsidP="00A14F68">
      <w:pPr>
        <w:spacing w:before="120" w:after="120" w:line="276" w:lineRule="auto"/>
      </w:pPr>
      <w:r w:rsidRPr="009A1C8E">
        <w:t xml:space="preserve">AMS respondents were asked to </w:t>
      </w:r>
      <w:r w:rsidR="0097621A" w:rsidRPr="009A1C8E">
        <w:t xml:space="preserve">report their </w:t>
      </w:r>
      <w:r w:rsidR="0097621A" w:rsidRPr="009A1C8E">
        <w:rPr>
          <w:color w:val="000000" w:themeColor="text1"/>
        </w:rPr>
        <w:t>profit</w:t>
      </w:r>
      <w:r w:rsidR="003B7C90" w:rsidRPr="009A1C8E">
        <w:rPr>
          <w:color w:val="000000" w:themeColor="text1"/>
        </w:rPr>
        <w:t xml:space="preserve"> or </w:t>
      </w:r>
      <w:r w:rsidR="0097621A" w:rsidRPr="009A1C8E">
        <w:rPr>
          <w:color w:val="000000" w:themeColor="text1"/>
        </w:rPr>
        <w:t>loss margin</w:t>
      </w:r>
      <w:r w:rsidR="00B4055C" w:rsidRPr="009A1C8E">
        <w:rPr>
          <w:color w:val="000000" w:themeColor="text1"/>
        </w:rPr>
        <w:t xml:space="preserve"> (Victorian analysis is presented in </w:t>
      </w:r>
      <w:r w:rsidR="0013791B" w:rsidRPr="009A1C8E">
        <w:rPr>
          <w:color w:val="000000" w:themeColor="text1"/>
        </w:rPr>
        <w:t>a</w:t>
      </w:r>
      <w:r w:rsidR="00B4055C" w:rsidRPr="009A1C8E">
        <w:rPr>
          <w:color w:val="000000" w:themeColor="text1"/>
        </w:rPr>
        <w:t xml:space="preserve">ppendix </w:t>
      </w:r>
      <w:r w:rsidR="0013791B" w:rsidRPr="009A1C8E">
        <w:rPr>
          <w:color w:val="000000" w:themeColor="text1"/>
        </w:rPr>
        <w:t>2B</w:t>
      </w:r>
      <w:r w:rsidR="00B4055C" w:rsidRPr="009A1C8E">
        <w:rPr>
          <w:color w:val="000000" w:themeColor="text1"/>
        </w:rPr>
        <w:t>)</w:t>
      </w:r>
      <w:r w:rsidR="0097621A" w:rsidRPr="009A1C8E">
        <w:t xml:space="preserve">. </w:t>
      </w:r>
      <w:r w:rsidR="003C1BD7" w:rsidRPr="009A1C8E">
        <w:t>While it appear</w:t>
      </w:r>
      <w:r w:rsidR="00B4055C" w:rsidRPr="009A1C8E">
        <w:t>s</w:t>
      </w:r>
      <w:r w:rsidR="003C1BD7" w:rsidRPr="009A1C8E">
        <w:t xml:space="preserve"> most Victorian organisations </w:t>
      </w:r>
      <w:r w:rsidR="00B4055C" w:rsidRPr="009A1C8E">
        <w:t>made</w:t>
      </w:r>
      <w:r w:rsidR="003C1BD7" w:rsidRPr="009A1C8E">
        <w:t xml:space="preserve"> a profit last financial year, profits </w:t>
      </w:r>
      <w:r w:rsidR="00477310" w:rsidRPr="009A1C8E">
        <w:t>were larger among metro organisations, with 38% (n=</w:t>
      </w:r>
      <w:r w:rsidR="00C74D8E" w:rsidRPr="009A1C8E">
        <w:t>8</w:t>
      </w:r>
      <w:r w:rsidR="00477310" w:rsidRPr="009A1C8E">
        <w:t xml:space="preserve">) stating they made a profit of greater than </w:t>
      </w:r>
      <w:r w:rsidR="00F54022" w:rsidRPr="009A1C8E">
        <w:t>5</w:t>
      </w:r>
      <w:r w:rsidR="00477310" w:rsidRPr="009A1C8E">
        <w:t xml:space="preserve">%. </w:t>
      </w:r>
      <w:r w:rsidR="00711B33" w:rsidRPr="009A1C8E">
        <w:t>P</w:t>
      </w:r>
      <w:r w:rsidR="0035562F" w:rsidRPr="009A1C8E">
        <w:t>rofit</w:t>
      </w:r>
      <w:r w:rsidR="00711B33" w:rsidRPr="009A1C8E">
        <w:t>s</w:t>
      </w:r>
      <w:r w:rsidR="0035562F" w:rsidRPr="009A1C8E">
        <w:t xml:space="preserve"> of this extent</w:t>
      </w:r>
      <w:r w:rsidR="00C6263A" w:rsidRPr="009A1C8E">
        <w:t xml:space="preserve"> </w:t>
      </w:r>
      <w:r w:rsidR="00711B33" w:rsidRPr="009A1C8E">
        <w:t xml:space="preserve">were </w:t>
      </w:r>
      <w:r w:rsidR="00C6263A" w:rsidRPr="009A1C8E">
        <w:t xml:space="preserve">only </w:t>
      </w:r>
      <w:r w:rsidR="00711B33" w:rsidRPr="009A1C8E">
        <w:t xml:space="preserve">reported by </w:t>
      </w:r>
      <w:r w:rsidR="00C6263A" w:rsidRPr="009A1C8E">
        <w:t>20%</w:t>
      </w:r>
      <w:r w:rsidR="00C74D8E" w:rsidRPr="009A1C8E">
        <w:t xml:space="preserve"> (n=4)</w:t>
      </w:r>
      <w:r w:rsidR="00C6263A" w:rsidRPr="009A1C8E">
        <w:t xml:space="preserve"> of regional respondents and 1</w:t>
      </w:r>
      <w:r w:rsidR="00913736" w:rsidRPr="009A1C8E">
        <w:t>3</w:t>
      </w:r>
      <w:r w:rsidR="00C6263A" w:rsidRPr="009A1C8E">
        <w:t>%</w:t>
      </w:r>
      <w:r w:rsidR="00C74D8E" w:rsidRPr="009A1C8E">
        <w:t xml:space="preserve"> (n=2)</w:t>
      </w:r>
      <w:r w:rsidR="00C6263A" w:rsidRPr="009A1C8E">
        <w:t xml:space="preserve"> of state</w:t>
      </w:r>
      <w:r w:rsidR="00B439E0" w:rsidRPr="009A1C8E">
        <w:noBreakHyphen/>
      </w:r>
      <w:r w:rsidR="00C6263A" w:rsidRPr="009A1C8E">
        <w:t>wide organisations.</w:t>
      </w:r>
      <w:r w:rsidR="00711B33" w:rsidRPr="009A1C8E">
        <w:t xml:space="preserve"> However, a considerable proportion of metro respondents </w:t>
      </w:r>
      <w:r w:rsidR="0027064F" w:rsidRPr="009A1C8E">
        <w:t xml:space="preserve">(n=5, 24%) </w:t>
      </w:r>
      <w:r w:rsidR="00711B33" w:rsidRPr="009A1C8E">
        <w:t xml:space="preserve">also reported </w:t>
      </w:r>
      <w:r w:rsidR="008A0FBA" w:rsidRPr="009A1C8E">
        <w:t xml:space="preserve">a loss </w:t>
      </w:r>
      <w:r w:rsidR="00711B33" w:rsidRPr="009A1C8E">
        <w:t xml:space="preserve">of </w:t>
      </w:r>
      <w:r w:rsidR="00C310A9" w:rsidRPr="009A1C8E">
        <w:t>1-5%</w:t>
      </w:r>
      <w:r w:rsidR="0027064F" w:rsidRPr="009A1C8E">
        <w:t xml:space="preserve">, and </w:t>
      </w:r>
      <w:r w:rsidR="00E24A08" w:rsidRPr="009A1C8E">
        <w:t>approximately</w:t>
      </w:r>
      <w:r w:rsidR="0027064F" w:rsidRPr="009A1C8E">
        <w:t xml:space="preserve"> 15% (n=3) </w:t>
      </w:r>
      <w:r w:rsidR="00C04BE9" w:rsidRPr="009A1C8E">
        <w:t>made</w:t>
      </w:r>
      <w:r w:rsidR="0027064F" w:rsidRPr="009A1C8E">
        <w:t xml:space="preserve"> a loss greater than 5%.</w:t>
      </w:r>
    </w:p>
    <w:p w:rsidR="2DDBF7DD" w:rsidRPr="009A1C8E" w:rsidRDefault="00770047" w:rsidP="00830706">
      <w:pPr>
        <w:pStyle w:val="Heading3"/>
      </w:pPr>
      <w:r w:rsidRPr="009A1C8E">
        <w:t>3</w:t>
      </w:r>
      <w:r w:rsidR="00E86E44" w:rsidRPr="009A1C8E">
        <w:t xml:space="preserve">.2.2 </w:t>
      </w:r>
      <w:r w:rsidR="00711B33" w:rsidRPr="009A1C8E">
        <w:t xml:space="preserve">Anticipated </w:t>
      </w:r>
      <w:r w:rsidR="00EA2725" w:rsidRPr="009A1C8E">
        <w:t>2019 P&amp;L results</w:t>
      </w:r>
    </w:p>
    <w:p w:rsidR="004B5E27" w:rsidRPr="009A1C8E" w:rsidRDefault="002962B0" w:rsidP="00A14F68">
      <w:pPr>
        <w:spacing w:before="120" w:after="120" w:line="276" w:lineRule="auto"/>
      </w:pPr>
      <w:r w:rsidRPr="009A1C8E">
        <w:t xml:space="preserve">AMS respondents </w:t>
      </w:r>
      <w:r w:rsidR="000D2D11" w:rsidRPr="009A1C8E">
        <w:t xml:space="preserve">also indicated their </w:t>
      </w:r>
      <w:r w:rsidR="000917AE" w:rsidRPr="009A1C8E">
        <w:t xml:space="preserve">expected P&amp;L results for </w:t>
      </w:r>
      <w:r w:rsidR="1115C98A" w:rsidRPr="009A1C8E">
        <w:t>the financial year ending 30 June 2019</w:t>
      </w:r>
      <w:r w:rsidR="006014BC" w:rsidRPr="009A1C8E">
        <w:t xml:space="preserve"> (appendix 2C)</w:t>
      </w:r>
      <w:r w:rsidR="1115C98A" w:rsidRPr="009A1C8E">
        <w:t>. Forty-three percent of Victorian organisations expect to make a profit on their disability services</w:t>
      </w:r>
      <w:r w:rsidR="009B7C45" w:rsidRPr="009A1C8E">
        <w:t>,</w:t>
      </w:r>
      <w:r w:rsidR="1115C98A" w:rsidRPr="009A1C8E">
        <w:t xml:space="preserve"> 3% less than those who made a profit last year. </w:t>
      </w:r>
      <w:r w:rsidR="0053532B" w:rsidRPr="009A1C8E">
        <w:t>A</w:t>
      </w:r>
      <w:r w:rsidR="1115C98A" w:rsidRPr="009A1C8E">
        <w:t xml:space="preserve"> greater proportion of regional organisations expect a loss (n=7, 32%) compared </w:t>
      </w:r>
      <w:r w:rsidR="1115C98A" w:rsidRPr="009A1C8E">
        <w:lastRenderedPageBreak/>
        <w:t xml:space="preserve">to state-wide (n=3, 17%) and metro organisations (n=4, 14%). </w:t>
      </w:r>
      <w:r w:rsidRPr="009A1C8E">
        <w:t>Just 32% (n=7) of regional organisations expect to make a surplus, compared to</w:t>
      </w:r>
      <w:r w:rsidR="1115C98A" w:rsidRPr="009A1C8E">
        <w:t xml:space="preserve"> half (n=14) of the metro respondents and 44% (n=8) of state</w:t>
      </w:r>
      <w:r w:rsidR="00291EA7" w:rsidRPr="009A1C8E">
        <w:noBreakHyphen/>
      </w:r>
      <w:r w:rsidR="1115C98A" w:rsidRPr="009A1C8E">
        <w:t>wide organisations.</w:t>
      </w:r>
    </w:p>
    <w:p w:rsidR="00A846C1" w:rsidRPr="009A1C8E" w:rsidRDefault="002962B0" w:rsidP="00A14F68">
      <w:pPr>
        <w:spacing w:before="120" w:after="120" w:line="276" w:lineRule="auto"/>
      </w:pPr>
      <w:r w:rsidRPr="009A1C8E">
        <w:t>P</w:t>
      </w:r>
      <w:r w:rsidR="005410A4" w:rsidRPr="009A1C8E">
        <w:t xml:space="preserve">rojected margins were </w:t>
      </w:r>
      <w:r w:rsidRPr="009A1C8E">
        <w:t xml:space="preserve">also </w:t>
      </w:r>
      <w:r w:rsidR="007577FF" w:rsidRPr="009A1C8E">
        <w:t>analysed</w:t>
      </w:r>
      <w:r w:rsidR="005410A4" w:rsidRPr="009A1C8E">
        <w:t xml:space="preserve"> (</w:t>
      </w:r>
      <w:r w:rsidR="00ED4C0B" w:rsidRPr="009A1C8E">
        <w:t>a</w:t>
      </w:r>
      <w:r w:rsidR="00E150F9" w:rsidRPr="009A1C8E">
        <w:t xml:space="preserve">ppendix </w:t>
      </w:r>
      <w:r w:rsidR="00ED4C0B" w:rsidRPr="009A1C8E">
        <w:t>2D</w:t>
      </w:r>
      <w:r w:rsidR="005410A4" w:rsidRPr="009A1C8E">
        <w:t>)</w:t>
      </w:r>
      <w:r w:rsidRPr="009A1C8E">
        <w:t>. Notwithstanding</w:t>
      </w:r>
      <w:r w:rsidR="009F25AF" w:rsidRPr="009A1C8E">
        <w:t xml:space="preserve"> the</w:t>
      </w:r>
      <w:r w:rsidRPr="009A1C8E">
        <w:t xml:space="preserve"> low response numbers,</w:t>
      </w:r>
      <w:r w:rsidR="005410A4" w:rsidRPr="009A1C8E">
        <w:t xml:space="preserve"> </w:t>
      </w:r>
      <w:r w:rsidRPr="009A1C8E">
        <w:t>i</w:t>
      </w:r>
      <w:r w:rsidR="005410A4" w:rsidRPr="009A1C8E">
        <w:t xml:space="preserve">t is noteworthy that </w:t>
      </w:r>
      <w:r w:rsidRPr="009A1C8E">
        <w:t xml:space="preserve">metro organisations are expecting </w:t>
      </w:r>
      <w:r w:rsidR="005410A4" w:rsidRPr="009A1C8E">
        <w:t xml:space="preserve">larger profits </w:t>
      </w:r>
      <w:r w:rsidRPr="009A1C8E">
        <w:t xml:space="preserve">than </w:t>
      </w:r>
      <w:r w:rsidR="002A4182" w:rsidRPr="009A1C8E">
        <w:t xml:space="preserve">regional and state-wide respondents. </w:t>
      </w:r>
      <w:r w:rsidR="00010551" w:rsidRPr="009A1C8E">
        <w:t xml:space="preserve">Regional providers </w:t>
      </w:r>
      <w:r w:rsidR="00C5767B" w:rsidRPr="009A1C8E">
        <w:t>expect to make profits, losses</w:t>
      </w:r>
      <w:r w:rsidRPr="009A1C8E">
        <w:t xml:space="preserve"> and break-even in equal proportions, and they </w:t>
      </w:r>
      <w:r w:rsidR="00010551" w:rsidRPr="009A1C8E">
        <w:t xml:space="preserve">are </w:t>
      </w:r>
      <w:r w:rsidRPr="009A1C8E">
        <w:t xml:space="preserve">also </w:t>
      </w:r>
      <w:r w:rsidR="00010551" w:rsidRPr="009A1C8E">
        <w:t xml:space="preserve">around twice </w:t>
      </w:r>
      <w:proofErr w:type="gramStart"/>
      <w:r w:rsidR="00010551" w:rsidRPr="009A1C8E">
        <w:t>as likely to expect a loss than</w:t>
      </w:r>
      <w:proofErr w:type="gramEnd"/>
      <w:r w:rsidR="00010551" w:rsidRPr="009A1C8E">
        <w:t xml:space="preserve"> </w:t>
      </w:r>
      <w:r w:rsidRPr="009A1C8E">
        <w:t xml:space="preserve">their </w:t>
      </w:r>
      <w:r w:rsidR="00010551" w:rsidRPr="009A1C8E">
        <w:t xml:space="preserve">metro and state-wide </w:t>
      </w:r>
      <w:r w:rsidRPr="009A1C8E">
        <w:t>counterparts</w:t>
      </w:r>
      <w:r w:rsidR="00010551" w:rsidRPr="009A1C8E">
        <w:t>.</w:t>
      </w:r>
    </w:p>
    <w:p w:rsidR="2DDBF7DD" w:rsidRPr="009A1C8E" w:rsidRDefault="00770047" w:rsidP="00830706">
      <w:pPr>
        <w:pStyle w:val="Heading3"/>
      </w:pPr>
      <w:r w:rsidRPr="009A1C8E">
        <w:t>3</w:t>
      </w:r>
      <w:r w:rsidR="00E86E44" w:rsidRPr="009A1C8E">
        <w:t xml:space="preserve">.2.3 </w:t>
      </w:r>
      <w:r w:rsidR="2DDBF7DD" w:rsidRPr="009A1C8E">
        <w:t>Financial resources</w:t>
      </w:r>
    </w:p>
    <w:p w:rsidR="00FE2021" w:rsidRPr="009A1C8E" w:rsidRDefault="00FE2021" w:rsidP="00A14F68">
      <w:pPr>
        <w:spacing w:before="120" w:after="120" w:line="276" w:lineRule="auto"/>
      </w:pPr>
      <w:r w:rsidRPr="009A1C8E">
        <w:t>AMS respondents were asked</w:t>
      </w:r>
      <w:r w:rsidR="00FB046E" w:rsidRPr="009A1C8E">
        <w:t xml:space="preserve"> </w:t>
      </w:r>
      <w:r w:rsidR="00662287" w:rsidRPr="009A1C8E">
        <w:t xml:space="preserve">whether they expect their financial resources </w:t>
      </w:r>
      <w:r w:rsidR="00E51800" w:rsidRPr="009A1C8E">
        <w:t xml:space="preserve">in the </w:t>
      </w:r>
      <w:r w:rsidR="00017A25" w:rsidRPr="009A1C8E">
        <w:t xml:space="preserve">following </w:t>
      </w:r>
      <w:r w:rsidR="00E51800" w:rsidRPr="009A1C8E">
        <w:t>categories to change</w:t>
      </w:r>
      <w:r w:rsidR="00E144DC" w:rsidRPr="009A1C8E">
        <w:t xml:space="preserve"> in </w:t>
      </w:r>
      <w:r w:rsidR="00065828" w:rsidRPr="009A1C8E">
        <w:t>the</w:t>
      </w:r>
      <w:r w:rsidR="00E144DC" w:rsidRPr="009A1C8E">
        <w:t xml:space="preserve"> 201</w:t>
      </w:r>
      <w:r w:rsidR="003E2D54" w:rsidRPr="009A1C8E">
        <w:t>8</w:t>
      </w:r>
      <w:r w:rsidR="00E144DC" w:rsidRPr="009A1C8E">
        <w:t>/</w:t>
      </w:r>
      <w:r w:rsidR="003E2D54" w:rsidRPr="009A1C8E">
        <w:t>19</w:t>
      </w:r>
      <w:r w:rsidR="00065828" w:rsidRPr="009A1C8E">
        <w:t xml:space="preserve"> financial year</w:t>
      </w:r>
      <w:r w:rsidR="00E51800" w:rsidRPr="009A1C8E">
        <w:t>:</w:t>
      </w:r>
    </w:p>
    <w:p w:rsidR="003E2D3A" w:rsidRPr="009A1C8E" w:rsidRDefault="003E2D3A" w:rsidP="00A14F68">
      <w:pPr>
        <w:pStyle w:val="ListParagraph"/>
        <w:numPr>
          <w:ilvl w:val="0"/>
          <w:numId w:val="1"/>
        </w:numPr>
        <w:spacing w:before="120" w:after="120" w:line="276" w:lineRule="auto"/>
      </w:pPr>
      <w:r w:rsidRPr="009A1C8E">
        <w:t>Financial reserves</w:t>
      </w:r>
      <w:r w:rsidR="00065828" w:rsidRPr="009A1C8E">
        <w:t>;</w:t>
      </w:r>
    </w:p>
    <w:p w:rsidR="003E2D3A" w:rsidRPr="009A1C8E" w:rsidRDefault="003E2D3A" w:rsidP="00A14F68">
      <w:pPr>
        <w:pStyle w:val="ListParagraph"/>
        <w:numPr>
          <w:ilvl w:val="0"/>
          <w:numId w:val="1"/>
        </w:numPr>
        <w:spacing w:before="120" w:after="120" w:line="276" w:lineRule="auto"/>
      </w:pPr>
      <w:r w:rsidRPr="009A1C8E">
        <w:t>Working capital (cash or liquid assets essential to day-to</w:t>
      </w:r>
      <w:r w:rsidR="00790B59" w:rsidRPr="009A1C8E">
        <w:t>-</w:t>
      </w:r>
      <w:r w:rsidRPr="009A1C8E">
        <w:t>day operations)</w:t>
      </w:r>
      <w:r w:rsidR="00065828" w:rsidRPr="009A1C8E">
        <w:t>;</w:t>
      </w:r>
    </w:p>
    <w:p w:rsidR="003E2D3A" w:rsidRPr="009A1C8E" w:rsidRDefault="00662287" w:rsidP="00A14F68">
      <w:pPr>
        <w:pStyle w:val="ListParagraph"/>
        <w:numPr>
          <w:ilvl w:val="0"/>
          <w:numId w:val="1"/>
        </w:numPr>
        <w:spacing w:before="120" w:after="120" w:line="276" w:lineRule="auto"/>
      </w:pPr>
      <w:r w:rsidRPr="009A1C8E">
        <w:t>Borrowings to fund working capital</w:t>
      </w:r>
      <w:r w:rsidR="00065828" w:rsidRPr="009A1C8E">
        <w:t>;</w:t>
      </w:r>
      <w:r w:rsidR="000917AE" w:rsidRPr="009A1C8E">
        <w:t xml:space="preserve"> and</w:t>
      </w:r>
    </w:p>
    <w:p w:rsidR="00E51800" w:rsidRPr="009A1C8E" w:rsidRDefault="003E2D3A" w:rsidP="00A14F68">
      <w:pPr>
        <w:pStyle w:val="ListParagraph"/>
        <w:numPr>
          <w:ilvl w:val="0"/>
          <w:numId w:val="1"/>
        </w:numPr>
        <w:spacing w:before="120" w:after="120" w:line="276" w:lineRule="auto"/>
      </w:pPr>
      <w:r w:rsidRPr="009A1C8E">
        <w:t>Borrowings to acquire or build assets</w:t>
      </w:r>
      <w:r w:rsidR="00065828" w:rsidRPr="009A1C8E">
        <w:t>.</w:t>
      </w:r>
    </w:p>
    <w:p w:rsidR="2DDBF7DD" w:rsidRPr="00390DBE" w:rsidRDefault="00781B55" w:rsidP="00C70B19">
      <w:pPr>
        <w:pStyle w:val="Heading4"/>
      </w:pPr>
      <w:r w:rsidRPr="00390DBE">
        <w:t xml:space="preserve">3.2.3.1 </w:t>
      </w:r>
      <w:r w:rsidR="2DDBF7DD" w:rsidRPr="00390DBE">
        <w:t>Financial reserves</w:t>
      </w:r>
    </w:p>
    <w:p w:rsidR="00EA0EB6" w:rsidRPr="009A1C8E" w:rsidRDefault="00B24F77" w:rsidP="00A14F68">
      <w:pPr>
        <w:spacing w:before="120" w:after="120" w:line="276" w:lineRule="auto"/>
      </w:pPr>
      <w:r w:rsidRPr="009A1C8E">
        <w:t>T</w:t>
      </w:r>
      <w:r w:rsidR="00D91867" w:rsidRPr="009A1C8E">
        <w:t xml:space="preserve">he majority of </w:t>
      </w:r>
      <w:r w:rsidRPr="009A1C8E">
        <w:t xml:space="preserve">Victorian </w:t>
      </w:r>
      <w:r w:rsidR="00D91867" w:rsidRPr="009A1C8E">
        <w:t>organisations</w:t>
      </w:r>
      <w:r w:rsidR="00FB6870" w:rsidRPr="009A1C8E">
        <w:t xml:space="preserve"> </w:t>
      </w:r>
      <w:r w:rsidR="00D91867" w:rsidRPr="009A1C8E">
        <w:t xml:space="preserve">expect </w:t>
      </w:r>
      <w:r w:rsidRPr="009A1C8E">
        <w:t xml:space="preserve">financial reserves to </w:t>
      </w:r>
      <w:r w:rsidR="00D91867" w:rsidRPr="009A1C8E">
        <w:t>increase 1-5% (n=</w:t>
      </w:r>
      <w:r w:rsidR="00DC4BD1" w:rsidRPr="009A1C8E">
        <w:t xml:space="preserve">12). </w:t>
      </w:r>
      <w:r w:rsidR="00FF0B7E" w:rsidRPr="009A1C8E">
        <w:t xml:space="preserve">However, as shown in </w:t>
      </w:r>
      <w:r w:rsidR="00325B32" w:rsidRPr="009A1C8E">
        <w:t>a</w:t>
      </w:r>
      <w:r w:rsidR="00FF0B7E" w:rsidRPr="009A1C8E">
        <w:t>ppendix</w:t>
      </w:r>
      <w:r w:rsidR="00325B32" w:rsidRPr="009A1C8E">
        <w:t xml:space="preserve"> 2E</w:t>
      </w:r>
      <w:r w:rsidR="00FF0B7E" w:rsidRPr="009A1C8E">
        <w:t>, the spread of responses is vast</w:t>
      </w:r>
      <w:r w:rsidR="00EA0EB6" w:rsidRPr="009A1C8E">
        <w:t>.</w:t>
      </w:r>
      <w:r w:rsidR="006632B5" w:rsidRPr="009A1C8E">
        <w:t xml:space="preserve"> </w:t>
      </w:r>
      <w:r w:rsidR="00225C8A" w:rsidRPr="009A1C8E">
        <w:t>It appears that regional organisations are</w:t>
      </w:r>
      <w:r w:rsidR="006632B5" w:rsidRPr="009A1C8E">
        <w:t xml:space="preserve"> </w:t>
      </w:r>
      <w:r w:rsidR="00225C8A" w:rsidRPr="009A1C8E">
        <w:t>less likely to</w:t>
      </w:r>
      <w:r w:rsidR="000D410A" w:rsidRPr="009A1C8E">
        <w:t xml:space="preserve"> expect</w:t>
      </w:r>
      <w:r w:rsidR="00225C8A" w:rsidRPr="009A1C8E">
        <w:t xml:space="preserve"> increase</w:t>
      </w:r>
      <w:r w:rsidR="000D410A" w:rsidRPr="009A1C8E">
        <w:t>d</w:t>
      </w:r>
      <w:r w:rsidR="00225C8A" w:rsidRPr="009A1C8E">
        <w:t xml:space="preserve"> reserves th</w:t>
      </w:r>
      <w:r w:rsidR="00EA54E4" w:rsidRPr="009A1C8E">
        <w:t>an metro organisations</w:t>
      </w:r>
      <w:r w:rsidR="006632B5" w:rsidRPr="009A1C8E">
        <w:t>,</w:t>
      </w:r>
      <w:r w:rsidR="00EA54E4" w:rsidRPr="009A1C8E">
        <w:t xml:space="preserve"> and where they do </w:t>
      </w:r>
      <w:r w:rsidR="006632B5" w:rsidRPr="009A1C8E">
        <w:t xml:space="preserve">expect to </w:t>
      </w:r>
      <w:r w:rsidR="00EA54E4" w:rsidRPr="009A1C8E">
        <w:t>increase, it is by a lot less</w:t>
      </w:r>
      <w:r w:rsidR="006632B5" w:rsidRPr="009A1C8E">
        <w:t>. Furthermore</w:t>
      </w:r>
      <w:r w:rsidR="00F31193" w:rsidRPr="009A1C8E">
        <w:t>,</w:t>
      </w:r>
      <w:r w:rsidR="006632B5" w:rsidRPr="009A1C8E">
        <w:t xml:space="preserve"> regional organisations </w:t>
      </w:r>
      <w:r w:rsidR="00F31193" w:rsidRPr="009A1C8E">
        <w:t xml:space="preserve">are </w:t>
      </w:r>
      <w:r w:rsidR="00EA54E4" w:rsidRPr="009A1C8E">
        <w:t xml:space="preserve">more likely to </w:t>
      </w:r>
      <w:r w:rsidR="006632B5" w:rsidRPr="009A1C8E">
        <w:t xml:space="preserve">expect </w:t>
      </w:r>
      <w:r w:rsidR="00F31193" w:rsidRPr="009A1C8E">
        <w:t xml:space="preserve">their </w:t>
      </w:r>
      <w:r w:rsidR="00EA54E4" w:rsidRPr="009A1C8E">
        <w:t xml:space="preserve">reserves </w:t>
      </w:r>
      <w:r w:rsidR="006632B5" w:rsidRPr="009A1C8E">
        <w:t xml:space="preserve">to reduce, </w:t>
      </w:r>
      <w:r w:rsidR="00EA54E4" w:rsidRPr="009A1C8E">
        <w:t>and by more.</w:t>
      </w:r>
      <w:r w:rsidR="006F02E9" w:rsidRPr="009A1C8E">
        <w:t xml:space="preserve"> </w:t>
      </w:r>
      <w:r w:rsidR="00983504" w:rsidRPr="009A1C8E">
        <w:t>F</w:t>
      </w:r>
      <w:r w:rsidR="0078737F" w:rsidRPr="009A1C8E">
        <w:t>i</w:t>
      </w:r>
      <w:r w:rsidR="00983504" w:rsidRPr="009A1C8E">
        <w:t>fty-six percent (n=</w:t>
      </w:r>
      <w:r w:rsidR="00AC20E2" w:rsidRPr="009A1C8E">
        <w:t>9)</w:t>
      </w:r>
      <w:r w:rsidR="00983504" w:rsidRPr="009A1C8E">
        <w:t xml:space="preserve"> of regional respondents </w:t>
      </w:r>
      <w:r w:rsidR="00AC20E2" w:rsidRPr="009A1C8E">
        <w:t xml:space="preserve">expect a negative change, compared to </w:t>
      </w:r>
      <w:r w:rsidR="0078737F" w:rsidRPr="009A1C8E">
        <w:t>47% (n=7) of state-wide and 38% (n=8) of metro organisations.</w:t>
      </w:r>
      <w:r w:rsidR="00774E05" w:rsidRPr="009A1C8E">
        <w:t xml:space="preserve"> </w:t>
      </w:r>
      <w:r w:rsidR="002D1E4E" w:rsidRPr="009A1C8E">
        <w:t>A positive change was more commonly expected by metro organisations</w:t>
      </w:r>
      <w:r w:rsidR="00540373" w:rsidRPr="009A1C8E">
        <w:t xml:space="preserve"> (n=13</w:t>
      </w:r>
      <w:r w:rsidR="002D1E4E" w:rsidRPr="009A1C8E">
        <w:t>, 62%</w:t>
      </w:r>
      <w:r w:rsidR="00540373" w:rsidRPr="009A1C8E">
        <w:t xml:space="preserve">) than state-wide </w:t>
      </w:r>
      <w:r w:rsidR="00BE4217" w:rsidRPr="009A1C8E">
        <w:t>(n=7, 47%) and regional (n=7, 44%) respondents.</w:t>
      </w:r>
    </w:p>
    <w:p w:rsidR="2DDBF7DD" w:rsidRPr="009A1C8E" w:rsidRDefault="00781B55" w:rsidP="00C70B19">
      <w:pPr>
        <w:pStyle w:val="Heading4"/>
      </w:pPr>
      <w:r w:rsidRPr="009A1C8E">
        <w:t xml:space="preserve">3.2.3.2 </w:t>
      </w:r>
      <w:r w:rsidR="2DDBF7DD" w:rsidRPr="009A1C8E">
        <w:t>Working capital</w:t>
      </w:r>
    </w:p>
    <w:p w:rsidR="00620AC2" w:rsidRPr="009A1C8E" w:rsidRDefault="00C67982" w:rsidP="00A14F68">
      <w:pPr>
        <w:spacing w:before="120" w:after="120" w:line="276" w:lineRule="auto"/>
      </w:pPr>
      <w:r w:rsidRPr="009A1C8E">
        <w:t xml:space="preserve">In this current </w:t>
      </w:r>
      <w:r w:rsidR="00B162B8" w:rsidRPr="009A1C8E">
        <w:t xml:space="preserve">financial year, </w:t>
      </w:r>
      <w:r w:rsidR="00C82643" w:rsidRPr="009A1C8E">
        <w:t xml:space="preserve">the </w:t>
      </w:r>
      <w:r w:rsidR="00B162B8" w:rsidRPr="009A1C8E">
        <w:t xml:space="preserve">majority of </w:t>
      </w:r>
      <w:r w:rsidR="003407EF" w:rsidRPr="009A1C8E">
        <w:t xml:space="preserve">Victorian </w:t>
      </w:r>
      <w:r w:rsidR="00B162B8" w:rsidRPr="009A1C8E">
        <w:t xml:space="preserve">organisations expect either a slight increase </w:t>
      </w:r>
      <w:r w:rsidR="00F31193" w:rsidRPr="009A1C8E">
        <w:t xml:space="preserve">in their working capital </w:t>
      </w:r>
      <w:r w:rsidR="00B162B8" w:rsidRPr="009A1C8E">
        <w:t>(27%</w:t>
      </w:r>
      <w:r w:rsidR="00D238E5" w:rsidRPr="009A1C8E">
        <w:t>,</w:t>
      </w:r>
      <w:r w:rsidR="00B162B8" w:rsidRPr="009A1C8E">
        <w:t xml:space="preserve"> indicating </w:t>
      </w:r>
      <w:r w:rsidR="001C63A7" w:rsidRPr="009A1C8E">
        <w:t>a change of</w:t>
      </w:r>
      <w:r w:rsidR="00B162B8" w:rsidRPr="009A1C8E">
        <w:t xml:space="preserve"> 1</w:t>
      </w:r>
      <w:r w:rsidR="009977F2" w:rsidRPr="009A1C8E">
        <w:t>-</w:t>
      </w:r>
      <w:r w:rsidR="00B162B8" w:rsidRPr="009A1C8E">
        <w:t>5%</w:t>
      </w:r>
      <w:r w:rsidR="00816BD7" w:rsidRPr="009A1C8E">
        <w:t>) or</w:t>
      </w:r>
      <w:r w:rsidR="00B162B8" w:rsidRPr="009A1C8E">
        <w:t xml:space="preserve"> </w:t>
      </w:r>
      <w:r w:rsidR="00A84BED" w:rsidRPr="009A1C8E">
        <w:t xml:space="preserve">a slight </w:t>
      </w:r>
      <w:r w:rsidR="00D45AA9" w:rsidRPr="009A1C8E">
        <w:t>decrease (27%</w:t>
      </w:r>
      <w:r w:rsidR="00D238E5" w:rsidRPr="009A1C8E">
        <w:t>,</w:t>
      </w:r>
      <w:r w:rsidR="00D45AA9" w:rsidRPr="009A1C8E">
        <w:t xml:space="preserve"> </w:t>
      </w:r>
      <w:r w:rsidR="003A3487" w:rsidRPr="009A1C8E">
        <w:t>indicating</w:t>
      </w:r>
      <w:r w:rsidR="00D45AA9" w:rsidRPr="009A1C8E">
        <w:t xml:space="preserve"> </w:t>
      </w:r>
      <w:r w:rsidR="001C63A7" w:rsidRPr="009A1C8E">
        <w:t>a change of</w:t>
      </w:r>
      <w:r w:rsidR="003A3487" w:rsidRPr="009A1C8E">
        <w:t xml:space="preserve"> </w:t>
      </w:r>
      <w:r w:rsidR="00981647" w:rsidRPr="009A1C8E">
        <w:noBreakHyphen/>
      </w:r>
      <w:r w:rsidR="003A3487" w:rsidRPr="009A1C8E">
        <w:t>1</w:t>
      </w:r>
      <w:r w:rsidR="009977F2" w:rsidRPr="009A1C8E">
        <w:t xml:space="preserve"> to -</w:t>
      </w:r>
      <w:r w:rsidR="003A3487" w:rsidRPr="009A1C8E">
        <w:t>10%</w:t>
      </w:r>
      <w:r w:rsidR="00A84BED" w:rsidRPr="009A1C8E">
        <w:t xml:space="preserve">) </w:t>
      </w:r>
      <w:r w:rsidR="003407EF" w:rsidRPr="009A1C8E">
        <w:t>(</w:t>
      </w:r>
      <w:proofErr w:type="gramStart"/>
      <w:r w:rsidR="00D7237E" w:rsidRPr="009A1C8E">
        <w:t>a</w:t>
      </w:r>
      <w:r w:rsidR="003407EF" w:rsidRPr="009A1C8E">
        <w:t>ppendix</w:t>
      </w:r>
      <w:proofErr w:type="gramEnd"/>
      <w:r w:rsidR="003407EF" w:rsidRPr="009A1C8E">
        <w:t xml:space="preserve"> </w:t>
      </w:r>
      <w:r w:rsidR="00D7237E" w:rsidRPr="009A1C8E">
        <w:t>2F</w:t>
      </w:r>
      <w:r w:rsidR="003407EF" w:rsidRPr="009A1C8E">
        <w:t>)</w:t>
      </w:r>
      <w:r w:rsidR="00273AB3" w:rsidRPr="009A1C8E">
        <w:t>.</w:t>
      </w:r>
    </w:p>
    <w:p w:rsidR="002263E9" w:rsidRPr="009A1C8E" w:rsidRDefault="00273AB3" w:rsidP="00A14F68">
      <w:pPr>
        <w:spacing w:before="120" w:after="120" w:line="276" w:lineRule="auto"/>
      </w:pPr>
      <w:r w:rsidRPr="009A1C8E">
        <w:t xml:space="preserve">Metro </w:t>
      </w:r>
      <w:r w:rsidR="00336B28" w:rsidRPr="009A1C8E">
        <w:t xml:space="preserve">and state-wide </w:t>
      </w:r>
      <w:r w:rsidR="00C038A3" w:rsidRPr="009A1C8E">
        <w:t xml:space="preserve">organisations </w:t>
      </w:r>
      <w:r w:rsidR="00B94656" w:rsidRPr="009A1C8E">
        <w:t xml:space="preserve">appear more likely than regional </w:t>
      </w:r>
      <w:r w:rsidR="00C038A3" w:rsidRPr="009A1C8E">
        <w:t xml:space="preserve">organisations </w:t>
      </w:r>
      <w:r w:rsidR="00B94656" w:rsidRPr="009A1C8E">
        <w:t>to increase their working</w:t>
      </w:r>
      <w:r w:rsidR="00336B28" w:rsidRPr="009A1C8E">
        <w:t xml:space="preserve"> capital</w:t>
      </w:r>
      <w:r w:rsidR="0044087E" w:rsidRPr="009A1C8E">
        <w:t xml:space="preserve"> (</w:t>
      </w:r>
      <w:r w:rsidR="00C41BD8" w:rsidRPr="009A1C8E">
        <w:t>state-wide: n=9, 64%; metro: n=12, 63%</w:t>
      </w:r>
      <w:r w:rsidR="00D238E5" w:rsidRPr="009A1C8E">
        <w:t>;</w:t>
      </w:r>
      <w:r w:rsidR="00C41BD8" w:rsidRPr="009A1C8E">
        <w:t xml:space="preserve"> regional: n=6, 40%). </w:t>
      </w:r>
      <w:r w:rsidR="0077701F" w:rsidRPr="009A1C8E">
        <w:t xml:space="preserve">Furthermore, a higher proportion of regional </w:t>
      </w:r>
      <w:r w:rsidR="00C038A3" w:rsidRPr="009A1C8E">
        <w:t>organisations</w:t>
      </w:r>
      <w:r w:rsidR="0077701F" w:rsidRPr="009A1C8E">
        <w:t xml:space="preserve"> expect a negative change in working capital (n=</w:t>
      </w:r>
      <w:r w:rsidR="006C7962" w:rsidRPr="009A1C8E">
        <w:t xml:space="preserve">8, 53%), compared to </w:t>
      </w:r>
      <w:r w:rsidR="002263E9" w:rsidRPr="009A1C8E">
        <w:t xml:space="preserve">state-wide (n=5, 36%) and metro </w:t>
      </w:r>
      <w:r w:rsidR="002263E9" w:rsidRPr="009A1C8E">
        <w:lastRenderedPageBreak/>
        <w:t xml:space="preserve">(n=6, 32%) </w:t>
      </w:r>
      <w:r w:rsidR="00C038A3" w:rsidRPr="009A1C8E">
        <w:t>organisations</w:t>
      </w:r>
      <w:r w:rsidR="002263E9" w:rsidRPr="009A1C8E">
        <w:t>.</w:t>
      </w:r>
      <w:r w:rsidR="002D086A" w:rsidRPr="009A1C8E">
        <w:t xml:space="preserve"> However</w:t>
      </w:r>
      <w:r w:rsidR="003877EA" w:rsidRPr="009A1C8E">
        <w:t>, two</w:t>
      </w:r>
      <w:r w:rsidR="00070A4D" w:rsidRPr="009A1C8E">
        <w:t xml:space="preserve"> metro respondents (11%) indicated a negative change greater than -21%.</w:t>
      </w:r>
    </w:p>
    <w:p w:rsidR="004D58A0" w:rsidRPr="009A1C8E" w:rsidRDefault="00E6566A" w:rsidP="00A14F68">
      <w:pPr>
        <w:spacing w:before="120" w:after="120" w:line="276" w:lineRule="auto"/>
      </w:pPr>
      <w:r w:rsidRPr="009A1C8E">
        <w:t>O</w:t>
      </w:r>
      <w:r w:rsidR="004D58A0" w:rsidRPr="009A1C8E">
        <w:t xml:space="preserve">rganisations across Victoria largely expect a </w:t>
      </w:r>
      <w:r w:rsidR="006A1433" w:rsidRPr="009A1C8E">
        <w:t>slight increase or no change in borrowing</w:t>
      </w:r>
      <w:r w:rsidR="0001463D" w:rsidRPr="009A1C8E">
        <w:t>s to fund working capital.</w:t>
      </w:r>
    </w:p>
    <w:p w:rsidR="2DDBF7DD" w:rsidRPr="009A1C8E" w:rsidRDefault="00781B55" w:rsidP="00C70B19">
      <w:pPr>
        <w:pStyle w:val="Heading4"/>
      </w:pPr>
      <w:r w:rsidRPr="009A1C8E">
        <w:t xml:space="preserve">3.2.3.3 </w:t>
      </w:r>
      <w:r w:rsidR="2DDBF7DD" w:rsidRPr="009A1C8E">
        <w:t>Borrowings to acquire</w:t>
      </w:r>
      <w:r w:rsidRPr="009A1C8E">
        <w:t xml:space="preserve"> or </w:t>
      </w:r>
      <w:r w:rsidR="2DDBF7DD" w:rsidRPr="009A1C8E">
        <w:t>build assets</w:t>
      </w:r>
    </w:p>
    <w:p w:rsidR="00F26DAE" w:rsidRPr="009A1C8E" w:rsidRDefault="00547251" w:rsidP="00A14F68">
      <w:pPr>
        <w:spacing w:before="120" w:after="120" w:line="276" w:lineRule="auto"/>
      </w:pPr>
      <w:r w:rsidRPr="009A1C8E">
        <w:t xml:space="preserve">In Victoria, </w:t>
      </w:r>
      <w:r w:rsidR="00663150" w:rsidRPr="009A1C8E">
        <w:t xml:space="preserve">the majority of respondents expect </w:t>
      </w:r>
      <w:r w:rsidR="003E6500" w:rsidRPr="009A1C8E">
        <w:t xml:space="preserve">either </w:t>
      </w:r>
      <w:r w:rsidR="00663150" w:rsidRPr="009A1C8E">
        <w:t>an increase in their borrowings to acquire or build assets (n=</w:t>
      </w:r>
      <w:r w:rsidR="001F5AEC" w:rsidRPr="009A1C8E">
        <w:t>16, 59%)</w:t>
      </w:r>
      <w:r w:rsidR="003E6500" w:rsidRPr="009A1C8E">
        <w:t xml:space="preserve"> or no change (n=10, </w:t>
      </w:r>
      <w:r w:rsidR="004B77E0" w:rsidRPr="009A1C8E">
        <w:t>37%)</w:t>
      </w:r>
      <w:r w:rsidR="001F5AEC" w:rsidRPr="009A1C8E">
        <w:t xml:space="preserve">. </w:t>
      </w:r>
      <w:r w:rsidR="004B77E0" w:rsidRPr="009A1C8E">
        <w:t xml:space="preserve">There were </w:t>
      </w:r>
      <w:r w:rsidR="001248A3" w:rsidRPr="009A1C8E">
        <w:t>22%</w:t>
      </w:r>
      <w:r w:rsidR="00FE10EE" w:rsidRPr="009A1C8E">
        <w:t xml:space="preserve"> </w:t>
      </w:r>
      <w:r w:rsidR="00CB7B98" w:rsidRPr="009A1C8E">
        <w:t xml:space="preserve">(n=6) </w:t>
      </w:r>
      <w:r w:rsidR="00FE10EE" w:rsidRPr="009A1C8E">
        <w:t>expect</w:t>
      </w:r>
      <w:r w:rsidR="001248A3" w:rsidRPr="009A1C8E">
        <w:t>ing</w:t>
      </w:r>
      <w:r w:rsidR="00FE10EE" w:rsidRPr="009A1C8E">
        <w:t xml:space="preserve"> a </w:t>
      </w:r>
      <w:r w:rsidR="009948C5" w:rsidRPr="009A1C8E">
        <w:t>change</w:t>
      </w:r>
      <w:r w:rsidR="00FE10EE" w:rsidRPr="009A1C8E">
        <w:t xml:space="preserve"> of 1-5%, and 26%</w:t>
      </w:r>
      <w:r w:rsidR="00CB7B98" w:rsidRPr="009A1C8E">
        <w:t xml:space="preserve"> (n=7)</w:t>
      </w:r>
      <w:r w:rsidR="00FE10EE" w:rsidRPr="009A1C8E">
        <w:t xml:space="preserve"> expect</w:t>
      </w:r>
      <w:r w:rsidR="001248A3" w:rsidRPr="009A1C8E">
        <w:t>ing</w:t>
      </w:r>
      <w:r w:rsidR="00FE10EE" w:rsidRPr="009A1C8E">
        <w:t xml:space="preserve"> an increase of 21%</w:t>
      </w:r>
      <w:r w:rsidR="00801CC7" w:rsidRPr="009A1C8E">
        <w:t xml:space="preserve"> </w:t>
      </w:r>
      <w:r w:rsidR="00FE10EE" w:rsidRPr="009A1C8E">
        <w:t>or above</w:t>
      </w:r>
      <w:r w:rsidR="0043624B" w:rsidRPr="009A1C8E">
        <w:t xml:space="preserve"> (</w:t>
      </w:r>
      <w:r w:rsidR="008B0DCC" w:rsidRPr="009A1C8E">
        <w:t>a</w:t>
      </w:r>
      <w:r w:rsidR="0043624B" w:rsidRPr="009A1C8E">
        <w:t xml:space="preserve">ppendix </w:t>
      </w:r>
      <w:r w:rsidR="008B0DCC" w:rsidRPr="009A1C8E">
        <w:t>2G</w:t>
      </w:r>
      <w:r w:rsidR="0043624B" w:rsidRPr="009A1C8E">
        <w:t>)</w:t>
      </w:r>
      <w:r w:rsidR="00FE10EE" w:rsidRPr="009A1C8E">
        <w:t>.</w:t>
      </w:r>
    </w:p>
    <w:p w:rsidR="00933F7F" w:rsidRPr="009A1C8E" w:rsidRDefault="00933F7F" w:rsidP="00A14F68">
      <w:pPr>
        <w:spacing w:before="120" w:after="120" w:line="276" w:lineRule="auto"/>
      </w:pPr>
      <w:r w:rsidRPr="009A1C8E">
        <w:t>Interestingly,</w:t>
      </w:r>
      <w:r w:rsidR="003119FB" w:rsidRPr="009A1C8E">
        <w:t xml:space="preserve"> the majority of the 1-5% increase can be attributed to metro </w:t>
      </w:r>
      <w:r w:rsidR="00B007FE" w:rsidRPr="009A1C8E">
        <w:t>organisations</w:t>
      </w:r>
      <w:r w:rsidR="003119FB" w:rsidRPr="009A1C8E">
        <w:t xml:space="preserve"> (n=</w:t>
      </w:r>
      <w:r w:rsidR="00E15AC8" w:rsidRPr="009A1C8E">
        <w:t>3</w:t>
      </w:r>
      <w:r w:rsidR="003119FB" w:rsidRPr="009A1C8E">
        <w:t>, 38%)</w:t>
      </w:r>
      <w:r w:rsidR="009D01C4" w:rsidRPr="009A1C8E">
        <w:t xml:space="preserve">, whereas </w:t>
      </w:r>
      <w:r w:rsidR="0043624B" w:rsidRPr="009A1C8E">
        <w:t>an increase of 2</w:t>
      </w:r>
      <w:r w:rsidR="00591A4B" w:rsidRPr="009A1C8E">
        <w:t xml:space="preserve">1% </w:t>
      </w:r>
      <w:r w:rsidR="0043624B" w:rsidRPr="009A1C8E">
        <w:t xml:space="preserve">or more </w:t>
      </w:r>
      <w:r w:rsidR="00591A4B" w:rsidRPr="009A1C8E">
        <w:t>is</w:t>
      </w:r>
      <w:r w:rsidR="0043624B" w:rsidRPr="009A1C8E">
        <w:t xml:space="preserve"> largely</w:t>
      </w:r>
      <w:r w:rsidR="00591A4B" w:rsidRPr="009A1C8E">
        <w:t xml:space="preserve"> reported by regional (n=4, 36%) and state-wide organisations (n=2, 29%).</w:t>
      </w:r>
    </w:p>
    <w:p w:rsidR="2DDBF7DD" w:rsidRPr="009A1C8E" w:rsidRDefault="00770047" w:rsidP="00830706">
      <w:pPr>
        <w:pStyle w:val="Heading3"/>
      </w:pPr>
      <w:r w:rsidRPr="009A1C8E">
        <w:t>3</w:t>
      </w:r>
      <w:r w:rsidR="00E86E44" w:rsidRPr="009A1C8E">
        <w:t xml:space="preserve">.2.4 </w:t>
      </w:r>
      <w:r w:rsidR="2DDBF7DD" w:rsidRPr="009A1C8E">
        <w:t>Future costs and economies of scale</w:t>
      </w:r>
    </w:p>
    <w:p w:rsidR="00007B19" w:rsidRPr="009A1C8E" w:rsidRDefault="00E6566A" w:rsidP="00A14F68">
      <w:pPr>
        <w:spacing w:before="120" w:after="120" w:line="276" w:lineRule="auto"/>
      </w:pPr>
      <w:r w:rsidRPr="009A1C8E">
        <w:t>P</w:t>
      </w:r>
      <w:r w:rsidR="00E06A73" w:rsidRPr="009A1C8E">
        <w:t>roviders were asked</w:t>
      </w:r>
      <w:r w:rsidR="00576EF2" w:rsidRPr="009A1C8E">
        <w:t xml:space="preserve"> </w:t>
      </w:r>
      <w:r w:rsidR="00007B19" w:rsidRPr="009A1C8E">
        <w:t xml:space="preserve">whether they expect the following </w:t>
      </w:r>
      <w:r w:rsidR="00DA2823" w:rsidRPr="009A1C8E">
        <w:t xml:space="preserve">costs </w:t>
      </w:r>
      <w:r w:rsidR="00007B19" w:rsidRPr="009A1C8E">
        <w:t>to change</w:t>
      </w:r>
      <w:r w:rsidR="0093785B" w:rsidRPr="009A1C8E">
        <w:t xml:space="preserve"> in</w:t>
      </w:r>
      <w:r w:rsidR="00007B19" w:rsidRPr="009A1C8E">
        <w:t xml:space="preserve"> this current financial year</w:t>
      </w:r>
      <w:r w:rsidRPr="009A1C8E">
        <w:t xml:space="preserve"> ending 30 June 2019</w:t>
      </w:r>
      <w:r w:rsidR="00DA2823" w:rsidRPr="009A1C8E">
        <w:t>, as compared with changes in service volumes</w:t>
      </w:r>
      <w:r w:rsidR="00E06A73" w:rsidRPr="009A1C8E">
        <w:t>:</w:t>
      </w:r>
    </w:p>
    <w:p w:rsidR="00007B19" w:rsidRPr="009A1C8E" w:rsidRDefault="00007B19" w:rsidP="00A14F68">
      <w:pPr>
        <w:pStyle w:val="ListParagraph"/>
        <w:numPr>
          <w:ilvl w:val="0"/>
          <w:numId w:val="2"/>
        </w:numPr>
        <w:spacing w:before="120" w:after="120" w:line="276" w:lineRule="auto"/>
      </w:pPr>
      <w:r w:rsidRPr="009A1C8E">
        <w:t>Direct labour expenses</w:t>
      </w:r>
      <w:r w:rsidR="00E06A73" w:rsidRPr="009A1C8E">
        <w:t>;</w:t>
      </w:r>
    </w:p>
    <w:p w:rsidR="00007B19" w:rsidRPr="009A1C8E" w:rsidRDefault="00007B19" w:rsidP="00A14F68">
      <w:pPr>
        <w:pStyle w:val="ListParagraph"/>
        <w:numPr>
          <w:ilvl w:val="0"/>
          <w:numId w:val="2"/>
        </w:numPr>
        <w:spacing w:before="120" w:after="120" w:line="276" w:lineRule="auto"/>
      </w:pPr>
      <w:r w:rsidRPr="009A1C8E">
        <w:t>Capital expenditure</w:t>
      </w:r>
      <w:r w:rsidR="00E06A73" w:rsidRPr="009A1C8E">
        <w:t>;</w:t>
      </w:r>
      <w:r w:rsidR="00781B55" w:rsidRPr="009A1C8E">
        <w:t xml:space="preserve"> and</w:t>
      </w:r>
    </w:p>
    <w:p w:rsidR="00007B19" w:rsidRPr="009A1C8E" w:rsidRDefault="00007B19" w:rsidP="00A14F68">
      <w:pPr>
        <w:pStyle w:val="ListParagraph"/>
        <w:numPr>
          <w:ilvl w:val="0"/>
          <w:numId w:val="2"/>
        </w:numPr>
        <w:spacing w:before="120" w:after="120" w:line="276" w:lineRule="auto"/>
      </w:pPr>
      <w:r w:rsidRPr="009A1C8E">
        <w:t>Admin expenses</w:t>
      </w:r>
      <w:r w:rsidR="00E06A73" w:rsidRPr="009A1C8E">
        <w:t>.</w:t>
      </w:r>
    </w:p>
    <w:p w:rsidR="65A3DA28" w:rsidRPr="009A1C8E" w:rsidRDefault="00781B55" w:rsidP="00C70B19">
      <w:pPr>
        <w:pStyle w:val="Heading4"/>
      </w:pPr>
      <w:r w:rsidRPr="009A1C8E">
        <w:t xml:space="preserve">3.2.4.1 </w:t>
      </w:r>
      <w:r w:rsidR="65A3DA28" w:rsidRPr="009A1C8E">
        <w:t>Direct labour expenses</w:t>
      </w:r>
    </w:p>
    <w:p w:rsidR="003F5AA3" w:rsidRPr="009A1C8E" w:rsidRDefault="00DA2823" w:rsidP="00A14F68">
      <w:pPr>
        <w:spacing w:before="120" w:after="120" w:line="276" w:lineRule="auto"/>
      </w:pPr>
      <w:r w:rsidRPr="009A1C8E">
        <w:t xml:space="preserve">Victorian responses were mixed, with 41% </w:t>
      </w:r>
      <w:r w:rsidR="003267DF" w:rsidRPr="009A1C8E">
        <w:t xml:space="preserve">(n=34) </w:t>
      </w:r>
      <w:r w:rsidRPr="009A1C8E">
        <w:t xml:space="preserve">expecting </w:t>
      </w:r>
      <w:r w:rsidR="0072177F" w:rsidRPr="009A1C8E">
        <w:t xml:space="preserve">labour </w:t>
      </w:r>
      <w:r w:rsidR="003267DF" w:rsidRPr="009A1C8E">
        <w:t xml:space="preserve">costs </w:t>
      </w:r>
      <w:r w:rsidRPr="009A1C8E">
        <w:t xml:space="preserve">to </w:t>
      </w:r>
      <w:r w:rsidR="003267DF" w:rsidRPr="009A1C8E">
        <w:t xml:space="preserve">keep pace with changes to service volumes, and </w:t>
      </w:r>
      <w:r w:rsidR="0087639F" w:rsidRPr="009A1C8E">
        <w:t>37% (n=31) expect</w:t>
      </w:r>
      <w:r w:rsidRPr="009A1C8E">
        <w:t xml:space="preserve">ing </w:t>
      </w:r>
      <w:r w:rsidR="00300363" w:rsidRPr="009A1C8E">
        <w:t xml:space="preserve">costs </w:t>
      </w:r>
      <w:r w:rsidRPr="009A1C8E">
        <w:t xml:space="preserve">to </w:t>
      </w:r>
      <w:r w:rsidR="00300363" w:rsidRPr="009A1C8E">
        <w:t>grow faster than growth in service volumes</w:t>
      </w:r>
      <w:r w:rsidRPr="009A1C8E">
        <w:t xml:space="preserve"> (</w:t>
      </w:r>
      <w:r w:rsidR="00E778DB" w:rsidRPr="009A1C8E">
        <w:t>appendix 2H</w:t>
      </w:r>
      <w:r w:rsidRPr="009A1C8E">
        <w:t>)</w:t>
      </w:r>
      <w:r w:rsidR="003267DF" w:rsidRPr="009A1C8E">
        <w:t>.</w:t>
      </w:r>
    </w:p>
    <w:p w:rsidR="003D7688" w:rsidRPr="009A1C8E" w:rsidRDefault="0072177F" w:rsidP="00A14F68">
      <w:pPr>
        <w:spacing w:before="120" w:after="120" w:line="276" w:lineRule="auto"/>
      </w:pPr>
      <w:r w:rsidRPr="009A1C8E">
        <w:t>R</w:t>
      </w:r>
      <w:r w:rsidR="003D7688" w:rsidRPr="009A1C8E">
        <w:t xml:space="preserve">egional organisations </w:t>
      </w:r>
      <w:r w:rsidRPr="009A1C8E">
        <w:t xml:space="preserve">are most likely to expect labour </w:t>
      </w:r>
      <w:r w:rsidR="00776A07" w:rsidRPr="009A1C8E">
        <w:t xml:space="preserve">costs </w:t>
      </w:r>
      <w:r w:rsidRPr="009A1C8E">
        <w:t xml:space="preserve">to </w:t>
      </w:r>
      <w:r w:rsidR="000347AC" w:rsidRPr="009A1C8E">
        <w:t>grow</w:t>
      </w:r>
      <w:r w:rsidR="00776A07" w:rsidRPr="009A1C8E">
        <w:t xml:space="preserve"> faster than service volumes</w:t>
      </w:r>
      <w:r w:rsidRPr="009A1C8E">
        <w:t xml:space="preserve"> (</w:t>
      </w:r>
      <w:r w:rsidR="00947E14" w:rsidRPr="009A1C8E">
        <w:t>regional: n=14, 5</w:t>
      </w:r>
      <w:r w:rsidR="00D360AF" w:rsidRPr="009A1C8E">
        <w:t>4</w:t>
      </w:r>
      <w:r w:rsidR="00947E14" w:rsidRPr="009A1C8E">
        <w:t>%</w:t>
      </w:r>
      <w:r w:rsidR="00D238E5" w:rsidRPr="009A1C8E">
        <w:t>;</w:t>
      </w:r>
      <w:r w:rsidR="00947E14" w:rsidRPr="009A1C8E">
        <w:t xml:space="preserve"> state-wide: n=7, 30%</w:t>
      </w:r>
      <w:r w:rsidR="00D238E5" w:rsidRPr="009A1C8E">
        <w:t>;</w:t>
      </w:r>
      <w:r w:rsidR="00947E14" w:rsidRPr="009A1C8E">
        <w:t xml:space="preserve"> metro: n=9, 27%)</w:t>
      </w:r>
      <w:r w:rsidR="00D477A8" w:rsidRPr="009A1C8E">
        <w:t xml:space="preserve">. </w:t>
      </w:r>
      <w:r w:rsidRPr="009A1C8E">
        <w:t xml:space="preserve">Only 27% (n=7) </w:t>
      </w:r>
      <w:r w:rsidR="00A876E9" w:rsidRPr="009A1C8E">
        <w:t xml:space="preserve">of </w:t>
      </w:r>
      <w:r w:rsidRPr="009A1C8E">
        <w:t xml:space="preserve">regional organisations expect labour costs to keep pace, compared with 52% </w:t>
      </w:r>
      <w:r w:rsidR="00B87796" w:rsidRPr="009A1C8E">
        <w:t xml:space="preserve">(n=12) of state-wide </w:t>
      </w:r>
      <w:r w:rsidR="00D477A8" w:rsidRPr="009A1C8E">
        <w:t xml:space="preserve">and </w:t>
      </w:r>
      <w:r w:rsidR="00B87796" w:rsidRPr="009A1C8E">
        <w:t xml:space="preserve">45% (n=15) </w:t>
      </w:r>
      <w:r w:rsidR="00A876E9" w:rsidRPr="009A1C8E">
        <w:t xml:space="preserve">of </w:t>
      </w:r>
      <w:r w:rsidR="00B87796" w:rsidRPr="009A1C8E">
        <w:t>metro</w:t>
      </w:r>
      <w:r w:rsidR="00D477A8" w:rsidRPr="009A1C8E">
        <w:t xml:space="preserve"> organisations </w:t>
      </w:r>
      <w:r w:rsidR="00FF3E2F" w:rsidRPr="009A1C8E">
        <w:t>(</w:t>
      </w:r>
      <w:r w:rsidR="00181BBF" w:rsidRPr="009A1C8E">
        <w:t>appendix 2I</w:t>
      </w:r>
      <w:r w:rsidR="00FF3E2F" w:rsidRPr="009A1C8E">
        <w:t>)</w:t>
      </w:r>
      <w:r w:rsidR="0053784A" w:rsidRPr="009A1C8E">
        <w:t>.</w:t>
      </w:r>
    </w:p>
    <w:p w:rsidR="65A3DA28" w:rsidRPr="009A1C8E" w:rsidRDefault="00FF3E2F" w:rsidP="00C70B19">
      <w:pPr>
        <w:pStyle w:val="Heading4"/>
      </w:pPr>
      <w:r w:rsidRPr="009A1C8E">
        <w:t xml:space="preserve">3.2.4.2 </w:t>
      </w:r>
      <w:r w:rsidR="65A3DA28" w:rsidRPr="009A1C8E">
        <w:t>Capital expenditure</w:t>
      </w:r>
    </w:p>
    <w:p w:rsidR="0053784A" w:rsidRPr="009A1C8E" w:rsidRDefault="00FF188D" w:rsidP="00A14F68">
      <w:pPr>
        <w:spacing w:before="120" w:after="120" w:line="276" w:lineRule="auto"/>
      </w:pPr>
      <w:r w:rsidRPr="009A1C8E">
        <w:t>T</w:t>
      </w:r>
      <w:r w:rsidR="00A23848" w:rsidRPr="009A1C8E">
        <w:t>he majority of</w:t>
      </w:r>
      <w:r w:rsidR="002F1FA4" w:rsidRPr="009A1C8E">
        <w:t xml:space="preserve"> Victorian</w:t>
      </w:r>
      <w:r w:rsidR="00A23848" w:rsidRPr="009A1C8E">
        <w:t xml:space="preserve"> </w:t>
      </w:r>
      <w:r w:rsidR="00162140" w:rsidRPr="009A1C8E">
        <w:t>organisations</w:t>
      </w:r>
      <w:r w:rsidR="00A23848" w:rsidRPr="009A1C8E">
        <w:t xml:space="preserve"> expect</w:t>
      </w:r>
      <w:r w:rsidR="003D7F82" w:rsidRPr="009A1C8E">
        <w:t xml:space="preserve"> </w:t>
      </w:r>
      <w:r w:rsidR="002F1FA4" w:rsidRPr="009A1C8E">
        <w:t xml:space="preserve">capital expenditure </w:t>
      </w:r>
      <w:r w:rsidR="00A23848" w:rsidRPr="009A1C8E">
        <w:t>will keep pace with changes to service volumes</w:t>
      </w:r>
      <w:r w:rsidRPr="009A1C8E">
        <w:t>, and this is broadly consistent across regional, metro and state-wide groups (</w:t>
      </w:r>
      <w:r w:rsidR="00C42CC1" w:rsidRPr="009A1C8E">
        <w:t>appendix 2J</w:t>
      </w:r>
      <w:r w:rsidRPr="009A1C8E">
        <w:t>)</w:t>
      </w:r>
      <w:r w:rsidR="002F1FA4" w:rsidRPr="009A1C8E">
        <w:t>.</w:t>
      </w:r>
    </w:p>
    <w:p w:rsidR="15D7F37A" w:rsidRPr="009A1C8E" w:rsidRDefault="00FF3E2F" w:rsidP="00C70B19">
      <w:pPr>
        <w:pStyle w:val="Heading4"/>
      </w:pPr>
      <w:r w:rsidRPr="009A1C8E">
        <w:lastRenderedPageBreak/>
        <w:t xml:space="preserve">3.2.4.3 </w:t>
      </w:r>
      <w:r w:rsidR="15D7F37A" w:rsidRPr="009A1C8E">
        <w:t>A</w:t>
      </w:r>
      <w:r w:rsidR="3BBA7C4E" w:rsidRPr="009A1C8E">
        <w:t>dministration expenses</w:t>
      </w:r>
    </w:p>
    <w:p w:rsidR="003071FA" w:rsidRPr="009A1C8E" w:rsidRDefault="00EB7C5D" w:rsidP="00A14F68">
      <w:pPr>
        <w:spacing w:before="120" w:after="120" w:line="276" w:lineRule="auto"/>
      </w:pPr>
      <w:r w:rsidRPr="009A1C8E">
        <w:t xml:space="preserve">In </w:t>
      </w:r>
      <w:r w:rsidR="00E81638" w:rsidRPr="009A1C8E">
        <w:t xml:space="preserve">Victoria, </w:t>
      </w:r>
      <w:r w:rsidRPr="009A1C8E">
        <w:t>the</w:t>
      </w:r>
      <w:r w:rsidR="0096442C" w:rsidRPr="009A1C8E">
        <w:t xml:space="preserve">re appears to be </w:t>
      </w:r>
      <w:r w:rsidR="00E81638" w:rsidRPr="009A1C8E">
        <w:t>widespread consensus that administration expenses</w:t>
      </w:r>
      <w:r w:rsidR="00B86DF4" w:rsidRPr="009A1C8E">
        <w:t xml:space="preserve"> will grow faster than growth in service volumes</w:t>
      </w:r>
      <w:r w:rsidRPr="009A1C8E">
        <w:t xml:space="preserve"> </w:t>
      </w:r>
      <w:r w:rsidR="00B86DF4" w:rsidRPr="009A1C8E">
        <w:t>(n=43, 52%)</w:t>
      </w:r>
      <w:r w:rsidR="000063D4" w:rsidRPr="009A1C8E">
        <w:t>. Twenty-seven percent</w:t>
      </w:r>
      <w:r w:rsidR="00BE22AF" w:rsidRPr="009A1C8E">
        <w:t xml:space="preserve"> (n=22) expect that costs will keep pace</w:t>
      </w:r>
      <w:r w:rsidR="00A94ADE" w:rsidRPr="009A1C8E">
        <w:t xml:space="preserve"> </w:t>
      </w:r>
      <w:r w:rsidR="0096442C" w:rsidRPr="009A1C8E">
        <w:t>(</w:t>
      </w:r>
      <w:r w:rsidR="00AB344B" w:rsidRPr="009A1C8E">
        <w:t>appendix 2K</w:t>
      </w:r>
      <w:r w:rsidR="0096442C" w:rsidRPr="009A1C8E">
        <w:t>).</w:t>
      </w:r>
    </w:p>
    <w:p w:rsidR="00C15BB2" w:rsidRPr="009A1C8E" w:rsidRDefault="00553515" w:rsidP="00A14F68">
      <w:pPr>
        <w:spacing w:before="120" w:after="120" w:line="276" w:lineRule="auto"/>
        <w:rPr>
          <w:b/>
          <w:bCs/>
        </w:rPr>
      </w:pPr>
      <w:r w:rsidRPr="009A1C8E">
        <w:t xml:space="preserve">The majority of </w:t>
      </w:r>
      <w:r w:rsidR="00BD69C7" w:rsidRPr="009A1C8E">
        <w:t>regional</w:t>
      </w:r>
      <w:r w:rsidR="00D85217" w:rsidRPr="009A1C8E">
        <w:t xml:space="preserve"> and </w:t>
      </w:r>
      <w:r w:rsidR="00BD69C7" w:rsidRPr="009A1C8E">
        <w:t>metro</w:t>
      </w:r>
      <w:r w:rsidR="00D85217" w:rsidRPr="009A1C8E">
        <w:t xml:space="preserve"> organisations</w:t>
      </w:r>
      <w:r w:rsidRPr="009A1C8E">
        <w:t xml:space="preserve"> expect that</w:t>
      </w:r>
      <w:r w:rsidR="00D85217" w:rsidRPr="009A1C8E">
        <w:t xml:space="preserve"> costs </w:t>
      </w:r>
      <w:r w:rsidRPr="009A1C8E">
        <w:t xml:space="preserve">are </w:t>
      </w:r>
      <w:r w:rsidR="00D85217" w:rsidRPr="009A1C8E">
        <w:t>growing at a faster rate (</w:t>
      </w:r>
      <w:r w:rsidR="00BD69C7" w:rsidRPr="009A1C8E">
        <w:t>n=17, 65% and</w:t>
      </w:r>
      <w:r w:rsidR="00170F0E" w:rsidRPr="009A1C8E">
        <w:t xml:space="preserve"> </w:t>
      </w:r>
      <w:r w:rsidR="00BD69C7" w:rsidRPr="009A1C8E">
        <w:t>n=18, 55% respectively).</w:t>
      </w:r>
      <w:r w:rsidR="004018C1" w:rsidRPr="009A1C8E">
        <w:t xml:space="preserve"> However, only 35% (n=8) of state-wide organisations expect this </w:t>
      </w:r>
      <w:r w:rsidR="004A0FCC" w:rsidRPr="009A1C8E">
        <w:t>growth, with 39% (n=9) projecting growth in service volumes</w:t>
      </w:r>
      <w:r w:rsidR="00FF188D" w:rsidRPr="009A1C8E">
        <w:t xml:space="preserve"> will outpace administration cost increases</w:t>
      </w:r>
      <w:r w:rsidR="00E51D7C" w:rsidRPr="009A1C8E">
        <w:t xml:space="preserve"> (appendix 2L)</w:t>
      </w:r>
      <w:r w:rsidRPr="009A1C8E">
        <w:t>.</w:t>
      </w:r>
      <w:r w:rsidR="00FF188D" w:rsidRPr="009A1C8E">
        <w:t xml:space="preserve"> This suggests </w:t>
      </w:r>
      <w:r w:rsidR="00420291" w:rsidRPr="009A1C8E">
        <w:t xml:space="preserve">that </w:t>
      </w:r>
      <w:r w:rsidR="00FF188D" w:rsidRPr="009A1C8E">
        <w:t xml:space="preserve">larger state-wide organisations </w:t>
      </w:r>
      <w:r w:rsidR="00420291" w:rsidRPr="009A1C8E">
        <w:t xml:space="preserve">may benefit from </w:t>
      </w:r>
      <w:r w:rsidR="00FF188D" w:rsidRPr="009A1C8E">
        <w:t>some economies of scale.</w:t>
      </w:r>
    </w:p>
    <w:p w:rsidR="0026727E" w:rsidRPr="009A1C8E" w:rsidRDefault="00770047" w:rsidP="00830706">
      <w:pPr>
        <w:pStyle w:val="Heading3"/>
      </w:pPr>
      <w:r w:rsidRPr="009A1C8E">
        <w:t>3</w:t>
      </w:r>
      <w:r w:rsidR="00E86E44" w:rsidRPr="009A1C8E">
        <w:t xml:space="preserve">.2.5 </w:t>
      </w:r>
      <w:r w:rsidR="00E270A5" w:rsidRPr="009A1C8E">
        <w:t>Providers</w:t>
      </w:r>
      <w:r w:rsidR="00EB37D8" w:rsidRPr="009A1C8E">
        <w:t>’ c</w:t>
      </w:r>
      <w:r w:rsidR="00E270A5" w:rsidRPr="009A1C8E">
        <w:t xml:space="preserve">omments on </w:t>
      </w:r>
      <w:r w:rsidR="00EB37D8" w:rsidRPr="009A1C8E">
        <w:t>their</w:t>
      </w:r>
      <w:r w:rsidR="00E270A5" w:rsidRPr="009A1C8E">
        <w:t xml:space="preserve"> financial </w:t>
      </w:r>
      <w:r w:rsidR="00354C1D" w:rsidRPr="009A1C8E">
        <w:t>position</w:t>
      </w:r>
    </w:p>
    <w:p w:rsidR="00AD4A7F" w:rsidRPr="009A1C8E" w:rsidRDefault="00080451" w:rsidP="00A14F68">
      <w:pPr>
        <w:spacing w:before="120" w:after="120" w:line="276" w:lineRule="auto"/>
      </w:pPr>
      <w:r w:rsidRPr="009A1C8E">
        <w:t xml:space="preserve">Following the </w:t>
      </w:r>
      <w:r w:rsidR="00E460E9" w:rsidRPr="009A1C8E">
        <w:t xml:space="preserve">financial questions in the AMS, providers were invited to comment on their organisation’s financial </w:t>
      </w:r>
      <w:r w:rsidR="00354C1D" w:rsidRPr="009A1C8E">
        <w:t>position</w:t>
      </w:r>
      <w:r w:rsidR="00E460E9" w:rsidRPr="009A1C8E">
        <w:t xml:space="preserve">. </w:t>
      </w:r>
      <w:r w:rsidR="00922E2C" w:rsidRPr="009A1C8E">
        <w:t>T</w:t>
      </w:r>
      <w:r w:rsidR="00D741F4" w:rsidRPr="009A1C8E">
        <w:t>hematic analysis of the Victorian comments</w:t>
      </w:r>
      <w:r w:rsidR="00922E2C" w:rsidRPr="009A1C8E">
        <w:t xml:space="preserve"> </w:t>
      </w:r>
      <w:r w:rsidR="00191709" w:rsidRPr="009A1C8E">
        <w:t xml:space="preserve">articulates </w:t>
      </w:r>
      <w:r w:rsidR="00AD4A7F" w:rsidRPr="009A1C8E">
        <w:t xml:space="preserve">the impact of inadequate NDIS pricing (n=3) and </w:t>
      </w:r>
      <w:r w:rsidR="002B5603" w:rsidRPr="009A1C8E">
        <w:t xml:space="preserve">the </w:t>
      </w:r>
      <w:r w:rsidR="00AD4A7F" w:rsidRPr="009A1C8E">
        <w:t>challenges in financial management (n=3).</w:t>
      </w:r>
    </w:p>
    <w:p w:rsidR="0021040A" w:rsidRPr="00B35E2D" w:rsidRDefault="0021040A" w:rsidP="00443E28">
      <w:pPr>
        <w:spacing w:before="120" w:after="120" w:line="276" w:lineRule="auto"/>
        <w:ind w:left="540"/>
        <w:rPr>
          <w:b/>
        </w:rPr>
      </w:pPr>
      <w:r w:rsidRPr="00B35E2D">
        <w:rPr>
          <w:b/>
        </w:rPr>
        <w:t>“Our Board are concerned about the revenue stream in disability services (not including therapy services) as it is budgeted as a loss due basically to NDIS pricing.”</w:t>
      </w:r>
    </w:p>
    <w:p w:rsidR="000C7AF1" w:rsidRPr="00B35E2D" w:rsidRDefault="000F03FE" w:rsidP="00443E28">
      <w:pPr>
        <w:spacing w:before="120" w:after="120" w:line="276" w:lineRule="auto"/>
        <w:ind w:left="540"/>
        <w:rPr>
          <w:b/>
        </w:rPr>
      </w:pPr>
      <w:r w:rsidRPr="00B35E2D">
        <w:rPr>
          <w:b/>
        </w:rPr>
        <w:t>“We returned to a small surplus in 2017-18 after experiencing an unexpected deficit of 10%. We have had to change to offering short</w:t>
      </w:r>
      <w:r w:rsidR="0065332B" w:rsidRPr="00B35E2D">
        <w:rPr>
          <w:b/>
        </w:rPr>
        <w:t>-</w:t>
      </w:r>
      <w:r w:rsidRPr="00B35E2D">
        <w:rPr>
          <w:b/>
        </w:rPr>
        <w:t xml:space="preserve">term contracts over casual positions </w:t>
      </w:r>
      <w:r w:rsidR="00F87914" w:rsidRPr="00B35E2D">
        <w:rPr>
          <w:b/>
        </w:rPr>
        <w:t>and</w:t>
      </w:r>
      <w:r w:rsidRPr="00B35E2D">
        <w:rPr>
          <w:b/>
        </w:rPr>
        <w:t xml:space="preserve"> had to totally change our financial management processes to give us more accurate information on a monthly basis.”</w:t>
      </w:r>
    </w:p>
    <w:p w:rsidR="008B6A55" w:rsidRPr="009A1C8E" w:rsidRDefault="00AD4A7F" w:rsidP="00A14F68">
      <w:pPr>
        <w:spacing w:before="120" w:after="120" w:line="276" w:lineRule="auto"/>
      </w:pPr>
      <w:r w:rsidRPr="009A1C8E">
        <w:t xml:space="preserve">It was also evident that </w:t>
      </w:r>
      <w:r w:rsidR="00766C79" w:rsidRPr="009A1C8E">
        <w:t xml:space="preserve">investment in </w:t>
      </w:r>
      <w:r w:rsidR="00573D5E" w:rsidRPr="009A1C8E">
        <w:t>systems and infrastructure</w:t>
      </w:r>
      <w:r w:rsidR="003D3954" w:rsidRPr="009A1C8E">
        <w:t xml:space="preserve"> is required</w:t>
      </w:r>
      <w:r w:rsidR="00573D5E" w:rsidRPr="009A1C8E">
        <w:t xml:space="preserve"> (n=2)</w:t>
      </w:r>
      <w:r w:rsidR="00311F48" w:rsidRPr="009A1C8E">
        <w:t xml:space="preserve">, </w:t>
      </w:r>
      <w:r w:rsidR="00573D5E" w:rsidRPr="009A1C8E">
        <w:t xml:space="preserve">particularly </w:t>
      </w:r>
      <w:r w:rsidR="008B6A55" w:rsidRPr="009A1C8E">
        <w:t xml:space="preserve">to support a mobile </w:t>
      </w:r>
      <w:r w:rsidR="00573D5E" w:rsidRPr="009A1C8E">
        <w:t>workforce</w:t>
      </w:r>
      <w:r w:rsidR="00311F48" w:rsidRPr="009A1C8E">
        <w:t xml:space="preserve">. </w:t>
      </w:r>
      <w:r w:rsidR="000C47B3" w:rsidRPr="009A1C8E">
        <w:t xml:space="preserve">Two comments also indicated that </w:t>
      </w:r>
      <w:r w:rsidR="008B6A55" w:rsidRPr="009A1C8E">
        <w:t>the NDIS limits organisations</w:t>
      </w:r>
      <w:r w:rsidR="002E4BD0" w:rsidRPr="009A1C8E">
        <w:t>’</w:t>
      </w:r>
      <w:r w:rsidR="008B6A55" w:rsidRPr="009A1C8E">
        <w:t xml:space="preserve"> ability to innovate and experiment</w:t>
      </w:r>
      <w:r w:rsidR="000C47B3" w:rsidRPr="009A1C8E">
        <w:t>.</w:t>
      </w:r>
    </w:p>
    <w:p w:rsidR="00AD4A7F" w:rsidRPr="00B35E2D" w:rsidRDefault="00AF4BE2" w:rsidP="00443E28">
      <w:pPr>
        <w:spacing w:before="120" w:after="120" w:line="276" w:lineRule="auto"/>
        <w:ind w:left="540"/>
        <w:rPr>
          <w:b/>
        </w:rPr>
      </w:pPr>
      <w:r w:rsidRPr="00B35E2D">
        <w:rPr>
          <w:b/>
        </w:rPr>
        <w:t xml:space="preserve">“Although our organisation has strong financial reserves, the reality of full NDIS </w:t>
      </w:r>
      <w:r w:rsidR="00E63DFC" w:rsidRPr="00B35E2D">
        <w:rPr>
          <w:b/>
        </w:rPr>
        <w:t>roll out</w:t>
      </w:r>
      <w:r w:rsidRPr="00B35E2D">
        <w:rPr>
          <w:b/>
        </w:rPr>
        <w:t>, as it inches closer, and the negative financial impacts it has already brought for direct support work, decreases the Board's appetite for investing in service experimentation and adaptation. This decreases our strategic capacity and leaves us to be overly reactive.”</w:t>
      </w:r>
    </w:p>
    <w:p w:rsidR="2DDBF7DD" w:rsidRPr="009A1C8E" w:rsidRDefault="00770047" w:rsidP="00830706">
      <w:pPr>
        <w:pStyle w:val="Heading3"/>
      </w:pPr>
      <w:r w:rsidRPr="009A1C8E">
        <w:t>3</w:t>
      </w:r>
      <w:r w:rsidR="00E86E44" w:rsidRPr="009A1C8E">
        <w:t xml:space="preserve">.2.6 </w:t>
      </w:r>
      <w:r w:rsidR="2DDBF7DD" w:rsidRPr="009A1C8E">
        <w:t xml:space="preserve">Financial </w:t>
      </w:r>
      <w:r w:rsidR="00DE1773" w:rsidRPr="009A1C8E">
        <w:t>viability</w:t>
      </w:r>
      <w:r w:rsidR="00B87D22" w:rsidRPr="009A1C8E">
        <w:t xml:space="preserve"> –</w:t>
      </w:r>
      <w:r w:rsidR="2DDBF7DD" w:rsidRPr="009A1C8E">
        <w:t xml:space="preserve"> an ongoing challenge</w:t>
      </w:r>
    </w:p>
    <w:p w:rsidR="00F152EB" w:rsidRPr="009A1C8E" w:rsidRDefault="0009166B" w:rsidP="00A14F68">
      <w:pPr>
        <w:spacing w:before="120" w:after="120" w:line="276" w:lineRule="auto"/>
      </w:pPr>
      <w:r w:rsidRPr="009A1C8E">
        <w:t>F</w:t>
      </w:r>
      <w:r w:rsidR="004B5C5B" w:rsidRPr="009A1C8E">
        <w:t>inancial viability risks</w:t>
      </w:r>
      <w:r w:rsidR="00F75287" w:rsidRPr="009A1C8E">
        <w:t xml:space="preserve"> and </w:t>
      </w:r>
      <w:r w:rsidRPr="009A1C8E">
        <w:t xml:space="preserve">an </w:t>
      </w:r>
      <w:r w:rsidR="00F75287" w:rsidRPr="009A1C8E">
        <w:t xml:space="preserve">inability to innovate </w:t>
      </w:r>
      <w:r w:rsidR="004B5C5B" w:rsidRPr="009A1C8E">
        <w:t>were</w:t>
      </w:r>
      <w:r w:rsidR="00F75287" w:rsidRPr="009A1C8E">
        <w:t xml:space="preserve"> also</w:t>
      </w:r>
      <w:r w:rsidR="004B5C5B" w:rsidRPr="009A1C8E">
        <w:t xml:space="preserve"> </w:t>
      </w:r>
      <w:r w:rsidRPr="009A1C8E">
        <w:t xml:space="preserve">clearly </w:t>
      </w:r>
      <w:r w:rsidR="004B5C5B" w:rsidRPr="009A1C8E">
        <w:t>appare</w:t>
      </w:r>
      <w:r w:rsidR="006E3024" w:rsidRPr="009A1C8E">
        <w:t>n</w:t>
      </w:r>
      <w:r w:rsidR="004B5C5B" w:rsidRPr="009A1C8E">
        <w:t>t</w:t>
      </w:r>
      <w:r w:rsidR="006E3024" w:rsidRPr="009A1C8E">
        <w:t xml:space="preserve"> in the SDP </w:t>
      </w:r>
      <w:r w:rsidR="002062B6" w:rsidRPr="009A1C8E">
        <w:t>O</w:t>
      </w:r>
      <w:r w:rsidR="006E3024" w:rsidRPr="009A1C8E">
        <w:t xml:space="preserve">utcomes </w:t>
      </w:r>
      <w:r w:rsidR="002062B6" w:rsidRPr="009A1C8E">
        <w:t>E</w:t>
      </w:r>
      <w:r w:rsidR="006E3024" w:rsidRPr="009A1C8E">
        <w:t>valuation</w:t>
      </w:r>
      <w:r w:rsidR="00F87914" w:rsidRPr="009A1C8E">
        <w:t xml:space="preserve"> </w:t>
      </w:r>
      <w:r w:rsidR="002D37DC" w:rsidRPr="009A1C8E">
        <w:fldChar w:fldCharType="begin"/>
      </w:r>
      <w:r w:rsidR="005D588A" w:rsidRPr="009A1C8E">
        <w:instrText xml:space="preserve"> ADDIN EN.CITE &lt;EndNote&gt;&lt;Cite&gt;&lt;Author&gt;Brown&lt;/Author&gt;&lt;Year&gt;2018&lt;/Year&gt;&lt;RecNum&gt;261&lt;/RecNum&gt;&lt;DisplayText&gt;(12)&lt;/DisplayText&gt;&lt;record&gt;&lt;rec-number&gt;261&lt;/rec-number&gt;&lt;foreign-keys&gt;&lt;key app="EN" db-id="dtafe02tlezsd7ef59c5s9fdse5ze52xw2ta" timestamp="1554303960"&gt;261&lt;/key&gt;&lt;/foreign-keys&gt;&lt;ref-type name="Report"&gt;27&lt;/ref-type&gt;&lt;contributors&gt;&lt;authors&gt;&lt;author&gt;Brown, M&lt;/author&gt;&lt;author&gt;Canobi, S&lt;/author&gt;&lt;author&gt;Mathys, Z&lt;/author&gt;&lt;author&gt;Randall, K &lt;/author&gt;&lt;/authors&gt;&lt;/contributors&gt;&lt;titles&gt;&lt;title&gt;Evaluation: NDIS Sector Development Project Phase 2, Report 2 of 3&lt;/title&gt;&lt;/titles&gt;&lt;dates&gt;&lt;year&gt;2018&lt;/year&gt;&lt;/dates&gt;&lt;pub-location&gt;Melbourne&lt;/pub-location&gt;&lt;publisher&gt;Dyson Consulting Group and National Disability Services&lt;/publisher&gt;&lt;urls&gt;&lt;/urls&gt;&lt;/record&gt;&lt;/Cite&gt;&lt;/EndNote&gt;</w:instrText>
      </w:r>
      <w:r w:rsidR="002D37DC" w:rsidRPr="009A1C8E">
        <w:fldChar w:fldCharType="separate"/>
      </w:r>
      <w:r w:rsidR="005D588A" w:rsidRPr="009A1C8E">
        <w:rPr>
          <w:noProof/>
        </w:rPr>
        <w:t>(12)</w:t>
      </w:r>
      <w:r w:rsidR="002D37DC" w:rsidRPr="009A1C8E">
        <w:fldChar w:fldCharType="end"/>
      </w:r>
      <w:r w:rsidR="006E3024" w:rsidRPr="009A1C8E">
        <w:t>.</w:t>
      </w:r>
      <w:r w:rsidR="00CF4239" w:rsidRPr="009A1C8E">
        <w:t xml:space="preserve"> </w:t>
      </w:r>
      <w:r w:rsidR="008B5E5A" w:rsidRPr="009A1C8E">
        <w:t xml:space="preserve">Providers were asked to select the top </w:t>
      </w:r>
      <w:r w:rsidR="0065332B" w:rsidRPr="009A1C8E">
        <w:t>three</w:t>
      </w:r>
      <w:r w:rsidR="00F152EB" w:rsidRPr="009A1C8E">
        <w:t xml:space="preserve"> </w:t>
      </w:r>
      <w:r w:rsidR="00F152EB" w:rsidRPr="009A1C8E">
        <w:lastRenderedPageBreak/>
        <w:t xml:space="preserve">challenges that may hinder </w:t>
      </w:r>
      <w:r w:rsidR="003437C0" w:rsidRPr="009A1C8E">
        <w:t>their</w:t>
      </w:r>
      <w:r w:rsidR="00F152EB" w:rsidRPr="009A1C8E">
        <w:t xml:space="preserve"> organisation’s ability to be sustainable following NDIS implementation:</w:t>
      </w:r>
    </w:p>
    <w:p w:rsidR="0007747B" w:rsidRPr="009A1C8E" w:rsidRDefault="00177C9D" w:rsidP="00A14F68">
      <w:pPr>
        <w:pStyle w:val="ListParagraph"/>
        <w:numPr>
          <w:ilvl w:val="0"/>
          <w:numId w:val="3"/>
        </w:numPr>
        <w:spacing w:before="120" w:after="120" w:line="276" w:lineRule="auto"/>
      </w:pPr>
      <w:r w:rsidRPr="009A1C8E">
        <w:t xml:space="preserve">After </w:t>
      </w:r>
      <w:r w:rsidR="00B0533E" w:rsidRPr="009A1C8E">
        <w:t>lean NDIS pricing</w:t>
      </w:r>
      <w:r w:rsidRPr="009A1C8E">
        <w:t>, t</w:t>
      </w:r>
      <w:r w:rsidR="009F3EC3" w:rsidRPr="009A1C8E">
        <w:t xml:space="preserve">he second most commonly reported challenge was </w:t>
      </w:r>
      <w:r w:rsidR="00674B6E" w:rsidRPr="009A1C8E">
        <w:t>“</w:t>
      </w:r>
      <w:r w:rsidR="00E55B30" w:rsidRPr="009A1C8E">
        <w:t>f</w:t>
      </w:r>
      <w:r w:rsidR="009F3EC3" w:rsidRPr="009A1C8E">
        <w:t>inancial viability risks related to the cost of corporate/back</w:t>
      </w:r>
      <w:r w:rsidR="00674B6E" w:rsidRPr="009A1C8E">
        <w:t>-</w:t>
      </w:r>
      <w:r w:rsidR="009F3EC3" w:rsidRPr="009A1C8E">
        <w:t>office functions</w:t>
      </w:r>
      <w:r w:rsidR="00674B6E" w:rsidRPr="009A1C8E">
        <w:t>”</w:t>
      </w:r>
      <w:r w:rsidR="00B27C48" w:rsidRPr="009A1C8E">
        <w:t xml:space="preserve">; </w:t>
      </w:r>
      <w:r w:rsidR="009F3EC3" w:rsidRPr="009A1C8E">
        <w:t>and</w:t>
      </w:r>
    </w:p>
    <w:p w:rsidR="0007747B" w:rsidRPr="009A1C8E" w:rsidRDefault="0007747B" w:rsidP="00A14F68">
      <w:pPr>
        <w:pStyle w:val="ListParagraph"/>
        <w:numPr>
          <w:ilvl w:val="0"/>
          <w:numId w:val="3"/>
        </w:numPr>
        <w:spacing w:before="120" w:after="120" w:line="276" w:lineRule="auto"/>
      </w:pPr>
      <w:r w:rsidRPr="009A1C8E">
        <w:t xml:space="preserve">The fourth most common </w:t>
      </w:r>
      <w:r w:rsidR="0009166B" w:rsidRPr="009A1C8E">
        <w:t xml:space="preserve">challenge </w:t>
      </w:r>
      <w:r w:rsidRPr="009A1C8E">
        <w:t xml:space="preserve">was </w:t>
      </w:r>
      <w:r w:rsidR="00674B6E" w:rsidRPr="009A1C8E">
        <w:t>“</w:t>
      </w:r>
      <w:r w:rsidR="00E55B30" w:rsidRPr="009A1C8E">
        <w:t>f</w:t>
      </w:r>
      <w:r w:rsidRPr="009A1C8E">
        <w:t>ocus on cost efficiency reduces capacity to innovate or grow</w:t>
      </w:r>
      <w:r w:rsidR="00674B6E" w:rsidRPr="009A1C8E">
        <w:t>”</w:t>
      </w:r>
      <w:r w:rsidR="00192808" w:rsidRPr="009A1C8E">
        <w:t xml:space="preserve"> </w:t>
      </w:r>
      <w:r w:rsidR="002D37DC" w:rsidRPr="009A1C8E">
        <w:fldChar w:fldCharType="begin"/>
      </w:r>
      <w:r w:rsidR="005D588A" w:rsidRPr="009A1C8E">
        <w:instrText xml:space="preserve"> ADDIN EN.CITE &lt;EndNote&gt;&lt;Cite&gt;&lt;Author&gt;Brown&lt;/Author&gt;&lt;Year&gt;2018&lt;/Year&gt;&lt;RecNum&gt;261&lt;/RecNum&gt;&lt;DisplayText&gt;(12)&lt;/DisplayText&gt;&lt;record&gt;&lt;rec-number&gt;261&lt;/rec-number&gt;&lt;foreign-keys&gt;&lt;key app="EN" db-id="dtafe02tlezsd7ef59c5s9fdse5ze52xw2ta" timestamp="1554303960"&gt;261&lt;/key&gt;&lt;/foreign-keys&gt;&lt;ref-type name="Report"&gt;27&lt;/ref-type&gt;&lt;contributors&gt;&lt;authors&gt;&lt;author&gt;Brown, M&lt;/author&gt;&lt;author&gt;Canobi, S&lt;/author&gt;&lt;author&gt;Mathys, Z&lt;/author&gt;&lt;author&gt;Randall, K &lt;/author&gt;&lt;/authors&gt;&lt;/contributors&gt;&lt;titles&gt;&lt;title&gt;Evaluation: NDIS Sector Development Project Phase 2, Report 2 of 3&lt;/title&gt;&lt;/titles&gt;&lt;dates&gt;&lt;year&gt;2018&lt;/year&gt;&lt;/dates&gt;&lt;pub-location&gt;Melbourne&lt;/pub-location&gt;&lt;publisher&gt;Dyson Consulting Group and National Disability Services&lt;/publisher&gt;&lt;urls&gt;&lt;/urls&gt;&lt;/record&gt;&lt;/Cite&gt;&lt;/EndNote&gt;</w:instrText>
      </w:r>
      <w:r w:rsidR="002D37DC" w:rsidRPr="009A1C8E">
        <w:fldChar w:fldCharType="separate"/>
      </w:r>
      <w:r w:rsidR="005D588A" w:rsidRPr="009A1C8E">
        <w:rPr>
          <w:noProof/>
        </w:rPr>
        <w:t>(12)</w:t>
      </w:r>
      <w:r w:rsidR="002D37DC" w:rsidRPr="009A1C8E">
        <w:fldChar w:fldCharType="end"/>
      </w:r>
      <w:r w:rsidRPr="009A1C8E">
        <w:t>.</w:t>
      </w:r>
    </w:p>
    <w:p w:rsidR="0007747B" w:rsidRPr="009A1C8E" w:rsidRDefault="00B27C48" w:rsidP="00A14F68">
      <w:pPr>
        <w:spacing w:before="120" w:after="120" w:line="276" w:lineRule="auto"/>
      </w:pPr>
      <w:r w:rsidRPr="009A1C8E">
        <w:t>Of these financial challenges, it was further evident that:</w:t>
      </w:r>
    </w:p>
    <w:p w:rsidR="008F3844" w:rsidRPr="009A1C8E" w:rsidRDefault="00674B6E" w:rsidP="00A14F68">
      <w:pPr>
        <w:pStyle w:val="ListParagraph"/>
        <w:numPr>
          <w:ilvl w:val="0"/>
          <w:numId w:val="4"/>
        </w:numPr>
        <w:spacing w:before="120" w:after="120" w:line="276" w:lineRule="auto"/>
      </w:pPr>
      <w:r w:rsidRPr="009A1C8E">
        <w:t>“</w:t>
      </w:r>
      <w:r w:rsidR="004743CC" w:rsidRPr="009A1C8E">
        <w:t>Financial viability risks related to the cost of corporate/back</w:t>
      </w:r>
      <w:r w:rsidRPr="009A1C8E">
        <w:t>-</w:t>
      </w:r>
      <w:r w:rsidR="004743CC" w:rsidRPr="009A1C8E">
        <w:t>office functions</w:t>
      </w:r>
      <w:r w:rsidRPr="009A1C8E">
        <w:t>”</w:t>
      </w:r>
      <w:r w:rsidR="004743CC" w:rsidRPr="009A1C8E">
        <w:t xml:space="preserve"> present</w:t>
      </w:r>
      <w:r w:rsidR="00B87D22" w:rsidRPr="009A1C8E">
        <w:t>ed</w:t>
      </w:r>
      <w:r w:rsidR="004743CC" w:rsidRPr="009A1C8E">
        <w:t xml:space="preserve"> in the top </w:t>
      </w:r>
      <w:r w:rsidRPr="009A1C8E">
        <w:t>three</w:t>
      </w:r>
      <w:r w:rsidR="004743CC" w:rsidRPr="009A1C8E">
        <w:t xml:space="preserve"> sustainability challenges for metro and state-wide organisations, but not </w:t>
      </w:r>
      <w:r w:rsidR="00DE1773" w:rsidRPr="009A1C8E">
        <w:t xml:space="preserve">for </w:t>
      </w:r>
      <w:r w:rsidR="004743CC" w:rsidRPr="009A1C8E">
        <w:t>regional providers</w:t>
      </w:r>
      <w:r w:rsidR="008F3844" w:rsidRPr="009A1C8E">
        <w:t>; and</w:t>
      </w:r>
    </w:p>
    <w:p w:rsidR="00B27C48" w:rsidRPr="009A1C8E" w:rsidRDefault="00674B6E" w:rsidP="00A14F68">
      <w:pPr>
        <w:pStyle w:val="ListParagraph"/>
        <w:numPr>
          <w:ilvl w:val="0"/>
          <w:numId w:val="4"/>
        </w:numPr>
        <w:spacing w:before="120" w:after="120" w:line="276" w:lineRule="auto"/>
      </w:pPr>
      <w:r w:rsidRPr="009A1C8E">
        <w:t>“</w:t>
      </w:r>
      <w:r w:rsidR="008F3844" w:rsidRPr="009A1C8E">
        <w:t>Focus on cost efficiency reduces capacity to innovate or grow</w:t>
      </w:r>
      <w:r w:rsidRPr="009A1C8E">
        <w:t>”</w:t>
      </w:r>
      <w:r w:rsidR="008F3844" w:rsidRPr="009A1C8E">
        <w:t xml:space="preserve"> was </w:t>
      </w:r>
      <w:r w:rsidR="0009166B" w:rsidRPr="009A1C8E">
        <w:t xml:space="preserve">more commonly </w:t>
      </w:r>
      <w:r w:rsidR="008F3844" w:rsidRPr="009A1C8E">
        <w:t xml:space="preserve">selected by </w:t>
      </w:r>
      <w:r w:rsidR="007E211F" w:rsidRPr="009A1C8E">
        <w:t xml:space="preserve">metro and regional respondents </w:t>
      </w:r>
      <w:r w:rsidR="0009166B" w:rsidRPr="009A1C8E">
        <w:t xml:space="preserve">than </w:t>
      </w:r>
      <w:r w:rsidR="007E211F" w:rsidRPr="009A1C8E">
        <w:t>by state-wide organisations</w:t>
      </w:r>
      <w:r w:rsidR="00271D57" w:rsidRPr="009A1C8E">
        <w:t xml:space="preserve"> </w:t>
      </w:r>
      <w:r w:rsidR="002D37DC" w:rsidRPr="009A1C8E">
        <w:fldChar w:fldCharType="begin"/>
      </w:r>
      <w:r w:rsidR="005D588A" w:rsidRPr="009A1C8E">
        <w:instrText xml:space="preserve"> ADDIN EN.CITE &lt;EndNote&gt;&lt;Cite&gt;&lt;Author&gt;Brown&lt;/Author&gt;&lt;Year&gt;2018&lt;/Year&gt;&lt;RecNum&gt;261&lt;/RecNum&gt;&lt;DisplayText&gt;(12)&lt;/DisplayText&gt;&lt;record&gt;&lt;rec-number&gt;261&lt;/rec-number&gt;&lt;foreign-keys&gt;&lt;key app="EN" db-id="dtafe02tlezsd7ef59c5s9fdse5ze52xw2ta" timestamp="1554303960"&gt;261&lt;/key&gt;&lt;/foreign-keys&gt;&lt;ref-type name="Report"&gt;27&lt;/ref-type&gt;&lt;contributors&gt;&lt;authors&gt;&lt;author&gt;Brown, M&lt;/author&gt;&lt;author&gt;Canobi, S&lt;/author&gt;&lt;author&gt;Mathys, Z&lt;/author&gt;&lt;author&gt;Randall, K &lt;/author&gt;&lt;/authors&gt;&lt;/contributors&gt;&lt;titles&gt;&lt;title&gt;Evaluation: NDIS Sector Development Project Phase 2, Report 2 of 3&lt;/title&gt;&lt;/titles&gt;&lt;dates&gt;&lt;year&gt;2018&lt;/year&gt;&lt;/dates&gt;&lt;pub-location&gt;Melbourne&lt;/pub-location&gt;&lt;publisher&gt;Dyson Consulting Group and National Disability Services&lt;/publisher&gt;&lt;urls&gt;&lt;/urls&gt;&lt;/record&gt;&lt;/Cite&gt;&lt;/EndNote&gt;</w:instrText>
      </w:r>
      <w:r w:rsidR="002D37DC" w:rsidRPr="009A1C8E">
        <w:fldChar w:fldCharType="separate"/>
      </w:r>
      <w:r w:rsidR="005D588A" w:rsidRPr="009A1C8E">
        <w:rPr>
          <w:noProof/>
        </w:rPr>
        <w:t>(12)</w:t>
      </w:r>
      <w:r w:rsidR="002D37DC" w:rsidRPr="009A1C8E">
        <w:fldChar w:fldCharType="end"/>
      </w:r>
      <w:r w:rsidR="007E211F" w:rsidRPr="009A1C8E">
        <w:t>.</w:t>
      </w:r>
    </w:p>
    <w:p w:rsidR="00833846" w:rsidRPr="009A1C8E" w:rsidRDefault="005D3E71" w:rsidP="00A14F68">
      <w:pPr>
        <w:spacing w:before="120" w:after="120" w:line="276" w:lineRule="auto"/>
      </w:pPr>
      <w:r w:rsidRPr="009A1C8E">
        <w:t>The significance of these financial challenges</w:t>
      </w:r>
      <w:r w:rsidR="0080663F" w:rsidRPr="009A1C8E">
        <w:t xml:space="preserve"> must further be considered alongside the </w:t>
      </w:r>
      <w:r w:rsidR="00674B6E" w:rsidRPr="009A1C8E">
        <w:t>“</w:t>
      </w:r>
      <w:r w:rsidR="0080663F" w:rsidRPr="009A1C8E">
        <w:t>outcomes gained</w:t>
      </w:r>
      <w:r w:rsidR="00674B6E" w:rsidRPr="009A1C8E">
        <w:t>”</w:t>
      </w:r>
      <w:r w:rsidR="0080663F" w:rsidRPr="009A1C8E">
        <w:t xml:space="preserve"> and </w:t>
      </w:r>
      <w:r w:rsidR="00674B6E" w:rsidRPr="009A1C8E">
        <w:t>“</w:t>
      </w:r>
      <w:r w:rsidR="0080663F" w:rsidRPr="009A1C8E">
        <w:t>support needs</w:t>
      </w:r>
      <w:r w:rsidR="00674B6E" w:rsidRPr="009A1C8E">
        <w:t>”</w:t>
      </w:r>
      <w:r w:rsidR="0080663F" w:rsidRPr="009A1C8E">
        <w:t xml:space="preserve"> questions from the </w:t>
      </w:r>
      <w:r w:rsidR="00B47410" w:rsidRPr="009A1C8E">
        <w:t xml:space="preserve">SDP </w:t>
      </w:r>
      <w:r w:rsidR="005D7409" w:rsidRPr="009A1C8E">
        <w:t>O</w:t>
      </w:r>
      <w:r w:rsidR="0080663F" w:rsidRPr="009A1C8E">
        <w:t xml:space="preserve">utcomes </w:t>
      </w:r>
      <w:r w:rsidR="005D7409" w:rsidRPr="009A1C8E">
        <w:t>E</w:t>
      </w:r>
      <w:r w:rsidR="0080663F" w:rsidRPr="009A1C8E">
        <w:t>valuatio</w:t>
      </w:r>
      <w:r w:rsidR="002405DD" w:rsidRPr="009A1C8E">
        <w:t>n</w:t>
      </w:r>
      <w:r w:rsidRPr="009A1C8E">
        <w:t>.</w:t>
      </w:r>
    </w:p>
    <w:p w:rsidR="2DDBF7DD" w:rsidRPr="009A1C8E" w:rsidRDefault="00770047" w:rsidP="00830706">
      <w:pPr>
        <w:pStyle w:val="Heading3"/>
      </w:pPr>
      <w:r w:rsidRPr="009A1C8E">
        <w:t>3</w:t>
      </w:r>
      <w:r w:rsidR="00E86E44" w:rsidRPr="009A1C8E">
        <w:t xml:space="preserve">.2.7 </w:t>
      </w:r>
      <w:r w:rsidR="002405DD" w:rsidRPr="009A1C8E">
        <w:t xml:space="preserve">Support to manage </w:t>
      </w:r>
      <w:r w:rsidR="004B2AFE" w:rsidRPr="009A1C8E">
        <w:t>finances</w:t>
      </w:r>
    </w:p>
    <w:p w:rsidR="00977C99" w:rsidRPr="009A1C8E" w:rsidRDefault="0009166B" w:rsidP="00A14F68">
      <w:pPr>
        <w:spacing w:before="120" w:after="120" w:line="276" w:lineRule="auto"/>
      </w:pPr>
      <w:r w:rsidRPr="009A1C8E">
        <w:t xml:space="preserve">Providers are </w:t>
      </w:r>
      <w:r w:rsidR="00762C46" w:rsidRPr="009A1C8E">
        <w:t>clea</w:t>
      </w:r>
      <w:r w:rsidR="00B87D22" w:rsidRPr="009A1C8E">
        <w:t xml:space="preserve">rly </w:t>
      </w:r>
      <w:r w:rsidRPr="009A1C8E">
        <w:t xml:space="preserve">expressing </w:t>
      </w:r>
      <w:r w:rsidR="00B87D22" w:rsidRPr="009A1C8E">
        <w:t xml:space="preserve">a </w:t>
      </w:r>
      <w:r w:rsidR="00762C46" w:rsidRPr="009A1C8E">
        <w:t xml:space="preserve">need for </w:t>
      </w:r>
      <w:r w:rsidR="004B2AFE" w:rsidRPr="009A1C8E">
        <w:t xml:space="preserve">support to manage </w:t>
      </w:r>
      <w:r w:rsidR="009F343C" w:rsidRPr="009A1C8E">
        <w:t xml:space="preserve">their </w:t>
      </w:r>
      <w:r w:rsidR="00F82F7F" w:rsidRPr="009A1C8E">
        <w:t xml:space="preserve">finances. This is further </w:t>
      </w:r>
      <w:r w:rsidRPr="009A1C8E">
        <w:t xml:space="preserve">illustrated by the following </w:t>
      </w:r>
      <w:r w:rsidR="00E605D5" w:rsidRPr="009A1C8E">
        <w:t xml:space="preserve">SDP </w:t>
      </w:r>
      <w:r w:rsidR="005D7409" w:rsidRPr="009A1C8E">
        <w:t>O</w:t>
      </w:r>
      <w:r w:rsidR="00111AF4" w:rsidRPr="009A1C8E">
        <w:t xml:space="preserve">utcomes </w:t>
      </w:r>
      <w:r w:rsidR="005D7409" w:rsidRPr="009A1C8E">
        <w:t>E</w:t>
      </w:r>
      <w:r w:rsidR="00111AF4" w:rsidRPr="009A1C8E">
        <w:t>valuation</w:t>
      </w:r>
      <w:r w:rsidRPr="009A1C8E">
        <w:t xml:space="preserve"> findings</w:t>
      </w:r>
      <w:r w:rsidR="005D179A" w:rsidRPr="009A1C8E">
        <w:t>:</w:t>
      </w:r>
    </w:p>
    <w:p w:rsidR="00762C46" w:rsidRPr="009A1C8E" w:rsidRDefault="0009166B" w:rsidP="00A14F68">
      <w:pPr>
        <w:pStyle w:val="ListParagraph"/>
        <w:numPr>
          <w:ilvl w:val="0"/>
          <w:numId w:val="5"/>
        </w:numPr>
        <w:spacing w:before="120" w:after="120" w:line="276" w:lineRule="auto"/>
      </w:pPr>
      <w:r w:rsidRPr="009A1C8E">
        <w:t xml:space="preserve">Of all outcomes gained from participation in SDP supports or activities, </w:t>
      </w:r>
      <w:r w:rsidR="00674B6E" w:rsidRPr="009A1C8E">
        <w:t>“</w:t>
      </w:r>
      <w:r w:rsidR="00913000" w:rsidRPr="009A1C8E">
        <w:t>Increased capability to understand and manage our financial position</w:t>
      </w:r>
      <w:r w:rsidR="00674B6E" w:rsidRPr="009A1C8E">
        <w:t>”</w:t>
      </w:r>
      <w:r w:rsidR="00913000" w:rsidRPr="009A1C8E">
        <w:t xml:space="preserve"> represented </w:t>
      </w:r>
      <w:r w:rsidR="005D179A" w:rsidRPr="009A1C8E">
        <w:t>only 7</w:t>
      </w:r>
      <w:r w:rsidR="00913000" w:rsidRPr="009A1C8E">
        <w:t>%</w:t>
      </w:r>
      <w:r w:rsidR="00256614" w:rsidRPr="009A1C8E">
        <w:t>;</w:t>
      </w:r>
    </w:p>
    <w:p w:rsidR="00256614" w:rsidRPr="009A1C8E" w:rsidRDefault="00256614" w:rsidP="00A14F68">
      <w:pPr>
        <w:pStyle w:val="ListParagraph"/>
        <w:numPr>
          <w:ilvl w:val="0"/>
          <w:numId w:val="5"/>
        </w:numPr>
        <w:spacing w:before="120" w:after="120" w:line="276" w:lineRule="auto"/>
      </w:pPr>
      <w:r w:rsidRPr="009A1C8E">
        <w:t xml:space="preserve">The second most common </w:t>
      </w:r>
      <w:r w:rsidR="00E95004" w:rsidRPr="009A1C8E">
        <w:t xml:space="preserve">support </w:t>
      </w:r>
      <w:r w:rsidR="00121E22" w:rsidRPr="009A1C8E">
        <w:t xml:space="preserve">that providers </w:t>
      </w:r>
      <w:r w:rsidR="00E95004" w:rsidRPr="009A1C8E">
        <w:t xml:space="preserve">need to help address challenges and build sustainability was </w:t>
      </w:r>
      <w:r w:rsidR="00674B6E" w:rsidRPr="009A1C8E">
        <w:t>“</w:t>
      </w:r>
      <w:r w:rsidR="00CC0043" w:rsidRPr="009A1C8E">
        <w:t>p</w:t>
      </w:r>
      <w:r w:rsidR="00E95004" w:rsidRPr="009A1C8E">
        <w:t>ractical support to manage cost efficiencies and build financial sustainability</w:t>
      </w:r>
      <w:r w:rsidR="00674B6E" w:rsidRPr="009A1C8E">
        <w:t>”</w:t>
      </w:r>
      <w:r w:rsidR="00E95004" w:rsidRPr="009A1C8E">
        <w:t>;</w:t>
      </w:r>
      <w:r w:rsidR="00B87D22" w:rsidRPr="009A1C8E">
        <w:t xml:space="preserve"> and</w:t>
      </w:r>
    </w:p>
    <w:p w:rsidR="00E95004" w:rsidRPr="009A1C8E" w:rsidRDefault="005C0C97" w:rsidP="00A14F68">
      <w:pPr>
        <w:pStyle w:val="ListParagraph"/>
        <w:numPr>
          <w:ilvl w:val="0"/>
          <w:numId w:val="5"/>
        </w:numPr>
        <w:spacing w:before="120" w:after="120" w:line="276" w:lineRule="auto"/>
      </w:pPr>
      <w:r w:rsidRPr="009A1C8E">
        <w:t xml:space="preserve">There was </w:t>
      </w:r>
      <w:r w:rsidR="004F6908" w:rsidRPr="009A1C8E">
        <w:t xml:space="preserve">a </w:t>
      </w:r>
      <w:r w:rsidRPr="009A1C8E">
        <w:t>much strong</w:t>
      </w:r>
      <w:r w:rsidR="004F6908" w:rsidRPr="009A1C8E">
        <w:t>er</w:t>
      </w:r>
      <w:r w:rsidRPr="009A1C8E">
        <w:t xml:space="preserve"> demand for </w:t>
      </w:r>
      <w:r w:rsidR="00674B6E" w:rsidRPr="009A1C8E">
        <w:t>“</w:t>
      </w:r>
      <w:r w:rsidR="00CC0043" w:rsidRPr="009A1C8E">
        <w:t>p</w:t>
      </w:r>
      <w:r w:rsidRPr="009A1C8E">
        <w:t>ractical support to manage cost efficiencies and build financial sustainability</w:t>
      </w:r>
      <w:r w:rsidR="00674B6E" w:rsidRPr="009A1C8E">
        <w:t>”</w:t>
      </w:r>
      <w:r w:rsidRPr="009A1C8E">
        <w:t xml:space="preserve"> among m</w:t>
      </w:r>
      <w:r w:rsidR="004F2205" w:rsidRPr="009A1C8E">
        <w:t>etro and regional organisations</w:t>
      </w:r>
      <w:r w:rsidR="00121E22" w:rsidRPr="009A1C8E">
        <w:t>, than among</w:t>
      </w:r>
      <w:r w:rsidR="004F2205" w:rsidRPr="009A1C8E">
        <w:t xml:space="preserve"> </w:t>
      </w:r>
      <w:r w:rsidRPr="009A1C8E">
        <w:t>state-wide respo</w:t>
      </w:r>
      <w:r w:rsidR="00111AF4" w:rsidRPr="009A1C8E">
        <w:t>ndents</w:t>
      </w:r>
      <w:r w:rsidR="00674B6E" w:rsidRPr="009A1C8E">
        <w:t xml:space="preserve">, </w:t>
      </w:r>
      <w:r w:rsidR="00121E22" w:rsidRPr="009A1C8E">
        <w:t>suggesting this need is more prevalent in smaller organisations</w:t>
      </w:r>
      <w:r w:rsidR="00F82F7F" w:rsidRPr="009A1C8E">
        <w:t xml:space="preserve"> </w:t>
      </w:r>
      <w:r w:rsidR="002D37DC" w:rsidRPr="009A1C8E">
        <w:fldChar w:fldCharType="begin"/>
      </w:r>
      <w:r w:rsidR="005D588A" w:rsidRPr="009A1C8E">
        <w:instrText xml:space="preserve"> ADDIN EN.CITE &lt;EndNote&gt;&lt;Cite&gt;&lt;Author&gt;Brown&lt;/Author&gt;&lt;Year&gt;2018&lt;/Year&gt;&lt;RecNum&gt;261&lt;/RecNum&gt;&lt;DisplayText&gt;(12)&lt;/DisplayText&gt;&lt;record&gt;&lt;rec-number&gt;261&lt;/rec-number&gt;&lt;foreign-keys&gt;&lt;key app="EN" db-id="dtafe02tlezsd7ef59c5s9fdse5ze52xw2ta" timestamp="1554303960"&gt;261&lt;/key&gt;&lt;/foreign-keys&gt;&lt;ref-type name="Report"&gt;27&lt;/ref-type&gt;&lt;contributors&gt;&lt;authors&gt;&lt;author&gt;Brown, M&lt;/author&gt;&lt;author&gt;Canobi, S&lt;/author&gt;&lt;author&gt;Mathys, Z&lt;/author&gt;&lt;author&gt;Randall, K &lt;/author&gt;&lt;/authors&gt;&lt;/contributors&gt;&lt;titles&gt;&lt;title&gt;Evaluation: NDIS Sector Development Project Phase 2, Report 2 of 3&lt;/title&gt;&lt;/titles&gt;&lt;dates&gt;&lt;year&gt;2018&lt;/year&gt;&lt;/dates&gt;&lt;pub-location&gt;Melbourne&lt;/pub-location&gt;&lt;publisher&gt;Dyson Consulting Group and National Disability Services&lt;/publisher&gt;&lt;urls&gt;&lt;/urls&gt;&lt;/record&gt;&lt;/Cite&gt;&lt;/EndNote&gt;</w:instrText>
      </w:r>
      <w:r w:rsidR="002D37DC" w:rsidRPr="009A1C8E">
        <w:fldChar w:fldCharType="separate"/>
      </w:r>
      <w:r w:rsidR="005D588A" w:rsidRPr="009A1C8E">
        <w:rPr>
          <w:noProof/>
        </w:rPr>
        <w:t>(12)</w:t>
      </w:r>
      <w:r w:rsidR="002D37DC" w:rsidRPr="009A1C8E">
        <w:fldChar w:fldCharType="end"/>
      </w:r>
      <w:r w:rsidR="00111AF4" w:rsidRPr="009A1C8E">
        <w:t>.</w:t>
      </w:r>
    </w:p>
    <w:p w:rsidR="00864020" w:rsidRPr="009A1C8E" w:rsidRDefault="00C279B0" w:rsidP="00A14F68">
      <w:pPr>
        <w:spacing w:before="120" w:after="120" w:line="276" w:lineRule="auto"/>
      </w:pPr>
      <w:r w:rsidRPr="009A1C8E">
        <w:t>Victorian AMS data</w:t>
      </w:r>
      <w:r w:rsidR="001C5A79" w:rsidRPr="009A1C8E">
        <w:t xml:space="preserve"> also shows</w:t>
      </w:r>
      <w:r w:rsidR="005769FD" w:rsidRPr="009A1C8E">
        <w:t xml:space="preserve"> that</w:t>
      </w:r>
      <w:r w:rsidR="00CA6094" w:rsidRPr="009A1C8E">
        <w:t xml:space="preserve"> </w:t>
      </w:r>
      <w:r w:rsidR="00674B6E" w:rsidRPr="009A1C8E">
        <w:t>“</w:t>
      </w:r>
      <w:r w:rsidR="00CA6094" w:rsidRPr="009A1C8E">
        <w:t>costing and pricing</w:t>
      </w:r>
      <w:r w:rsidR="00674B6E" w:rsidRPr="009A1C8E">
        <w:t>”</w:t>
      </w:r>
      <w:r w:rsidR="00CA6094" w:rsidRPr="009A1C8E">
        <w:t xml:space="preserve"> and </w:t>
      </w:r>
      <w:r w:rsidR="00674B6E" w:rsidRPr="009A1C8E">
        <w:t>“</w:t>
      </w:r>
      <w:r w:rsidR="00BC6ADF" w:rsidRPr="009A1C8E">
        <w:t>financial processes and controls</w:t>
      </w:r>
      <w:r w:rsidR="00674B6E" w:rsidRPr="009A1C8E">
        <w:t>”</w:t>
      </w:r>
      <w:r w:rsidR="00BC6ADF" w:rsidRPr="009A1C8E">
        <w:t xml:space="preserve"> </w:t>
      </w:r>
      <w:r w:rsidR="001C5A79" w:rsidRPr="009A1C8E">
        <w:t xml:space="preserve">are among </w:t>
      </w:r>
      <w:r w:rsidR="00563E50" w:rsidRPr="009A1C8E">
        <w:t>providers’</w:t>
      </w:r>
      <w:r w:rsidR="00BC6ADF" w:rsidRPr="009A1C8E">
        <w:t xml:space="preserve"> top </w:t>
      </w:r>
      <w:r w:rsidR="00674B6E" w:rsidRPr="009A1C8E">
        <w:t>five</w:t>
      </w:r>
      <w:r w:rsidRPr="009A1C8E">
        <w:t xml:space="preserve"> business capability areas </w:t>
      </w:r>
      <w:r w:rsidR="001C5A79" w:rsidRPr="009A1C8E">
        <w:t xml:space="preserve">most in need of </w:t>
      </w:r>
      <w:r w:rsidRPr="009A1C8E">
        <w:t>improvemen</w:t>
      </w:r>
      <w:r w:rsidR="00BC6ADF" w:rsidRPr="009A1C8E">
        <w:t>t (see list below)</w:t>
      </w:r>
      <w:r w:rsidR="00653E6B" w:rsidRPr="009A1C8E">
        <w:t>.</w:t>
      </w:r>
    </w:p>
    <w:p w:rsidR="00C279B0" w:rsidRPr="009A1C8E" w:rsidRDefault="005B6A26" w:rsidP="00A14F68">
      <w:pPr>
        <w:pStyle w:val="ListParagraph"/>
        <w:numPr>
          <w:ilvl w:val="0"/>
          <w:numId w:val="6"/>
        </w:numPr>
        <w:spacing w:before="120" w:after="120" w:line="276" w:lineRule="auto"/>
      </w:pPr>
      <w:r w:rsidRPr="009A1C8E">
        <w:t xml:space="preserve">Costing and </w:t>
      </w:r>
      <w:r w:rsidR="00580907" w:rsidRPr="009A1C8E">
        <w:t>p</w:t>
      </w:r>
      <w:r w:rsidRPr="009A1C8E">
        <w:t>ricing</w:t>
      </w:r>
      <w:r w:rsidR="00291EA7" w:rsidRPr="009A1C8E">
        <w:t>.</w:t>
      </w:r>
    </w:p>
    <w:p w:rsidR="005B6A26" w:rsidRPr="009A1C8E" w:rsidRDefault="005B6A26" w:rsidP="00A14F68">
      <w:pPr>
        <w:pStyle w:val="ListParagraph"/>
        <w:numPr>
          <w:ilvl w:val="0"/>
          <w:numId w:val="6"/>
        </w:numPr>
        <w:spacing w:before="120" w:after="120" w:line="276" w:lineRule="auto"/>
      </w:pPr>
      <w:r w:rsidRPr="009A1C8E">
        <w:t xml:space="preserve">Information, </w:t>
      </w:r>
      <w:r w:rsidR="00580907" w:rsidRPr="009A1C8E">
        <w:t>c</w:t>
      </w:r>
      <w:r w:rsidRPr="009A1C8E">
        <w:t xml:space="preserve">ommunications and </w:t>
      </w:r>
      <w:r w:rsidR="00580907" w:rsidRPr="009A1C8E">
        <w:t>t</w:t>
      </w:r>
      <w:r w:rsidRPr="009A1C8E">
        <w:t>echnology</w:t>
      </w:r>
      <w:r w:rsidR="00291EA7" w:rsidRPr="009A1C8E">
        <w:t>.</w:t>
      </w:r>
    </w:p>
    <w:p w:rsidR="005B6A26" w:rsidRPr="009A1C8E" w:rsidRDefault="005B6A26" w:rsidP="00A14F68">
      <w:pPr>
        <w:pStyle w:val="ListParagraph"/>
        <w:numPr>
          <w:ilvl w:val="0"/>
          <w:numId w:val="6"/>
        </w:numPr>
        <w:spacing w:before="120" w:after="120" w:line="276" w:lineRule="auto"/>
      </w:pPr>
      <w:r w:rsidRPr="009A1C8E">
        <w:t>Market research, strategies and planning</w:t>
      </w:r>
      <w:r w:rsidR="00291EA7" w:rsidRPr="009A1C8E">
        <w:t>.</w:t>
      </w:r>
    </w:p>
    <w:p w:rsidR="005B6A26" w:rsidRPr="009A1C8E" w:rsidRDefault="005B6A26" w:rsidP="00A14F68">
      <w:pPr>
        <w:pStyle w:val="ListParagraph"/>
        <w:numPr>
          <w:ilvl w:val="0"/>
          <w:numId w:val="6"/>
        </w:numPr>
        <w:spacing w:before="120" w:after="120" w:line="276" w:lineRule="auto"/>
      </w:pPr>
      <w:r w:rsidRPr="009A1C8E">
        <w:lastRenderedPageBreak/>
        <w:t>Financial processes and controls</w:t>
      </w:r>
      <w:r w:rsidR="00291EA7" w:rsidRPr="009A1C8E">
        <w:t>.</w:t>
      </w:r>
    </w:p>
    <w:p w:rsidR="005B6A26" w:rsidRPr="009A1C8E" w:rsidRDefault="005B6A26" w:rsidP="00A14F68">
      <w:pPr>
        <w:pStyle w:val="ListParagraph"/>
        <w:numPr>
          <w:ilvl w:val="0"/>
          <w:numId w:val="6"/>
        </w:numPr>
        <w:spacing w:before="120" w:after="120" w:line="276" w:lineRule="auto"/>
      </w:pPr>
      <w:r w:rsidRPr="009A1C8E">
        <w:t>H</w:t>
      </w:r>
      <w:r w:rsidR="002B2F81" w:rsidRPr="009A1C8E">
        <w:t xml:space="preserve">uman </w:t>
      </w:r>
      <w:r w:rsidR="006123E0" w:rsidRPr="009A1C8E">
        <w:t>r</w:t>
      </w:r>
      <w:r w:rsidR="002B2F81" w:rsidRPr="009A1C8E">
        <w:t xml:space="preserve">esources (HR) </w:t>
      </w:r>
      <w:r w:rsidRPr="009A1C8E">
        <w:t>strategy and workforce planning</w:t>
      </w:r>
      <w:r w:rsidR="00291EA7" w:rsidRPr="009A1C8E">
        <w:t>.</w:t>
      </w:r>
    </w:p>
    <w:p w:rsidR="005B6A26" w:rsidRPr="009A1C8E" w:rsidRDefault="00AA78FE" w:rsidP="00A14F68">
      <w:pPr>
        <w:spacing w:before="120" w:after="120" w:line="276" w:lineRule="auto"/>
      </w:pPr>
      <w:r w:rsidRPr="009A1C8E">
        <w:t xml:space="preserve">As shown in </w:t>
      </w:r>
      <w:r w:rsidR="00276030" w:rsidRPr="009A1C8E">
        <w:t>appendix 2M</w:t>
      </w:r>
      <w:r w:rsidRPr="009A1C8E">
        <w:t xml:space="preserve">, it is evident that </w:t>
      </w:r>
      <w:r w:rsidR="00FB53EB" w:rsidRPr="009A1C8E">
        <w:t xml:space="preserve">organisations </w:t>
      </w:r>
      <w:r w:rsidR="001C5A79" w:rsidRPr="009A1C8E">
        <w:t xml:space="preserve">with a regional presence </w:t>
      </w:r>
      <w:r w:rsidR="00FB53EB" w:rsidRPr="009A1C8E">
        <w:t xml:space="preserve">recognise </w:t>
      </w:r>
      <w:r w:rsidR="001C5A79" w:rsidRPr="009A1C8E">
        <w:t>t</w:t>
      </w:r>
      <w:r w:rsidR="004E2D5B" w:rsidRPr="009A1C8E">
        <w:t>he</w:t>
      </w:r>
      <w:r w:rsidR="001C5A79" w:rsidRPr="009A1C8E">
        <w:t xml:space="preserve"> </w:t>
      </w:r>
      <w:r w:rsidR="00FB53EB" w:rsidRPr="009A1C8E">
        <w:t xml:space="preserve">need to improve </w:t>
      </w:r>
      <w:r w:rsidR="004E2D5B" w:rsidRPr="009A1C8E">
        <w:t xml:space="preserve">in </w:t>
      </w:r>
      <w:r w:rsidR="00FB53EB" w:rsidRPr="009A1C8E">
        <w:t xml:space="preserve">costing and </w:t>
      </w:r>
      <w:r w:rsidR="00AA1334" w:rsidRPr="009A1C8E">
        <w:t xml:space="preserve">pricing, with 90% </w:t>
      </w:r>
      <w:r w:rsidR="001C5A79" w:rsidRPr="009A1C8E">
        <w:t xml:space="preserve">of state-wide </w:t>
      </w:r>
      <w:r w:rsidR="00AA1334" w:rsidRPr="009A1C8E">
        <w:t>(n=9) and 79% (n=</w:t>
      </w:r>
      <w:r w:rsidR="00AE3214" w:rsidRPr="009A1C8E">
        <w:t xml:space="preserve">15) </w:t>
      </w:r>
      <w:r w:rsidR="001C5A79" w:rsidRPr="009A1C8E">
        <w:t xml:space="preserve">of regional organisations </w:t>
      </w:r>
      <w:r w:rsidR="00AE3214" w:rsidRPr="009A1C8E">
        <w:t xml:space="preserve">ranking this </w:t>
      </w:r>
      <w:r w:rsidR="001C5A79" w:rsidRPr="009A1C8E">
        <w:t xml:space="preserve">capability </w:t>
      </w:r>
      <w:r w:rsidR="00AE3214" w:rsidRPr="009A1C8E">
        <w:t>as</w:t>
      </w:r>
      <w:r w:rsidR="005769FD" w:rsidRPr="009A1C8E">
        <w:t xml:space="preserve"> their</w:t>
      </w:r>
      <w:r w:rsidR="00AE3214" w:rsidRPr="009A1C8E">
        <w:t xml:space="preserve"> </w:t>
      </w:r>
      <w:r w:rsidR="00FC34E7" w:rsidRPr="009A1C8E">
        <w:t>first or second</w:t>
      </w:r>
      <w:r w:rsidR="001C5A79" w:rsidRPr="009A1C8E">
        <w:t xml:space="preserve"> </w:t>
      </w:r>
      <w:r w:rsidR="004E2D5B" w:rsidRPr="009A1C8E">
        <w:t>priority</w:t>
      </w:r>
      <w:r w:rsidR="00FC34E7" w:rsidRPr="009A1C8E">
        <w:t>. Comparatively, only 40% (n=8)</w:t>
      </w:r>
      <w:r w:rsidR="00A85308" w:rsidRPr="009A1C8E">
        <w:t xml:space="preserve"> of metro respondents</w:t>
      </w:r>
      <w:r w:rsidR="00FC34E7" w:rsidRPr="009A1C8E">
        <w:t xml:space="preserve"> ranked costing and pricing as first or second.</w:t>
      </w:r>
    </w:p>
    <w:p w:rsidR="004E2D5B" w:rsidRPr="009A1C8E" w:rsidRDefault="004E2D5B" w:rsidP="00A14F68">
      <w:pPr>
        <w:spacing w:before="120" w:after="120" w:line="276" w:lineRule="auto"/>
      </w:pPr>
      <w:r w:rsidRPr="009A1C8E">
        <w:t>The need to improve capability in financial processes and controls was ranked highly by regional organisations (n=9, 64%) (</w:t>
      </w:r>
      <w:proofErr w:type="gramStart"/>
      <w:r w:rsidR="00E90487" w:rsidRPr="009A1C8E">
        <w:t>appendix</w:t>
      </w:r>
      <w:proofErr w:type="gramEnd"/>
      <w:r w:rsidR="00E90487" w:rsidRPr="009A1C8E">
        <w:t xml:space="preserve"> 2N</w:t>
      </w:r>
      <w:r w:rsidRPr="009A1C8E">
        <w:t>), and</w:t>
      </w:r>
      <w:r w:rsidR="00883C1D" w:rsidRPr="009A1C8E">
        <w:t xml:space="preserve"> ranked</w:t>
      </w:r>
      <w:r w:rsidRPr="009A1C8E">
        <w:t xml:space="preserve"> to a lesser degree among state-wide and metro respondents (n=5, 42% and n=3, 30% respectively ranking it first or second).</w:t>
      </w:r>
    </w:p>
    <w:p w:rsidR="0088139E" w:rsidRPr="009A1C8E" w:rsidRDefault="0088139E" w:rsidP="00A14F68">
      <w:pPr>
        <w:spacing w:before="120" w:after="120" w:line="276" w:lineRule="auto"/>
      </w:pPr>
      <w:r w:rsidRPr="009A1C8E">
        <w:t>Market research, strategies and planning was also more commonly ranked first or second among regional respondents (n=7, 58%), compared to metro (n=6, 43%) and state-wide (n=4, 36%) organisations.</w:t>
      </w:r>
    </w:p>
    <w:p w:rsidR="2DDBF7DD" w:rsidRPr="009A1C8E" w:rsidRDefault="00770047" w:rsidP="00830706">
      <w:pPr>
        <w:pStyle w:val="Heading2"/>
      </w:pPr>
      <w:bookmarkStart w:id="39" w:name="_Toc7614945"/>
      <w:r w:rsidRPr="009A1C8E">
        <w:t xml:space="preserve">3.3 </w:t>
      </w:r>
      <w:r w:rsidR="00B0104A" w:rsidRPr="009A1C8E">
        <w:t>Disability workforce</w:t>
      </w:r>
      <w:r w:rsidR="00C42D82" w:rsidRPr="009A1C8E">
        <w:t xml:space="preserve"> challenges</w:t>
      </w:r>
      <w:bookmarkEnd w:id="39"/>
    </w:p>
    <w:p w:rsidR="000A0EAF" w:rsidRPr="009A1C8E" w:rsidRDefault="00BD5B50" w:rsidP="00A14F68">
      <w:pPr>
        <w:spacing w:before="120" w:after="120" w:line="276" w:lineRule="auto"/>
      </w:pPr>
      <w:r w:rsidRPr="009A1C8E">
        <w:t xml:space="preserve">The NDIS </w:t>
      </w:r>
      <w:r w:rsidR="00BD5CA2" w:rsidRPr="009A1C8E">
        <w:t xml:space="preserve">brings </w:t>
      </w:r>
      <w:r w:rsidR="00202934" w:rsidRPr="009A1C8E">
        <w:t xml:space="preserve">significant challenges to the sector in terms of growing and developing </w:t>
      </w:r>
      <w:r w:rsidR="00B308E6" w:rsidRPr="009A1C8E">
        <w:t>the</w:t>
      </w:r>
      <w:r w:rsidR="00202934" w:rsidRPr="009A1C8E">
        <w:t xml:space="preserve"> workforce. </w:t>
      </w:r>
      <w:r w:rsidR="005B5AA8" w:rsidRPr="009A1C8E">
        <w:t>Since June 2015, the workforce has needed to more-than-double</w:t>
      </w:r>
      <w:r w:rsidR="002B4878" w:rsidRPr="009A1C8E">
        <w:t xml:space="preserve"> and o</w:t>
      </w:r>
      <w:r w:rsidR="004C6E20" w:rsidRPr="009A1C8E">
        <w:t>rganisations have had to</w:t>
      </w:r>
      <w:r w:rsidR="00210573" w:rsidRPr="009A1C8E">
        <w:t xml:space="preserve"> diversify </w:t>
      </w:r>
      <w:r w:rsidR="00111E06" w:rsidRPr="009A1C8E">
        <w:t xml:space="preserve">and develop </w:t>
      </w:r>
      <w:r w:rsidR="00210573" w:rsidRPr="009A1C8E">
        <w:t>their workforce to meet the needs of NDIS participants</w:t>
      </w:r>
      <w:r w:rsidR="00FF09F2" w:rsidRPr="009A1C8E">
        <w:t xml:space="preserve"> </w:t>
      </w:r>
      <w:r w:rsidR="002D37DC" w:rsidRPr="009A1C8E">
        <w:fldChar w:fldCharType="begin"/>
      </w:r>
      <w:r w:rsidR="00FF09F2" w:rsidRPr="009A1C8E">
        <w:instrText xml:space="preserve"> ADDIN EN.CITE &lt;EndNote&gt;&lt;Cite&gt;&lt;Author&gt;Commonwealth Department of Social Services&lt;/Author&gt;&lt;Year&gt;2015&lt;/Year&gt;&lt;RecNum&gt;255&lt;/RecNum&gt;&lt;DisplayText&gt;(5)&lt;/DisplayText&gt;&lt;record&gt;&lt;rec-number&gt;255&lt;/rec-number&gt;&lt;foreign-keys&gt;&lt;key app="EN" db-id="dtafe02tlezsd7ef59c5s9fdse5ze52xw2ta" timestamp="1554298291"&gt;255&lt;/key&gt;&lt;/foreign-keys&gt;&lt;ref-type name="Journal Article"&gt;17&lt;/ref-type&gt;&lt;contributors&gt;&lt;authors&gt;&lt;author&gt;Commonwealth Department of Social Services,&lt;/author&gt;&lt;/authors&gt;&lt;/contributors&gt;&lt;titles&gt;&lt;title&gt;National Disability Insurance Scheme Integrated Market, Sector and Workforce Strategy&lt;/title&gt;&lt;/titles&gt;&lt;dates&gt;&lt;year&gt;2015&lt;/year&gt;&lt;/dates&gt;&lt;urls&gt;&lt;/urls&gt;&lt;/record&gt;&lt;/Cite&gt;&lt;/EndNote&gt;</w:instrText>
      </w:r>
      <w:r w:rsidR="002D37DC" w:rsidRPr="009A1C8E">
        <w:fldChar w:fldCharType="separate"/>
      </w:r>
      <w:r w:rsidR="00FF09F2" w:rsidRPr="009A1C8E">
        <w:rPr>
          <w:noProof/>
        </w:rPr>
        <w:t>(5)</w:t>
      </w:r>
      <w:r w:rsidR="002D37DC" w:rsidRPr="009A1C8E">
        <w:fldChar w:fldCharType="end"/>
      </w:r>
      <w:r w:rsidR="00111E06" w:rsidRPr="009A1C8E">
        <w:t>. A s</w:t>
      </w:r>
      <w:r w:rsidR="00E640E0" w:rsidRPr="009A1C8E">
        <w:t>killed, diverse and s</w:t>
      </w:r>
      <w:r w:rsidR="00111E06" w:rsidRPr="009A1C8E">
        <w:t>ustainable</w:t>
      </w:r>
      <w:r w:rsidR="00E640E0" w:rsidRPr="009A1C8E">
        <w:t xml:space="preserve"> workforce is integral </w:t>
      </w:r>
      <w:r w:rsidR="009A1776" w:rsidRPr="009A1C8E">
        <w:t xml:space="preserve">in </w:t>
      </w:r>
      <w:r w:rsidR="00BD5CA2" w:rsidRPr="009A1C8E">
        <w:t xml:space="preserve">enabling </w:t>
      </w:r>
      <w:r w:rsidR="009A1776" w:rsidRPr="009A1C8E">
        <w:t xml:space="preserve">a </w:t>
      </w:r>
      <w:r w:rsidR="000A0EAF" w:rsidRPr="009A1C8E">
        <w:t>person</w:t>
      </w:r>
      <w:r w:rsidR="00B308E6" w:rsidRPr="009A1C8E">
        <w:noBreakHyphen/>
      </w:r>
      <w:proofErr w:type="spellStart"/>
      <w:r w:rsidR="000A0EAF" w:rsidRPr="009A1C8E">
        <w:t>centred</w:t>
      </w:r>
      <w:proofErr w:type="spellEnd"/>
      <w:r w:rsidR="000A0EAF" w:rsidRPr="009A1C8E">
        <w:t xml:space="preserve"> approach </w:t>
      </w:r>
      <w:r w:rsidR="00BD5CA2" w:rsidRPr="009A1C8E">
        <w:t xml:space="preserve">to </w:t>
      </w:r>
      <w:r w:rsidR="000A0EAF" w:rsidRPr="009A1C8E">
        <w:t>delivering supports</w:t>
      </w:r>
      <w:r w:rsidR="009B0B2C" w:rsidRPr="009A1C8E">
        <w:t xml:space="preserve"> and preventing thin markets from emerging</w:t>
      </w:r>
      <w:r w:rsidR="000A0EAF" w:rsidRPr="009A1C8E">
        <w:t>.</w:t>
      </w:r>
    </w:p>
    <w:p w:rsidR="00F845D5" w:rsidRPr="009A1C8E" w:rsidRDefault="00770047" w:rsidP="00830706">
      <w:pPr>
        <w:pStyle w:val="Heading3"/>
      </w:pPr>
      <w:r w:rsidRPr="009A1C8E">
        <w:t xml:space="preserve">3.3.1 </w:t>
      </w:r>
      <w:r w:rsidR="0042635A" w:rsidRPr="009A1C8E">
        <w:t xml:space="preserve">State of the </w:t>
      </w:r>
      <w:r w:rsidR="00AD1164" w:rsidRPr="009A1C8E">
        <w:t>disability support workforce</w:t>
      </w:r>
    </w:p>
    <w:p w:rsidR="006B3C54" w:rsidRPr="009A1C8E" w:rsidRDefault="009E44E0" w:rsidP="00A14F68">
      <w:pPr>
        <w:spacing w:before="120" w:after="120" w:line="276" w:lineRule="auto"/>
      </w:pPr>
      <w:r w:rsidRPr="009A1C8E">
        <w:t>NDS track</w:t>
      </w:r>
      <w:r w:rsidR="002B4D01" w:rsidRPr="009A1C8E">
        <w:t>s</w:t>
      </w:r>
      <w:r w:rsidRPr="009A1C8E">
        <w:t xml:space="preserve"> </w:t>
      </w:r>
      <w:r w:rsidR="002B4D01" w:rsidRPr="009A1C8E">
        <w:t xml:space="preserve">national and Victorian </w:t>
      </w:r>
      <w:r w:rsidRPr="009A1C8E">
        <w:t>disability workforce trends</w:t>
      </w:r>
      <w:r w:rsidR="002B4D01" w:rsidRPr="009A1C8E">
        <w:t xml:space="preserve"> through quarterly </w:t>
      </w:r>
      <w:r w:rsidR="00BA71CA" w:rsidRPr="009A1C8E">
        <w:t xml:space="preserve">Workforce </w:t>
      </w:r>
      <w:r w:rsidR="007E4458" w:rsidRPr="009A1C8E">
        <w:t>Wizard</w:t>
      </w:r>
      <w:r w:rsidR="002B4D01" w:rsidRPr="009A1C8E">
        <w:t xml:space="preserve"> data collection. </w:t>
      </w:r>
      <w:proofErr w:type="gramStart"/>
      <w:r w:rsidR="002B4D01" w:rsidRPr="009A1C8E">
        <w:t>Analysis of this data from 2015</w:t>
      </w:r>
      <w:r w:rsidR="00674B6E" w:rsidRPr="009A1C8E">
        <w:t>-</w:t>
      </w:r>
      <w:r w:rsidR="002B4D01" w:rsidRPr="009A1C8E">
        <w:t xml:space="preserve">2018 shows that, in </w:t>
      </w:r>
      <w:r w:rsidR="00B34310" w:rsidRPr="009A1C8E">
        <w:t>Victoria</w:t>
      </w:r>
      <w:r w:rsidR="002B4D01" w:rsidRPr="009A1C8E">
        <w:t xml:space="preserve"> and nationally</w:t>
      </w:r>
      <w:r w:rsidR="00B34310" w:rsidRPr="009A1C8E">
        <w:t>, t</w:t>
      </w:r>
      <w:r w:rsidR="0042635A" w:rsidRPr="009A1C8E">
        <w:t>he disability sector is predominately comprised of women</w:t>
      </w:r>
      <w:r w:rsidR="00500819" w:rsidRPr="009A1C8E">
        <w:t xml:space="preserve"> (69%)</w:t>
      </w:r>
      <w:r w:rsidR="001B38C1" w:rsidRPr="009A1C8E">
        <w:t>.</w:t>
      </w:r>
      <w:proofErr w:type="gramEnd"/>
      <w:r w:rsidR="001B38C1" w:rsidRPr="009A1C8E">
        <w:t xml:space="preserve"> As of </w:t>
      </w:r>
      <w:r w:rsidR="00BB48BD" w:rsidRPr="009A1C8E">
        <w:t xml:space="preserve">March 2017, 45% of the Australian workforce was aged 45 years or </w:t>
      </w:r>
      <w:r w:rsidR="00674B6E" w:rsidRPr="009A1C8E">
        <w:t>over</w:t>
      </w:r>
      <w:r w:rsidR="006A35A0" w:rsidRPr="009A1C8E">
        <w:t xml:space="preserve"> </w:t>
      </w:r>
      <w:r w:rsidR="002D37DC" w:rsidRPr="009A1C8E">
        <w:fldChar w:fldCharType="begin"/>
      </w:r>
      <w:r w:rsidR="00AD1823" w:rsidRPr="009A1C8E">
        <w:instrText xml:space="preserve"> ADDIN EN.CITE &lt;EndNote&gt;&lt;Cite&gt;&lt;Author&gt;National Disability Services&lt;/Author&gt;&lt;RecNum&gt;289&lt;/RecNum&gt;&lt;DisplayText&gt;(15)&lt;/DisplayText&gt;&lt;record&gt;&lt;rec-number&gt;289&lt;/rec-number&gt;&lt;foreign-keys&gt;&lt;key app="EN" db-id="dtafe02tlezsd7ef59c5s9fdse5ze52xw2ta" timestamp="1554960326"&gt;289&lt;/key&gt;&lt;/foreign-keys&gt;&lt;ref-type name="Journal Article"&gt;17&lt;/ref-type&gt;&lt;contributors&gt;&lt;authors&gt;&lt;author&gt;National Disability Services,&lt;/author&gt;&lt;/authors&gt;&lt;/contributors&gt;&lt;titles&gt;&lt;title&gt;Australian Disability Workforce Report July 2017&lt;/title&gt;&lt;/titles&gt;&lt;dates&gt;&lt;/dates&gt;&lt;urls&gt;&lt;/urls&gt;&lt;/record&gt;&lt;/Cite&gt;&lt;/EndNote&gt;</w:instrText>
      </w:r>
      <w:r w:rsidR="002D37DC" w:rsidRPr="009A1C8E">
        <w:fldChar w:fldCharType="separate"/>
      </w:r>
      <w:r w:rsidR="004C3D69" w:rsidRPr="009A1C8E">
        <w:rPr>
          <w:noProof/>
        </w:rPr>
        <w:t>(15)</w:t>
      </w:r>
      <w:r w:rsidR="002D37DC" w:rsidRPr="009A1C8E">
        <w:fldChar w:fldCharType="end"/>
      </w:r>
      <w:r w:rsidR="00BB48BD" w:rsidRPr="009A1C8E">
        <w:t>.</w:t>
      </w:r>
    </w:p>
    <w:p w:rsidR="00DA3A35" w:rsidRPr="009A1C8E" w:rsidRDefault="00365575" w:rsidP="00A14F68">
      <w:pPr>
        <w:spacing w:before="120" w:after="120" w:line="276" w:lineRule="auto"/>
      </w:pPr>
      <w:r w:rsidRPr="009A1C8E">
        <w:t>Victoria</w:t>
      </w:r>
      <w:r w:rsidR="002B4D01" w:rsidRPr="009A1C8E">
        <w:t>n workforce composition trends</w:t>
      </w:r>
      <w:r w:rsidRPr="009A1C8E">
        <w:t xml:space="preserve"> </w:t>
      </w:r>
      <w:r w:rsidR="00EC0C89" w:rsidRPr="009A1C8E">
        <w:t>have been relatively stable (</w:t>
      </w:r>
      <w:r w:rsidR="00F512B4" w:rsidRPr="009A1C8E">
        <w:t>appendix 3A</w:t>
      </w:r>
      <w:r w:rsidR="00EC0C89" w:rsidRPr="009A1C8E">
        <w:t xml:space="preserve">). </w:t>
      </w:r>
      <w:r w:rsidR="00C8325A" w:rsidRPr="009A1C8E">
        <w:t xml:space="preserve">On average, </w:t>
      </w:r>
      <w:r w:rsidR="00C5767B" w:rsidRPr="009A1C8E">
        <w:t xml:space="preserve">casual </w:t>
      </w:r>
      <w:proofErr w:type="gramStart"/>
      <w:r w:rsidR="00C5767B" w:rsidRPr="009A1C8E">
        <w:t>staff comprise</w:t>
      </w:r>
      <w:proofErr w:type="gramEnd"/>
      <w:r w:rsidR="00C8325A" w:rsidRPr="009A1C8E">
        <w:t xml:space="preserve"> 43% of the Victorian disability support workforce, and permanent staff make up 50% of the workforce. </w:t>
      </w:r>
      <w:r w:rsidR="008B144D" w:rsidRPr="009A1C8E">
        <w:t xml:space="preserve">However, permanent </w:t>
      </w:r>
      <w:proofErr w:type="gramStart"/>
      <w:r w:rsidR="008B144D" w:rsidRPr="009A1C8E">
        <w:t>staff are</w:t>
      </w:r>
      <w:proofErr w:type="gramEnd"/>
      <w:r w:rsidR="008B144D" w:rsidRPr="009A1C8E">
        <w:t xml:space="preserve"> mostly employed </w:t>
      </w:r>
      <w:r w:rsidR="00FB0E17" w:rsidRPr="009A1C8E">
        <w:t xml:space="preserve">part-time </w:t>
      </w:r>
      <w:r w:rsidR="008B144D" w:rsidRPr="009A1C8E">
        <w:t>(on average 83% of the Victorian permanent workforce).</w:t>
      </w:r>
      <w:r w:rsidR="00BA190C" w:rsidRPr="009A1C8E">
        <w:t xml:space="preserve"> </w:t>
      </w:r>
      <w:r w:rsidR="006C4C02" w:rsidRPr="009A1C8E">
        <w:t xml:space="preserve">Victoria appears to have a strong history of </w:t>
      </w:r>
      <w:r w:rsidR="00674B6E" w:rsidRPr="009A1C8E">
        <w:t xml:space="preserve">a </w:t>
      </w:r>
      <w:r w:rsidR="006C4C02" w:rsidRPr="009A1C8E">
        <w:t>largely casual workforce, with an additional rise in casual staff since</w:t>
      </w:r>
      <w:r w:rsidR="007E1688" w:rsidRPr="009A1C8E">
        <w:t xml:space="preserve"> March 201</w:t>
      </w:r>
      <w:r w:rsidR="006C4C02" w:rsidRPr="009A1C8E">
        <w:t>8</w:t>
      </w:r>
      <w:r w:rsidR="005461D5" w:rsidRPr="009A1C8E">
        <w:t xml:space="preserve">. </w:t>
      </w:r>
      <w:r w:rsidR="008B144D" w:rsidRPr="009A1C8E">
        <w:t xml:space="preserve">In Victoria, permanent staffing has been on the decline since June 2016, however, </w:t>
      </w:r>
      <w:r w:rsidR="00674B6E" w:rsidRPr="009A1C8E">
        <w:t xml:space="preserve">it </w:t>
      </w:r>
      <w:r w:rsidR="00FB0E17" w:rsidRPr="009A1C8E">
        <w:t xml:space="preserve">increased </w:t>
      </w:r>
      <w:r w:rsidR="008B144D" w:rsidRPr="009A1C8E">
        <w:t xml:space="preserve">in December 2018. Similarly, </w:t>
      </w:r>
      <w:r w:rsidR="00B2069E" w:rsidRPr="009A1C8E">
        <w:t xml:space="preserve">there has been a </w:t>
      </w:r>
      <w:r w:rsidR="00B2069E" w:rsidRPr="009A1C8E">
        <w:lastRenderedPageBreak/>
        <w:t xml:space="preserve">significant decline in permanent staff and </w:t>
      </w:r>
      <w:r w:rsidR="006D329D" w:rsidRPr="009A1C8E">
        <w:t xml:space="preserve">a </w:t>
      </w:r>
      <w:r w:rsidR="00B2069E" w:rsidRPr="009A1C8E">
        <w:t>gradual increase in casual staff</w:t>
      </w:r>
      <w:r w:rsidR="008B144D" w:rsidRPr="009A1C8E">
        <w:t xml:space="preserve"> nationally</w:t>
      </w:r>
      <w:r w:rsidR="00F75524" w:rsidRPr="009A1C8E">
        <w:t xml:space="preserve"> (</w:t>
      </w:r>
      <w:r w:rsidR="00F512B4" w:rsidRPr="009A1C8E">
        <w:t>appendix 3A</w:t>
      </w:r>
      <w:r w:rsidR="00F75524" w:rsidRPr="009A1C8E">
        <w:t xml:space="preserve">). </w:t>
      </w:r>
      <w:r w:rsidR="008B144D" w:rsidRPr="009A1C8E">
        <w:t xml:space="preserve">On average, </w:t>
      </w:r>
      <w:r w:rsidR="00F75524" w:rsidRPr="009A1C8E">
        <w:t xml:space="preserve">casual </w:t>
      </w:r>
      <w:proofErr w:type="gramStart"/>
      <w:r w:rsidR="00F75524" w:rsidRPr="009A1C8E">
        <w:t>staff comprise</w:t>
      </w:r>
      <w:proofErr w:type="gramEnd"/>
      <w:r w:rsidR="00F75524" w:rsidRPr="009A1C8E">
        <w:t xml:space="preserve"> </w:t>
      </w:r>
      <w:r w:rsidR="000F18DF" w:rsidRPr="009A1C8E">
        <w:t>4</w:t>
      </w:r>
      <w:r w:rsidR="008B144D" w:rsidRPr="009A1C8E">
        <w:t>3</w:t>
      </w:r>
      <w:r w:rsidR="00F75524" w:rsidRPr="009A1C8E">
        <w:t xml:space="preserve">% of the </w:t>
      </w:r>
      <w:r w:rsidR="000F18DF" w:rsidRPr="009A1C8E">
        <w:t xml:space="preserve">Australian disability </w:t>
      </w:r>
      <w:r w:rsidR="008B144D" w:rsidRPr="009A1C8E">
        <w:t xml:space="preserve">support </w:t>
      </w:r>
      <w:r w:rsidR="000F18DF" w:rsidRPr="009A1C8E">
        <w:t>workforce, and permanent staff mak</w:t>
      </w:r>
      <w:r w:rsidR="00411281" w:rsidRPr="009A1C8E">
        <w:t>e</w:t>
      </w:r>
      <w:r w:rsidR="000F18DF" w:rsidRPr="009A1C8E">
        <w:t xml:space="preserve"> up </w:t>
      </w:r>
      <w:r w:rsidR="008B144D" w:rsidRPr="009A1C8E">
        <w:t>52</w:t>
      </w:r>
      <w:r w:rsidR="000F18DF" w:rsidRPr="009A1C8E">
        <w:t xml:space="preserve">% of the </w:t>
      </w:r>
      <w:r w:rsidR="00E60C14" w:rsidRPr="009A1C8E">
        <w:t>Australian workforce.</w:t>
      </w:r>
      <w:r w:rsidR="008B144D" w:rsidRPr="009A1C8E">
        <w:t xml:space="preserve"> Nationally, full-time </w:t>
      </w:r>
      <w:proofErr w:type="gramStart"/>
      <w:r w:rsidR="008B144D" w:rsidRPr="009A1C8E">
        <w:t>staff comprise</w:t>
      </w:r>
      <w:proofErr w:type="gramEnd"/>
      <w:r w:rsidR="008B144D" w:rsidRPr="009A1C8E">
        <w:t xml:space="preserve"> a greater proportion of the permanent workforce (23%) than in Victoria (17%).</w:t>
      </w:r>
    </w:p>
    <w:p w:rsidR="001C6E68" w:rsidRPr="009A1C8E" w:rsidRDefault="00F512B4" w:rsidP="00A14F68">
      <w:pPr>
        <w:spacing w:before="120" w:after="120" w:line="276" w:lineRule="auto"/>
      </w:pPr>
      <w:r w:rsidRPr="009A1C8E">
        <w:t>Appendix 3B</w:t>
      </w:r>
      <w:r w:rsidR="00250187" w:rsidRPr="009A1C8E">
        <w:t xml:space="preserve"> shows</w:t>
      </w:r>
      <w:r w:rsidR="00F51986" w:rsidRPr="009A1C8E">
        <w:t xml:space="preserve"> the</w:t>
      </w:r>
      <w:r w:rsidR="00250187" w:rsidRPr="009A1C8E">
        <w:t xml:space="preserve"> </w:t>
      </w:r>
      <w:r w:rsidR="002B4D01" w:rsidRPr="009A1C8E">
        <w:t xml:space="preserve">Victorian and national </w:t>
      </w:r>
      <w:r w:rsidR="00250187" w:rsidRPr="009A1C8E">
        <w:t>quarterly turnover rates</w:t>
      </w:r>
      <w:r w:rsidR="00F51986" w:rsidRPr="009A1C8E">
        <w:t xml:space="preserve"> for disability support workers</w:t>
      </w:r>
      <w:r w:rsidR="00250187" w:rsidRPr="009A1C8E">
        <w:t xml:space="preserve"> </w:t>
      </w:r>
      <w:r w:rsidR="00E11C99" w:rsidRPr="009A1C8E">
        <w:t xml:space="preserve">by employment </w:t>
      </w:r>
      <w:r w:rsidR="002B4D01" w:rsidRPr="009A1C8E">
        <w:t>type</w:t>
      </w:r>
      <w:r w:rsidR="00E11C99" w:rsidRPr="009A1C8E">
        <w:t xml:space="preserve">. As expected, </w:t>
      </w:r>
      <w:r w:rsidR="00E9763C" w:rsidRPr="009A1C8E">
        <w:t xml:space="preserve">casual staff </w:t>
      </w:r>
      <w:r w:rsidR="002B4D01" w:rsidRPr="009A1C8E">
        <w:t xml:space="preserve">turnover </w:t>
      </w:r>
      <w:r w:rsidR="00E9763C" w:rsidRPr="009A1C8E">
        <w:t xml:space="preserve">fluctuates and is </w:t>
      </w:r>
      <w:r w:rsidR="002B4D01" w:rsidRPr="009A1C8E">
        <w:t xml:space="preserve">higher </w:t>
      </w:r>
      <w:r w:rsidR="00E9763C" w:rsidRPr="009A1C8E">
        <w:t>than permanent staff</w:t>
      </w:r>
      <w:r w:rsidR="00232A85" w:rsidRPr="009A1C8E">
        <w:t xml:space="preserve"> turnover</w:t>
      </w:r>
      <w:r w:rsidR="00E9763C" w:rsidRPr="009A1C8E">
        <w:t xml:space="preserve">. </w:t>
      </w:r>
      <w:r w:rsidR="00F51986" w:rsidRPr="009A1C8E">
        <w:t>T</w:t>
      </w:r>
      <w:r w:rsidR="002B4D01" w:rsidRPr="009A1C8E">
        <w:t xml:space="preserve">he </w:t>
      </w:r>
      <w:r w:rsidR="00393629" w:rsidRPr="009A1C8E">
        <w:t>average</w:t>
      </w:r>
      <w:r w:rsidR="002B4D01" w:rsidRPr="009A1C8E">
        <w:t xml:space="preserve"> </w:t>
      </w:r>
      <w:r w:rsidR="00E46853" w:rsidRPr="009A1C8E">
        <w:t xml:space="preserve">casual turnover rate </w:t>
      </w:r>
      <w:r w:rsidR="00FB0E17" w:rsidRPr="009A1C8E">
        <w:t>is</w:t>
      </w:r>
      <w:r w:rsidR="00F51986" w:rsidRPr="009A1C8E">
        <w:t xml:space="preserve"> </w:t>
      </w:r>
      <w:r w:rsidR="00E46853" w:rsidRPr="009A1C8E">
        <w:t>7% per quarter</w:t>
      </w:r>
      <w:r w:rsidR="00F51986" w:rsidRPr="009A1C8E">
        <w:t xml:space="preserve"> (both nationally and in Victoria)</w:t>
      </w:r>
      <w:r w:rsidR="007B0034" w:rsidRPr="009A1C8E">
        <w:t>, compared to 4% per quarter for permanent staff</w:t>
      </w:r>
      <w:r w:rsidR="00F51986" w:rsidRPr="009A1C8E">
        <w:t xml:space="preserve"> in Victoria and 5% nationally</w:t>
      </w:r>
      <w:r w:rsidR="007B0034" w:rsidRPr="009A1C8E">
        <w:t>.</w:t>
      </w:r>
      <w:r w:rsidR="008B19DB" w:rsidRPr="009A1C8E">
        <w:t xml:space="preserve"> </w:t>
      </w:r>
      <w:r w:rsidR="007B0034" w:rsidRPr="009A1C8E">
        <w:t>Victorian permanent staffing</w:t>
      </w:r>
      <w:r w:rsidR="000A0D1F" w:rsidRPr="009A1C8E">
        <w:t xml:space="preserve"> turnover rates appeared </w:t>
      </w:r>
      <w:r w:rsidR="00F51986" w:rsidRPr="009A1C8E">
        <w:t xml:space="preserve">relatively stable </w:t>
      </w:r>
      <w:r w:rsidR="005976FF" w:rsidRPr="009A1C8E">
        <w:t>until September 2017</w:t>
      </w:r>
      <w:r w:rsidR="00674B6E" w:rsidRPr="009A1C8E">
        <w:t>.</w:t>
      </w:r>
      <w:r w:rsidR="005976FF" w:rsidRPr="009A1C8E">
        <w:t xml:space="preserve"> </w:t>
      </w:r>
      <w:r w:rsidR="00674B6E" w:rsidRPr="009A1C8E">
        <w:t>H</w:t>
      </w:r>
      <w:r w:rsidR="00F51986" w:rsidRPr="009A1C8E">
        <w:t>owever,</w:t>
      </w:r>
      <w:r w:rsidR="002B4D01" w:rsidRPr="009A1C8E">
        <w:t xml:space="preserve"> </w:t>
      </w:r>
      <w:r w:rsidR="00674B6E" w:rsidRPr="009A1C8E">
        <w:t xml:space="preserve">they </w:t>
      </w:r>
      <w:r w:rsidR="002B4D01" w:rsidRPr="009A1C8E">
        <w:t xml:space="preserve">have </w:t>
      </w:r>
      <w:r w:rsidR="00F51986" w:rsidRPr="009A1C8E">
        <w:t>since risen</w:t>
      </w:r>
      <w:r w:rsidR="007573D4" w:rsidRPr="009A1C8E">
        <w:t>.</w:t>
      </w:r>
    </w:p>
    <w:p w:rsidR="00CB3208" w:rsidRPr="009A1C8E" w:rsidRDefault="0087460F" w:rsidP="00A14F68">
      <w:pPr>
        <w:spacing w:before="120" w:after="120" w:line="276" w:lineRule="auto"/>
      </w:pPr>
      <w:r w:rsidRPr="009A1C8E">
        <w:t>R</w:t>
      </w:r>
      <w:r w:rsidR="00FA76BA" w:rsidRPr="009A1C8E">
        <w:t xml:space="preserve">easons why staff resigned varied </w:t>
      </w:r>
      <w:r w:rsidRPr="009A1C8E">
        <w:t xml:space="preserve">between </w:t>
      </w:r>
      <w:r w:rsidR="00FA76BA" w:rsidRPr="009A1C8E">
        <w:t xml:space="preserve">new and long-term staff. Staff employed for </w:t>
      </w:r>
      <w:r w:rsidR="00674B6E" w:rsidRPr="009A1C8E">
        <w:t>six</w:t>
      </w:r>
      <w:r w:rsidR="00FA76BA" w:rsidRPr="009A1C8E">
        <w:t xml:space="preserve"> months or less </w:t>
      </w:r>
      <w:r w:rsidRPr="009A1C8E">
        <w:t xml:space="preserve">left </w:t>
      </w:r>
      <w:r w:rsidR="00FA76BA" w:rsidRPr="009A1C8E">
        <w:t>because of working hours (particularly insufficient work and shift-work), lack of permanent job opportunities, low pay and</w:t>
      </w:r>
      <w:r w:rsidR="006E58B4" w:rsidRPr="009A1C8E">
        <w:t xml:space="preserve"> </w:t>
      </w:r>
      <w:r w:rsidR="00FA76BA" w:rsidRPr="009A1C8E">
        <w:t>limited career progression</w:t>
      </w:r>
      <w:r w:rsidR="006E58B4" w:rsidRPr="009A1C8E">
        <w:t xml:space="preserve"> opportunities</w:t>
      </w:r>
      <w:r w:rsidR="00FA76BA" w:rsidRPr="009A1C8E">
        <w:t xml:space="preserve">. On the </w:t>
      </w:r>
      <w:r w:rsidRPr="009A1C8E">
        <w:t>other hand</w:t>
      </w:r>
      <w:r w:rsidR="00FA76BA" w:rsidRPr="009A1C8E">
        <w:t>, long-term workers resigned because they were relocating, retiring or had family or healt</w:t>
      </w:r>
      <w:r w:rsidR="00767B12" w:rsidRPr="009A1C8E">
        <w:t>h</w:t>
      </w:r>
      <w:r w:rsidR="00FA76BA" w:rsidRPr="009A1C8E">
        <w:t xml:space="preserve"> issues </w:t>
      </w:r>
      <w:r w:rsidR="002D37DC" w:rsidRPr="009A1C8E">
        <w:fldChar w:fldCharType="begin"/>
      </w:r>
      <w:r w:rsidR="004C3D69" w:rsidRPr="009A1C8E">
        <w:instrText xml:space="preserve"> ADDIN EN.CITE &lt;EndNote&gt;&lt;Cite&gt;&lt;Author&gt;National Disability Services&lt;/Author&gt;&lt;Year&gt;2018&lt;/Year&gt;&lt;RecNum&gt;264&lt;/RecNum&gt;&lt;DisplayText&gt;(16)&lt;/DisplayText&gt;&lt;record&gt;&lt;rec-number&gt;264&lt;/rec-number&gt;&lt;foreign-keys&gt;&lt;key app="EN" db-id="dtafe02tlezsd7ef59c5s9fdse5ze52xw2ta" timestamp="1554319810"&gt;264&lt;/key&gt;&lt;/foreign-keys&gt;&lt;ref-type name="Report"&gt;27&lt;/ref-type&gt;&lt;contributors&gt;&lt;authors&gt;&lt;author&gt;National Disability Services,&lt;/author&gt;&lt;/authors&gt;&lt;/contributors&gt;&lt;titles&gt;&lt;title&gt;Workforce Wizard September 2018 quarter spotlight topic: reasons why employees leave&lt;/title&gt;&lt;/titles&gt;&lt;dates&gt;&lt;year&gt;2018&lt;/year&gt;&lt;/dates&gt;&lt;urls&gt;&lt;/urls&gt;&lt;/record&gt;&lt;/Cite&gt;&lt;/EndNote&gt;</w:instrText>
      </w:r>
      <w:r w:rsidR="002D37DC" w:rsidRPr="009A1C8E">
        <w:fldChar w:fldCharType="separate"/>
      </w:r>
      <w:r w:rsidR="004C3D69" w:rsidRPr="009A1C8E">
        <w:rPr>
          <w:noProof/>
        </w:rPr>
        <w:t>(16)</w:t>
      </w:r>
      <w:r w:rsidR="002D37DC" w:rsidRPr="009A1C8E">
        <w:fldChar w:fldCharType="end"/>
      </w:r>
      <w:r w:rsidR="00FA76BA" w:rsidRPr="009A1C8E">
        <w:t>.</w:t>
      </w:r>
    </w:p>
    <w:p w:rsidR="0086425C" w:rsidRPr="009A1C8E" w:rsidRDefault="00770047" w:rsidP="00830706">
      <w:pPr>
        <w:pStyle w:val="Heading3"/>
      </w:pPr>
      <w:r w:rsidRPr="009A1C8E">
        <w:t>3.3</w:t>
      </w:r>
      <w:r w:rsidR="00E86E44" w:rsidRPr="009A1C8E">
        <w:t xml:space="preserve">.2 </w:t>
      </w:r>
      <w:r w:rsidR="00AD1164" w:rsidRPr="009A1C8E">
        <w:t>Workforce s</w:t>
      </w:r>
      <w:r w:rsidR="0086425C" w:rsidRPr="009A1C8E">
        <w:t>ustainability challenges</w:t>
      </w:r>
    </w:p>
    <w:p w:rsidR="008E3293" w:rsidRPr="009A1C8E" w:rsidRDefault="00767B12" w:rsidP="00A14F68">
      <w:pPr>
        <w:spacing w:before="120" w:after="120" w:line="276" w:lineRule="auto"/>
      </w:pPr>
      <w:r w:rsidRPr="009A1C8E">
        <w:t>W</w:t>
      </w:r>
      <w:r w:rsidR="009B63BD" w:rsidRPr="009A1C8E">
        <w:t>orkforce</w:t>
      </w:r>
      <w:r w:rsidR="00674B6E" w:rsidRPr="009A1C8E">
        <w:t>-</w:t>
      </w:r>
      <w:r w:rsidR="009B63BD" w:rsidRPr="009A1C8E">
        <w:t xml:space="preserve">related challenges </w:t>
      </w:r>
      <w:r w:rsidRPr="009A1C8E">
        <w:t>were also</w:t>
      </w:r>
      <w:r w:rsidR="009B63BD" w:rsidRPr="009A1C8E">
        <w:t xml:space="preserve"> </w:t>
      </w:r>
      <w:r w:rsidR="0087460F" w:rsidRPr="009A1C8E">
        <w:t xml:space="preserve">a strong theme in </w:t>
      </w:r>
      <w:r w:rsidRPr="009A1C8E">
        <w:t xml:space="preserve">the SDP </w:t>
      </w:r>
      <w:r w:rsidR="00926172" w:rsidRPr="009A1C8E">
        <w:t>O</w:t>
      </w:r>
      <w:r w:rsidRPr="009A1C8E">
        <w:t xml:space="preserve">utcomes </w:t>
      </w:r>
      <w:r w:rsidR="00926172" w:rsidRPr="009A1C8E">
        <w:t>E</w:t>
      </w:r>
      <w:r w:rsidRPr="009A1C8E">
        <w:t>valuation</w:t>
      </w:r>
      <w:r w:rsidR="003E0396" w:rsidRPr="009A1C8E">
        <w:t xml:space="preserve"> </w:t>
      </w:r>
      <w:r w:rsidR="002D37DC" w:rsidRPr="009A1C8E">
        <w:fldChar w:fldCharType="begin"/>
      </w:r>
      <w:r w:rsidR="005D588A" w:rsidRPr="009A1C8E">
        <w:instrText xml:space="preserve"> ADDIN EN.CITE &lt;EndNote&gt;&lt;Cite&gt;&lt;Author&gt;Brown&lt;/Author&gt;&lt;Year&gt;2018&lt;/Year&gt;&lt;RecNum&gt;261&lt;/RecNum&gt;&lt;DisplayText&gt;(12)&lt;/DisplayText&gt;&lt;record&gt;&lt;rec-number&gt;261&lt;/rec-number&gt;&lt;foreign-keys&gt;&lt;key app="EN" db-id="dtafe02tlezsd7ef59c5s9fdse5ze52xw2ta" timestamp="1554303960"&gt;261&lt;/key&gt;&lt;/foreign-keys&gt;&lt;ref-type name="Report"&gt;27&lt;/ref-type&gt;&lt;contributors&gt;&lt;authors&gt;&lt;author&gt;Brown, M&lt;/author&gt;&lt;author&gt;Canobi, S&lt;/author&gt;&lt;author&gt;Mathys, Z&lt;/author&gt;&lt;author&gt;Randall, K &lt;/author&gt;&lt;/authors&gt;&lt;/contributors&gt;&lt;titles&gt;&lt;title&gt;Evaluation: NDIS Sector Development Project Phase 2, Report 2 of 3&lt;/title&gt;&lt;/titles&gt;&lt;dates&gt;&lt;year&gt;2018&lt;/year&gt;&lt;/dates&gt;&lt;pub-location&gt;Melbourne&lt;/pub-location&gt;&lt;publisher&gt;Dyson Consulting Group and National Disability Services&lt;/publisher&gt;&lt;urls&gt;&lt;/urls&gt;&lt;/record&gt;&lt;/Cite&gt;&lt;/EndNote&gt;</w:instrText>
      </w:r>
      <w:r w:rsidR="002D37DC" w:rsidRPr="009A1C8E">
        <w:fldChar w:fldCharType="separate"/>
      </w:r>
      <w:r w:rsidR="005D588A" w:rsidRPr="009A1C8E">
        <w:rPr>
          <w:noProof/>
        </w:rPr>
        <w:t>(12)</w:t>
      </w:r>
      <w:r w:rsidR="002D37DC" w:rsidRPr="009A1C8E">
        <w:fldChar w:fldCharType="end"/>
      </w:r>
      <w:r w:rsidR="009B63BD" w:rsidRPr="009A1C8E">
        <w:t>. The third and fifth most commonly reported challenges were</w:t>
      </w:r>
      <w:r w:rsidR="00480402" w:rsidRPr="009A1C8E">
        <w:t xml:space="preserve"> </w:t>
      </w:r>
      <w:r w:rsidR="00674B6E" w:rsidRPr="009A1C8E">
        <w:t>“</w:t>
      </w:r>
      <w:r w:rsidR="00480402" w:rsidRPr="009A1C8E">
        <w:t>difficulty recruiting staff</w:t>
      </w:r>
      <w:r w:rsidR="00674B6E" w:rsidRPr="009A1C8E">
        <w:t>”</w:t>
      </w:r>
      <w:r w:rsidR="006B7F10" w:rsidRPr="009A1C8E">
        <w:t xml:space="preserve"> (more significantly</w:t>
      </w:r>
      <w:r w:rsidR="00544269" w:rsidRPr="009A1C8E">
        <w:t xml:space="preserve"> selected</w:t>
      </w:r>
      <w:r w:rsidR="006B7F10" w:rsidRPr="009A1C8E">
        <w:t xml:space="preserve"> among metro respondents)</w:t>
      </w:r>
      <w:r w:rsidR="00480402" w:rsidRPr="009A1C8E">
        <w:t xml:space="preserve"> and </w:t>
      </w:r>
      <w:r w:rsidR="00674B6E" w:rsidRPr="009A1C8E">
        <w:t>“</w:t>
      </w:r>
      <w:r w:rsidR="0047243D" w:rsidRPr="009A1C8E">
        <w:t>unable to afford investment in staff training, certification or development</w:t>
      </w:r>
      <w:r w:rsidR="00674B6E" w:rsidRPr="009A1C8E">
        <w:t>”</w:t>
      </w:r>
      <w:r w:rsidR="0047243D" w:rsidRPr="009A1C8E">
        <w:t>.</w:t>
      </w:r>
      <w:r w:rsidR="00BA7B92" w:rsidRPr="009A1C8E">
        <w:t xml:space="preserve"> Interestingly, </w:t>
      </w:r>
      <w:r w:rsidR="00674B6E" w:rsidRPr="009A1C8E">
        <w:t>“</w:t>
      </w:r>
      <w:r w:rsidR="00232C27" w:rsidRPr="009A1C8E">
        <w:t>difficulty r</w:t>
      </w:r>
      <w:r w:rsidR="002E07DB" w:rsidRPr="009A1C8E">
        <w:t>etaining staff</w:t>
      </w:r>
      <w:r w:rsidR="00674B6E" w:rsidRPr="009A1C8E">
        <w:t>”</w:t>
      </w:r>
      <w:r w:rsidR="002E07DB" w:rsidRPr="009A1C8E">
        <w:t xml:space="preserve"> </w:t>
      </w:r>
      <w:r w:rsidR="00F14316" w:rsidRPr="009A1C8E">
        <w:t xml:space="preserve">was less commonly </w:t>
      </w:r>
      <w:r w:rsidR="00575ED8" w:rsidRPr="009A1C8E">
        <w:t>selected</w:t>
      </w:r>
      <w:r w:rsidR="00232C27" w:rsidRPr="009A1C8E">
        <w:t>.</w:t>
      </w:r>
    </w:p>
    <w:p w:rsidR="0086425C" w:rsidRPr="009A1C8E" w:rsidRDefault="00770047" w:rsidP="00830706">
      <w:pPr>
        <w:pStyle w:val="Heading3"/>
      </w:pPr>
      <w:r w:rsidRPr="009A1C8E">
        <w:t>3</w:t>
      </w:r>
      <w:r w:rsidR="00E86E44" w:rsidRPr="009A1C8E">
        <w:t xml:space="preserve">.3.3 </w:t>
      </w:r>
      <w:r w:rsidR="001B5B9A" w:rsidRPr="009A1C8E">
        <w:t>R</w:t>
      </w:r>
      <w:r w:rsidR="0086425C" w:rsidRPr="009A1C8E">
        <w:t>ecruit</w:t>
      </w:r>
      <w:r w:rsidR="001B5B9A" w:rsidRPr="009A1C8E">
        <w:t>ing</w:t>
      </w:r>
      <w:r w:rsidR="0086425C" w:rsidRPr="009A1C8E">
        <w:t xml:space="preserve"> and retain</w:t>
      </w:r>
      <w:r w:rsidR="00414F0D" w:rsidRPr="009A1C8E">
        <w:t>ing competent staff</w:t>
      </w:r>
    </w:p>
    <w:p w:rsidR="00FA54E3" w:rsidRPr="009A1C8E" w:rsidRDefault="006336A6" w:rsidP="00A14F68">
      <w:pPr>
        <w:spacing w:before="120" w:after="120" w:line="276" w:lineRule="auto"/>
      </w:pPr>
      <w:r w:rsidRPr="009A1C8E">
        <w:t xml:space="preserve">AMS data shows that in 2017-18 </w:t>
      </w:r>
      <w:r w:rsidR="00966983" w:rsidRPr="009A1C8E">
        <w:t xml:space="preserve">recruiting and retaining competent staff </w:t>
      </w:r>
      <w:r w:rsidRPr="009A1C8E">
        <w:t xml:space="preserve">was difficult </w:t>
      </w:r>
      <w:r w:rsidR="00966983" w:rsidRPr="009A1C8E">
        <w:t xml:space="preserve">across a range of occupational categories. </w:t>
      </w:r>
      <w:r w:rsidR="00622B7E" w:rsidRPr="009A1C8E">
        <w:t>P</w:t>
      </w:r>
      <w:r w:rsidR="00EB0F21" w:rsidRPr="009A1C8E">
        <w:t>sychologists, occupational therapists and speech therapists appear</w:t>
      </w:r>
      <w:r w:rsidR="00903A53" w:rsidRPr="009A1C8E">
        <w:t>ed</w:t>
      </w:r>
      <w:r w:rsidR="00EB0F21" w:rsidRPr="009A1C8E">
        <w:t xml:space="preserve"> </w:t>
      </w:r>
      <w:r w:rsidR="00622B7E" w:rsidRPr="009A1C8E">
        <w:t xml:space="preserve">difficult to recruit </w:t>
      </w:r>
      <w:r w:rsidRPr="009A1C8E">
        <w:t xml:space="preserve">both </w:t>
      </w:r>
      <w:r w:rsidR="00622B7E" w:rsidRPr="009A1C8E">
        <w:t xml:space="preserve">in Victoria and nationally. </w:t>
      </w:r>
      <w:r w:rsidR="009C40AD" w:rsidRPr="009A1C8E">
        <w:t xml:space="preserve">Non-therapist occupations such as disability support workers and </w:t>
      </w:r>
      <w:r w:rsidR="00AC6BE6" w:rsidRPr="009A1C8E">
        <w:t xml:space="preserve">support </w:t>
      </w:r>
      <w:r w:rsidR="00C5767B" w:rsidRPr="009A1C8E">
        <w:t>c</w:t>
      </w:r>
      <w:r w:rsidR="009C40AD" w:rsidRPr="009A1C8E">
        <w:t>oordinators, however</w:t>
      </w:r>
      <w:r w:rsidRPr="009A1C8E">
        <w:t>,</w:t>
      </w:r>
      <w:r w:rsidR="009C40AD" w:rsidRPr="009A1C8E">
        <w:t xml:space="preserve"> appear</w:t>
      </w:r>
      <w:r w:rsidR="00903A53" w:rsidRPr="009A1C8E">
        <w:t>ed</w:t>
      </w:r>
      <w:r w:rsidR="009C40AD" w:rsidRPr="009A1C8E">
        <w:t xml:space="preserve"> </w:t>
      </w:r>
      <w:r w:rsidRPr="009A1C8E">
        <w:t xml:space="preserve">more </w:t>
      </w:r>
      <w:r w:rsidR="009C40AD" w:rsidRPr="009A1C8E">
        <w:t xml:space="preserve">challenging </w:t>
      </w:r>
      <w:r w:rsidRPr="009A1C8E">
        <w:t xml:space="preserve">to recruit </w:t>
      </w:r>
      <w:r w:rsidR="009C40AD" w:rsidRPr="009A1C8E">
        <w:t>in Victoria</w:t>
      </w:r>
      <w:r w:rsidR="00471E72" w:rsidRPr="009A1C8E">
        <w:t xml:space="preserve"> than all other states and territories</w:t>
      </w:r>
      <w:r w:rsidR="009C40AD" w:rsidRPr="009A1C8E">
        <w:t xml:space="preserve">. </w:t>
      </w:r>
      <w:r w:rsidR="00BC4D91" w:rsidRPr="009A1C8E">
        <w:t>Nationally, Local Area Coordinator</w:t>
      </w:r>
      <w:r w:rsidR="00291EA7" w:rsidRPr="009A1C8E">
        <w:t xml:space="preserve"> (LAC)</w:t>
      </w:r>
      <w:r w:rsidR="00BC4D91" w:rsidRPr="009A1C8E">
        <w:t>/</w:t>
      </w:r>
      <w:r w:rsidR="006907AF" w:rsidRPr="009A1C8E">
        <w:t>p</w:t>
      </w:r>
      <w:r w:rsidR="00BC4D91" w:rsidRPr="009A1C8E">
        <w:t xml:space="preserve">lanner </w:t>
      </w:r>
      <w:proofErr w:type="gramStart"/>
      <w:r w:rsidR="00BC4D91" w:rsidRPr="009A1C8E">
        <w:t>is</w:t>
      </w:r>
      <w:proofErr w:type="gramEnd"/>
      <w:r w:rsidR="00BC4D91" w:rsidRPr="009A1C8E">
        <w:t xml:space="preserve"> the only non-therapist group </w:t>
      </w:r>
      <w:r w:rsidR="001B5B9A" w:rsidRPr="009A1C8E">
        <w:t xml:space="preserve">appearing in the top </w:t>
      </w:r>
      <w:r w:rsidR="008D54E3" w:rsidRPr="009A1C8E">
        <w:t>five</w:t>
      </w:r>
      <w:r w:rsidR="00E53066" w:rsidRPr="009A1C8E">
        <w:t xml:space="preserve"> most difficult to recruit</w:t>
      </w:r>
      <w:r w:rsidR="00BC4D91" w:rsidRPr="009A1C8E">
        <w:t>.</w:t>
      </w:r>
      <w:r w:rsidRPr="009A1C8E">
        <w:t xml:space="preserve"> </w:t>
      </w:r>
      <w:r w:rsidR="00163495" w:rsidRPr="009A1C8E">
        <w:t>Appendix 3C</w:t>
      </w:r>
      <w:r w:rsidRPr="009A1C8E">
        <w:t xml:space="preserve"> shows the top </w:t>
      </w:r>
      <w:r w:rsidR="008D54E3" w:rsidRPr="009A1C8E">
        <w:t>five</w:t>
      </w:r>
      <w:r w:rsidRPr="009A1C8E">
        <w:t xml:space="preserve"> occupational categories that were </w:t>
      </w:r>
      <w:r w:rsidR="008D54E3" w:rsidRPr="009A1C8E">
        <w:t>“</w:t>
      </w:r>
      <w:r w:rsidRPr="009A1C8E">
        <w:t>extremely or moderately difficult</w:t>
      </w:r>
      <w:r w:rsidR="008D54E3" w:rsidRPr="009A1C8E">
        <w:t>”</w:t>
      </w:r>
      <w:r w:rsidRPr="009A1C8E">
        <w:t xml:space="preserve"> to recruit in Victoria and nationally.</w:t>
      </w:r>
    </w:p>
    <w:p w:rsidR="004309C6" w:rsidRPr="009A1C8E" w:rsidRDefault="00E53066" w:rsidP="00A14F68">
      <w:pPr>
        <w:spacing w:before="120" w:after="120" w:line="276" w:lineRule="auto"/>
      </w:pPr>
      <w:r w:rsidRPr="009A1C8E">
        <w:t>R</w:t>
      </w:r>
      <w:r w:rsidR="004309C6" w:rsidRPr="009A1C8E">
        <w:t xml:space="preserve">ecruiting disability </w:t>
      </w:r>
      <w:r w:rsidR="00AC6BE6" w:rsidRPr="009A1C8E">
        <w:t xml:space="preserve">support </w:t>
      </w:r>
      <w:r w:rsidR="004309C6" w:rsidRPr="009A1C8E">
        <w:t xml:space="preserve">workers </w:t>
      </w:r>
      <w:r w:rsidRPr="009A1C8E">
        <w:t xml:space="preserve">was </w:t>
      </w:r>
      <w:r w:rsidR="004309C6" w:rsidRPr="009A1C8E">
        <w:t>challeng</w:t>
      </w:r>
      <w:r w:rsidRPr="009A1C8E">
        <w:t>ing</w:t>
      </w:r>
      <w:r w:rsidR="004309C6" w:rsidRPr="009A1C8E">
        <w:t xml:space="preserve"> across all</w:t>
      </w:r>
      <w:r w:rsidR="001B5B9A" w:rsidRPr="009A1C8E">
        <w:t xml:space="preserve"> Victorian</w:t>
      </w:r>
      <w:r w:rsidR="004309C6" w:rsidRPr="009A1C8E">
        <w:t xml:space="preserve"> regions</w:t>
      </w:r>
      <w:r w:rsidRPr="009A1C8E">
        <w:t xml:space="preserve">, whereas </w:t>
      </w:r>
      <w:r w:rsidR="00516FD7" w:rsidRPr="009A1C8E">
        <w:t>s</w:t>
      </w:r>
      <w:r w:rsidR="00AC6BE6" w:rsidRPr="009A1C8E">
        <w:t>upport coordinator</w:t>
      </w:r>
      <w:r w:rsidR="004309C6" w:rsidRPr="009A1C8E">
        <w:t xml:space="preserve">s were more difficult to recruit in regional (n=10, 67%) and </w:t>
      </w:r>
      <w:r w:rsidR="004309C6" w:rsidRPr="009A1C8E">
        <w:lastRenderedPageBreak/>
        <w:t xml:space="preserve">state-wide (n=9, 53%) organisations, compared </w:t>
      </w:r>
      <w:r w:rsidRPr="009A1C8E">
        <w:t xml:space="preserve">with </w:t>
      </w:r>
      <w:r w:rsidR="004309C6" w:rsidRPr="009A1C8E">
        <w:t>metro</w:t>
      </w:r>
      <w:r w:rsidR="00631D31" w:rsidRPr="009A1C8E">
        <w:t xml:space="preserve"> organisations</w:t>
      </w:r>
      <w:r w:rsidR="004309C6" w:rsidRPr="009A1C8E">
        <w:t xml:space="preserve"> (n=4, 29%). </w:t>
      </w:r>
      <w:r w:rsidR="002F2D2E" w:rsidRPr="009A1C8E">
        <w:t xml:space="preserve">Recruiting therapist occupations appeared to </w:t>
      </w:r>
      <w:r w:rsidR="007A2008" w:rsidRPr="009A1C8E">
        <w:t xml:space="preserve">be </w:t>
      </w:r>
      <w:r w:rsidRPr="009A1C8E">
        <w:t xml:space="preserve">more of a metropolitan </w:t>
      </w:r>
      <w:r w:rsidR="002F2D2E" w:rsidRPr="009A1C8E">
        <w:t>challenge</w:t>
      </w:r>
      <w:r w:rsidR="00DB0094" w:rsidRPr="009A1C8E">
        <w:t xml:space="preserve"> (appendix 3C)</w:t>
      </w:r>
      <w:r w:rsidRPr="009A1C8E">
        <w:t>.</w:t>
      </w:r>
    </w:p>
    <w:p w:rsidR="00670014" w:rsidRPr="009A1C8E" w:rsidRDefault="00906002" w:rsidP="00A14F68">
      <w:pPr>
        <w:spacing w:before="120" w:after="120" w:line="276" w:lineRule="auto"/>
      </w:pPr>
      <w:r w:rsidRPr="009A1C8E">
        <w:t xml:space="preserve">In terms of retaining competent staff, </w:t>
      </w:r>
      <w:r w:rsidR="002A1904" w:rsidRPr="009A1C8E">
        <w:t xml:space="preserve">non-therapist occupations such as disability support workers, </w:t>
      </w:r>
      <w:r w:rsidR="00516FD7" w:rsidRPr="009A1C8E">
        <w:t>s</w:t>
      </w:r>
      <w:r w:rsidR="00AC6BE6" w:rsidRPr="009A1C8E">
        <w:t>upport coordinator</w:t>
      </w:r>
      <w:r w:rsidR="002A1904" w:rsidRPr="009A1C8E">
        <w:t xml:space="preserve">s and managers/supervisors of disability support workers appeared to be </w:t>
      </w:r>
      <w:r w:rsidR="00A77D14" w:rsidRPr="009A1C8E">
        <w:t xml:space="preserve">harder to retain </w:t>
      </w:r>
      <w:r w:rsidR="00AF2DCE" w:rsidRPr="009A1C8E">
        <w:t>in Victoria than nationally</w:t>
      </w:r>
      <w:r w:rsidR="001828CF" w:rsidRPr="009A1C8E">
        <w:t xml:space="preserve"> (</w:t>
      </w:r>
      <w:r w:rsidR="000D1FED" w:rsidRPr="009A1C8E">
        <w:t>appendix 3</w:t>
      </w:r>
      <w:r w:rsidR="008C7CED" w:rsidRPr="009A1C8E">
        <w:t>D</w:t>
      </w:r>
      <w:r w:rsidR="001828CF" w:rsidRPr="009A1C8E">
        <w:t>)</w:t>
      </w:r>
      <w:r w:rsidR="00AF2DCE" w:rsidRPr="009A1C8E">
        <w:t xml:space="preserve">. </w:t>
      </w:r>
      <w:r w:rsidR="00A75197" w:rsidRPr="009A1C8E">
        <w:t>Similar to</w:t>
      </w:r>
      <w:r w:rsidR="00F770BD" w:rsidRPr="009A1C8E">
        <w:t xml:space="preserve"> the recruitment findings, r</w:t>
      </w:r>
      <w:r w:rsidR="00AF2DCE" w:rsidRPr="009A1C8E">
        <w:t xml:space="preserve">etaining psychologists and speech therapists </w:t>
      </w:r>
      <w:r w:rsidR="00A77D14" w:rsidRPr="009A1C8E">
        <w:t xml:space="preserve">was difficult for both </w:t>
      </w:r>
      <w:r w:rsidR="00F770BD" w:rsidRPr="009A1C8E">
        <w:t>Victoria</w:t>
      </w:r>
      <w:r w:rsidR="00A75197" w:rsidRPr="009A1C8E">
        <w:t>n</w:t>
      </w:r>
      <w:r w:rsidR="00F770BD" w:rsidRPr="009A1C8E">
        <w:t xml:space="preserve"> and </w:t>
      </w:r>
      <w:r w:rsidR="00A75197" w:rsidRPr="009A1C8E">
        <w:t>national respondents</w:t>
      </w:r>
      <w:r w:rsidR="00F770BD" w:rsidRPr="009A1C8E">
        <w:t>.</w:t>
      </w:r>
    </w:p>
    <w:p w:rsidR="00231930" w:rsidRPr="009A1C8E" w:rsidRDefault="00670014" w:rsidP="00A14F68">
      <w:pPr>
        <w:spacing w:before="120" w:after="120" w:line="276" w:lineRule="auto"/>
      </w:pPr>
      <w:r w:rsidRPr="009A1C8E">
        <w:t xml:space="preserve">In Victoria, non-therapist groups appeared more difficult to retain in regional and state-wide organisations, whereas therapists were more commonly selected by metro organisations as </w:t>
      </w:r>
      <w:r w:rsidR="001E58ED" w:rsidRPr="009A1C8E">
        <w:t>“</w:t>
      </w:r>
      <w:r w:rsidRPr="009A1C8E">
        <w:t>extremely or moderately difficult</w:t>
      </w:r>
      <w:r w:rsidR="001E58ED" w:rsidRPr="009A1C8E">
        <w:t>”</w:t>
      </w:r>
      <w:r w:rsidRPr="009A1C8E">
        <w:t xml:space="preserve"> to retain. These findings are further detailed in </w:t>
      </w:r>
      <w:r w:rsidR="00DC0A51" w:rsidRPr="009A1C8E">
        <w:t>appendix 3E</w:t>
      </w:r>
      <w:r w:rsidRPr="009A1C8E">
        <w:t>.</w:t>
      </w:r>
    </w:p>
    <w:p w:rsidR="00425BCD" w:rsidRPr="009A1C8E" w:rsidRDefault="00770047" w:rsidP="00830706">
      <w:pPr>
        <w:pStyle w:val="Heading3"/>
      </w:pPr>
      <w:r w:rsidRPr="009A1C8E">
        <w:t>3</w:t>
      </w:r>
      <w:r w:rsidR="00E86E44" w:rsidRPr="009A1C8E">
        <w:t xml:space="preserve">.3.4 </w:t>
      </w:r>
      <w:r w:rsidR="003C4741" w:rsidRPr="009A1C8E">
        <w:t>T</w:t>
      </w:r>
      <w:r w:rsidR="00EA1BFB" w:rsidRPr="009A1C8E">
        <w:t>he need for practical workforce support</w:t>
      </w:r>
    </w:p>
    <w:p w:rsidR="00445B88" w:rsidRPr="009A1C8E" w:rsidRDefault="00445B88" w:rsidP="00A14F68">
      <w:pPr>
        <w:spacing w:before="120" w:after="120" w:line="276" w:lineRule="auto"/>
      </w:pPr>
      <w:r w:rsidRPr="009A1C8E">
        <w:t>Workforce</w:t>
      </w:r>
      <w:r w:rsidR="001E58ED" w:rsidRPr="009A1C8E">
        <w:t>-</w:t>
      </w:r>
      <w:r w:rsidR="00C258E0" w:rsidRPr="009A1C8E">
        <w:t>orientated</w:t>
      </w:r>
      <w:r w:rsidRPr="009A1C8E">
        <w:t xml:space="preserve"> </w:t>
      </w:r>
      <w:r w:rsidR="00444FE6" w:rsidRPr="009A1C8E">
        <w:t>supports</w:t>
      </w:r>
      <w:r w:rsidRPr="009A1C8E">
        <w:t xml:space="preserve"> </w:t>
      </w:r>
      <w:r w:rsidR="007977B9" w:rsidRPr="009A1C8E">
        <w:t xml:space="preserve">are identified in the SDP </w:t>
      </w:r>
      <w:r w:rsidR="00971C66" w:rsidRPr="009A1C8E">
        <w:t>O</w:t>
      </w:r>
      <w:r w:rsidR="007977B9" w:rsidRPr="009A1C8E">
        <w:t xml:space="preserve">utcomes </w:t>
      </w:r>
      <w:r w:rsidR="00971C66" w:rsidRPr="009A1C8E">
        <w:t>E</w:t>
      </w:r>
      <w:r w:rsidR="007977B9" w:rsidRPr="009A1C8E">
        <w:t xml:space="preserve">valuation </w:t>
      </w:r>
      <w:r w:rsidR="00451158" w:rsidRPr="009A1C8E">
        <w:t>as key to addressing challenges and building provider sustainability beyond NDIS implementation</w:t>
      </w:r>
      <w:r w:rsidR="002953AA" w:rsidRPr="009A1C8E">
        <w:t xml:space="preserve"> </w:t>
      </w:r>
      <w:r w:rsidR="002D37DC" w:rsidRPr="009A1C8E">
        <w:fldChar w:fldCharType="begin"/>
      </w:r>
      <w:r w:rsidR="005D588A" w:rsidRPr="009A1C8E">
        <w:instrText xml:space="preserve"> ADDIN EN.CITE &lt;EndNote&gt;&lt;Cite&gt;&lt;Author&gt;Brown&lt;/Author&gt;&lt;Year&gt;2018&lt;/Year&gt;&lt;RecNum&gt;261&lt;/RecNum&gt;&lt;DisplayText&gt;(12)&lt;/DisplayText&gt;&lt;record&gt;&lt;rec-number&gt;261&lt;/rec-number&gt;&lt;foreign-keys&gt;&lt;key app="EN" db-id="dtafe02tlezsd7ef59c5s9fdse5ze52xw2ta" timestamp="1554303960"&gt;261&lt;/key&gt;&lt;/foreign-keys&gt;&lt;ref-type name="Report"&gt;27&lt;/ref-type&gt;&lt;contributors&gt;&lt;authors&gt;&lt;author&gt;Brown, M&lt;/author&gt;&lt;author&gt;Canobi, S&lt;/author&gt;&lt;author&gt;Mathys, Z&lt;/author&gt;&lt;author&gt;Randall, K &lt;/author&gt;&lt;/authors&gt;&lt;/contributors&gt;&lt;titles&gt;&lt;title&gt;Evaluation: NDIS Sector Development Project Phase 2, Report 2 of 3&lt;/title&gt;&lt;/titles&gt;&lt;dates&gt;&lt;year&gt;2018&lt;/year&gt;&lt;/dates&gt;&lt;pub-location&gt;Melbourne&lt;/pub-location&gt;&lt;publisher&gt;Dyson Consulting Group and National Disability Services&lt;/publisher&gt;&lt;urls&gt;&lt;/urls&gt;&lt;/record&gt;&lt;/Cite&gt;&lt;/EndNote&gt;</w:instrText>
      </w:r>
      <w:r w:rsidR="002D37DC" w:rsidRPr="009A1C8E">
        <w:fldChar w:fldCharType="separate"/>
      </w:r>
      <w:r w:rsidR="005D588A" w:rsidRPr="009A1C8E">
        <w:rPr>
          <w:noProof/>
        </w:rPr>
        <w:t>(12)</w:t>
      </w:r>
      <w:r w:rsidR="002D37DC" w:rsidRPr="009A1C8E">
        <w:fldChar w:fldCharType="end"/>
      </w:r>
      <w:r w:rsidR="00451158" w:rsidRPr="009A1C8E">
        <w:t xml:space="preserve">. </w:t>
      </w:r>
      <w:r w:rsidR="001E58ED" w:rsidRPr="009A1C8E">
        <w:t>“</w:t>
      </w:r>
      <w:r w:rsidR="007977B9" w:rsidRPr="009A1C8E">
        <w:t>P</w:t>
      </w:r>
      <w:r w:rsidR="00D73105" w:rsidRPr="009A1C8E">
        <w:t>ractical support to recruit and retain staff</w:t>
      </w:r>
      <w:r w:rsidR="001E58ED" w:rsidRPr="009A1C8E">
        <w:t>”</w:t>
      </w:r>
      <w:r w:rsidR="00366838" w:rsidRPr="009A1C8E">
        <w:t xml:space="preserve"> and</w:t>
      </w:r>
      <w:r w:rsidR="00D73105" w:rsidRPr="009A1C8E">
        <w:t xml:space="preserve"> </w:t>
      </w:r>
      <w:r w:rsidR="001E58ED" w:rsidRPr="009A1C8E">
        <w:t>“</w:t>
      </w:r>
      <w:r w:rsidR="00D73105" w:rsidRPr="009A1C8E">
        <w:t>practical support to develop innovative workforce models</w:t>
      </w:r>
      <w:r w:rsidR="001E58ED" w:rsidRPr="009A1C8E">
        <w:t>”</w:t>
      </w:r>
      <w:r w:rsidR="007977B9" w:rsidRPr="009A1C8E">
        <w:t xml:space="preserve"> were among the top </w:t>
      </w:r>
      <w:r w:rsidR="001E58ED" w:rsidRPr="009A1C8E">
        <w:t>seven</w:t>
      </w:r>
      <w:r w:rsidR="007977B9" w:rsidRPr="009A1C8E">
        <w:t xml:space="preserve"> most beneficial supports required by providers, with the most popular support being</w:t>
      </w:r>
      <w:r w:rsidR="0081480C" w:rsidRPr="009A1C8E">
        <w:t xml:space="preserve"> </w:t>
      </w:r>
      <w:r w:rsidR="001E58ED" w:rsidRPr="009A1C8E">
        <w:t>“</w:t>
      </w:r>
      <w:r w:rsidR="007B3179" w:rsidRPr="009A1C8E">
        <w:t>affordable and timely training/development resources for staff and leaders</w:t>
      </w:r>
      <w:r w:rsidR="001E58ED" w:rsidRPr="009A1C8E">
        <w:t>”</w:t>
      </w:r>
      <w:r w:rsidR="007B3179" w:rsidRPr="009A1C8E">
        <w:t xml:space="preserve"> (</w:t>
      </w:r>
      <w:r w:rsidR="00DA4BFB" w:rsidRPr="009A1C8E">
        <w:t>17%)</w:t>
      </w:r>
      <w:r w:rsidR="00C3379E" w:rsidRPr="009A1C8E">
        <w:t xml:space="preserve"> </w:t>
      </w:r>
      <w:r w:rsidR="002D37DC" w:rsidRPr="009A1C8E">
        <w:fldChar w:fldCharType="begin"/>
      </w:r>
      <w:r w:rsidR="005D588A" w:rsidRPr="009A1C8E">
        <w:instrText xml:space="preserve"> ADDIN EN.CITE &lt;EndNote&gt;&lt;Cite&gt;&lt;Author&gt;Brown&lt;/Author&gt;&lt;Year&gt;2018&lt;/Year&gt;&lt;RecNum&gt;261&lt;/RecNum&gt;&lt;DisplayText&gt;(12)&lt;/DisplayText&gt;&lt;record&gt;&lt;rec-number&gt;261&lt;/rec-number&gt;&lt;foreign-keys&gt;&lt;key app="EN" db-id="dtafe02tlezsd7ef59c5s9fdse5ze52xw2ta" timestamp="1554303960"&gt;261&lt;/key&gt;&lt;/foreign-keys&gt;&lt;ref-type name="Report"&gt;27&lt;/ref-type&gt;&lt;contributors&gt;&lt;authors&gt;&lt;author&gt;Brown, M&lt;/author&gt;&lt;author&gt;Canobi, S&lt;/author&gt;&lt;author&gt;Mathys, Z&lt;/author&gt;&lt;author&gt;Randall, K &lt;/author&gt;&lt;/authors&gt;&lt;/contributors&gt;&lt;titles&gt;&lt;title&gt;Evaluation: NDIS Sector Development Project Phase 2, Report 2 of 3&lt;/title&gt;&lt;/titles&gt;&lt;dates&gt;&lt;year&gt;2018&lt;/year&gt;&lt;/dates&gt;&lt;pub-location&gt;Melbourne&lt;/pub-location&gt;&lt;publisher&gt;Dyson Consulting Group and National Disability Services&lt;/publisher&gt;&lt;urls&gt;&lt;/urls&gt;&lt;/record&gt;&lt;/Cite&gt;&lt;/EndNote&gt;</w:instrText>
      </w:r>
      <w:r w:rsidR="002D37DC" w:rsidRPr="009A1C8E">
        <w:fldChar w:fldCharType="separate"/>
      </w:r>
      <w:r w:rsidR="005D588A" w:rsidRPr="009A1C8E">
        <w:rPr>
          <w:noProof/>
        </w:rPr>
        <w:t>(12)</w:t>
      </w:r>
      <w:r w:rsidR="002D37DC" w:rsidRPr="009A1C8E">
        <w:fldChar w:fldCharType="end"/>
      </w:r>
      <w:r w:rsidR="00DA4BFB" w:rsidRPr="009A1C8E">
        <w:t>.</w:t>
      </w:r>
    </w:p>
    <w:p w:rsidR="00DA4BFB" w:rsidRPr="009A1C8E" w:rsidRDefault="00DA4BFB" w:rsidP="00A14F68">
      <w:pPr>
        <w:spacing w:before="120" w:after="120" w:line="276" w:lineRule="auto"/>
      </w:pPr>
      <w:r w:rsidRPr="009A1C8E">
        <w:t xml:space="preserve">Interestingly, </w:t>
      </w:r>
      <w:r w:rsidR="001E58ED" w:rsidRPr="009A1C8E">
        <w:t>“</w:t>
      </w:r>
      <w:r w:rsidRPr="009A1C8E">
        <w:t>practical support to recruit and retain staff</w:t>
      </w:r>
      <w:r w:rsidR="001E58ED" w:rsidRPr="009A1C8E">
        <w:t>”</w:t>
      </w:r>
      <w:r w:rsidRPr="009A1C8E">
        <w:t xml:space="preserve"> </w:t>
      </w:r>
      <w:r w:rsidR="003E2F6E" w:rsidRPr="009A1C8E">
        <w:t>was</w:t>
      </w:r>
      <w:r w:rsidRPr="009A1C8E">
        <w:t xml:space="preserve"> demanded more </w:t>
      </w:r>
      <w:r w:rsidR="00E15990" w:rsidRPr="009A1C8E">
        <w:t xml:space="preserve">by </w:t>
      </w:r>
      <w:r w:rsidRPr="009A1C8E">
        <w:t>metro respondents (11%</w:t>
      </w:r>
      <w:r w:rsidR="005E4937" w:rsidRPr="009A1C8E">
        <w:t>)</w:t>
      </w:r>
      <w:r w:rsidR="007977B9" w:rsidRPr="009A1C8E">
        <w:t xml:space="preserve">, compared with regional </w:t>
      </w:r>
      <w:r w:rsidR="005E4937" w:rsidRPr="009A1C8E">
        <w:t>(</w:t>
      </w:r>
      <w:r w:rsidR="00D26F08" w:rsidRPr="009A1C8E">
        <w:t>8%</w:t>
      </w:r>
      <w:r w:rsidR="005E4937" w:rsidRPr="009A1C8E">
        <w:t>)</w:t>
      </w:r>
      <w:r w:rsidR="007977B9" w:rsidRPr="009A1C8E">
        <w:t xml:space="preserve"> </w:t>
      </w:r>
      <w:r w:rsidR="00D26F08" w:rsidRPr="009A1C8E">
        <w:t>and s</w:t>
      </w:r>
      <w:r w:rsidRPr="009A1C8E">
        <w:t>tate-wide</w:t>
      </w:r>
      <w:r w:rsidR="0066241E" w:rsidRPr="009A1C8E">
        <w:t xml:space="preserve"> (7%) respondents</w:t>
      </w:r>
      <w:r w:rsidR="00366838" w:rsidRPr="009A1C8E">
        <w:t xml:space="preserve">. Regional organisations </w:t>
      </w:r>
      <w:r w:rsidR="009B1BA3" w:rsidRPr="009A1C8E">
        <w:t xml:space="preserve">expressed a greater need for </w:t>
      </w:r>
      <w:r w:rsidR="001E58ED" w:rsidRPr="009A1C8E">
        <w:t>“</w:t>
      </w:r>
      <w:r w:rsidR="009B1BA3" w:rsidRPr="009A1C8E">
        <w:t>practical support to develop innovative workforce models</w:t>
      </w:r>
      <w:r w:rsidR="001E58ED" w:rsidRPr="009A1C8E">
        <w:t>”</w:t>
      </w:r>
      <w:r w:rsidR="009B1BA3" w:rsidRPr="009A1C8E">
        <w:t xml:space="preserve"> (15%</w:t>
      </w:r>
      <w:r w:rsidR="00463891" w:rsidRPr="009A1C8E">
        <w:t>)</w:t>
      </w:r>
      <w:r w:rsidR="00C0458B" w:rsidRPr="009A1C8E">
        <w:t>,</w:t>
      </w:r>
      <w:r w:rsidR="009B1BA3" w:rsidRPr="009A1C8E">
        <w:t xml:space="preserve"> compare</w:t>
      </w:r>
      <w:r w:rsidR="00182A34" w:rsidRPr="009A1C8E">
        <w:t>d</w:t>
      </w:r>
      <w:r w:rsidR="009B1BA3" w:rsidRPr="009A1C8E">
        <w:t xml:space="preserve"> </w:t>
      </w:r>
      <w:r w:rsidR="00C0458B" w:rsidRPr="009A1C8E">
        <w:t xml:space="preserve">with </w:t>
      </w:r>
      <w:r w:rsidR="009B1BA3" w:rsidRPr="009A1C8E">
        <w:t>metro and state-wide</w:t>
      </w:r>
      <w:r w:rsidR="00463891" w:rsidRPr="009A1C8E">
        <w:t xml:space="preserve"> respondents (</w:t>
      </w:r>
      <w:r w:rsidR="00A83755" w:rsidRPr="009A1C8E">
        <w:t>12%)</w:t>
      </w:r>
      <w:r w:rsidR="00463891" w:rsidRPr="009A1C8E">
        <w:t xml:space="preserve"> </w:t>
      </w:r>
      <w:r w:rsidR="002D37DC" w:rsidRPr="009A1C8E">
        <w:fldChar w:fldCharType="begin"/>
      </w:r>
      <w:r w:rsidR="005D588A" w:rsidRPr="009A1C8E">
        <w:instrText xml:space="preserve"> ADDIN EN.CITE &lt;EndNote&gt;&lt;Cite&gt;&lt;Author&gt;Brown&lt;/Author&gt;&lt;Year&gt;2018&lt;/Year&gt;&lt;RecNum&gt;261&lt;/RecNum&gt;&lt;DisplayText&gt;(12)&lt;/DisplayText&gt;&lt;record&gt;&lt;rec-number&gt;261&lt;/rec-number&gt;&lt;foreign-keys&gt;&lt;key app="EN" db-id="dtafe02tlezsd7ef59c5s9fdse5ze52xw2ta" timestamp="1554303960"&gt;261&lt;/key&gt;&lt;/foreign-keys&gt;&lt;ref-type name="Report"&gt;27&lt;/ref-type&gt;&lt;contributors&gt;&lt;authors&gt;&lt;author&gt;Brown, M&lt;/author&gt;&lt;author&gt;Canobi, S&lt;/author&gt;&lt;author&gt;Mathys, Z&lt;/author&gt;&lt;author&gt;Randall, K &lt;/author&gt;&lt;/authors&gt;&lt;/contributors&gt;&lt;titles&gt;&lt;title&gt;Evaluation: NDIS Sector Development Project Phase 2, Report 2 of 3&lt;/title&gt;&lt;/titles&gt;&lt;dates&gt;&lt;year&gt;2018&lt;/year&gt;&lt;/dates&gt;&lt;pub-location&gt;Melbourne&lt;/pub-location&gt;&lt;publisher&gt;Dyson Consulting Group and National Disability Services&lt;/publisher&gt;&lt;urls&gt;&lt;/urls&gt;&lt;/record&gt;&lt;/Cite&gt;&lt;/EndNote&gt;</w:instrText>
      </w:r>
      <w:r w:rsidR="002D37DC" w:rsidRPr="009A1C8E">
        <w:fldChar w:fldCharType="separate"/>
      </w:r>
      <w:r w:rsidR="005D588A" w:rsidRPr="009A1C8E">
        <w:rPr>
          <w:noProof/>
        </w:rPr>
        <w:t>(12)</w:t>
      </w:r>
      <w:r w:rsidR="002D37DC" w:rsidRPr="009A1C8E">
        <w:fldChar w:fldCharType="end"/>
      </w:r>
      <w:r w:rsidR="00A83755" w:rsidRPr="009A1C8E">
        <w:t>.</w:t>
      </w:r>
    </w:p>
    <w:p w:rsidR="001E250A" w:rsidRPr="009A1C8E" w:rsidRDefault="007977B9" w:rsidP="00A14F68">
      <w:pPr>
        <w:spacing w:before="120" w:after="120" w:line="276" w:lineRule="auto"/>
      </w:pPr>
      <w:r w:rsidRPr="009A1C8E">
        <w:t>In the AMS</w:t>
      </w:r>
      <w:r w:rsidR="001E58ED" w:rsidRPr="009A1C8E">
        <w:t>,</w:t>
      </w:r>
      <w:r w:rsidRPr="009A1C8E">
        <w:t xml:space="preserve"> </w:t>
      </w:r>
      <w:r w:rsidR="001E58ED" w:rsidRPr="009A1C8E">
        <w:t>“</w:t>
      </w:r>
      <w:r w:rsidR="00A72C9A" w:rsidRPr="009A1C8E">
        <w:t>HR strategy and workforce planning</w:t>
      </w:r>
      <w:r w:rsidR="001E58ED" w:rsidRPr="009A1C8E">
        <w:t>”</w:t>
      </w:r>
      <w:r w:rsidR="00A72C9A" w:rsidRPr="009A1C8E">
        <w:t xml:space="preserve"> was the fifth most commonly cited </w:t>
      </w:r>
      <w:r w:rsidR="008B76FB" w:rsidRPr="009A1C8E">
        <w:t xml:space="preserve">business capability </w:t>
      </w:r>
      <w:r w:rsidRPr="009A1C8E">
        <w:t xml:space="preserve">in which </w:t>
      </w:r>
      <w:r w:rsidR="00A72C9A" w:rsidRPr="009A1C8E">
        <w:t xml:space="preserve">Victorian </w:t>
      </w:r>
      <w:r w:rsidR="008B76FB" w:rsidRPr="009A1C8E">
        <w:t xml:space="preserve">organisations </w:t>
      </w:r>
      <w:r w:rsidRPr="009A1C8E">
        <w:t xml:space="preserve">most </w:t>
      </w:r>
      <w:r w:rsidR="008B76FB" w:rsidRPr="009A1C8E">
        <w:t>need to improve in the next 12 months</w:t>
      </w:r>
      <w:r w:rsidR="00A72C9A" w:rsidRPr="009A1C8E">
        <w:t xml:space="preserve">. </w:t>
      </w:r>
      <w:r w:rsidR="0037661A" w:rsidRPr="009A1C8E">
        <w:t>All</w:t>
      </w:r>
      <w:r w:rsidR="00A55BA8" w:rsidRPr="009A1C8E">
        <w:t xml:space="preserve"> (n=10) state-wide organisations ranked this </w:t>
      </w:r>
      <w:r w:rsidRPr="009A1C8E">
        <w:t xml:space="preserve">capability </w:t>
      </w:r>
      <w:r w:rsidR="00A55BA8" w:rsidRPr="009A1C8E">
        <w:t>as first or second</w:t>
      </w:r>
      <w:r w:rsidR="00632644" w:rsidRPr="009A1C8E">
        <w:t xml:space="preserve"> </w:t>
      </w:r>
      <w:r w:rsidRPr="009A1C8E">
        <w:t xml:space="preserve">priority </w:t>
      </w:r>
      <w:r w:rsidR="00632644" w:rsidRPr="009A1C8E">
        <w:t>(</w:t>
      </w:r>
      <w:r w:rsidR="00D522DA" w:rsidRPr="009A1C8E">
        <w:t>appendix 3F</w:t>
      </w:r>
      <w:r w:rsidR="00632644" w:rsidRPr="009A1C8E">
        <w:t>)</w:t>
      </w:r>
      <w:r w:rsidR="00A55BA8" w:rsidRPr="009A1C8E">
        <w:t>.</w:t>
      </w:r>
      <w:r w:rsidR="001E250A" w:rsidRPr="009A1C8E">
        <w:br w:type="page"/>
      </w:r>
    </w:p>
    <w:p w:rsidR="2DDBF7DD" w:rsidRPr="009A1C8E" w:rsidRDefault="00770047" w:rsidP="00830706">
      <w:pPr>
        <w:pStyle w:val="Heading1"/>
      </w:pPr>
      <w:bookmarkStart w:id="40" w:name="_Toc7614946"/>
      <w:r w:rsidRPr="009A1C8E">
        <w:lastRenderedPageBreak/>
        <w:t>4</w:t>
      </w:r>
      <w:r w:rsidR="00E86E44" w:rsidRPr="009A1C8E">
        <w:t xml:space="preserve"> </w:t>
      </w:r>
      <w:r w:rsidR="2DDBF7DD" w:rsidRPr="009A1C8E">
        <w:t>Propensity to discontinue</w:t>
      </w:r>
      <w:bookmarkEnd w:id="40"/>
    </w:p>
    <w:p w:rsidR="000C7DEC" w:rsidRPr="009A1C8E" w:rsidRDefault="000C7DEC" w:rsidP="00A14F68">
      <w:pPr>
        <w:spacing w:before="120" w:after="120" w:line="276" w:lineRule="auto"/>
      </w:pPr>
      <w:r w:rsidRPr="009A1C8E">
        <w:t xml:space="preserve">NDIS pricing, </w:t>
      </w:r>
      <w:r w:rsidR="0040178F" w:rsidRPr="009A1C8E">
        <w:t xml:space="preserve">provider </w:t>
      </w:r>
      <w:r w:rsidRPr="009A1C8E">
        <w:t xml:space="preserve">financial viability and disability workforce </w:t>
      </w:r>
      <w:r w:rsidR="0040178F" w:rsidRPr="009A1C8E">
        <w:t xml:space="preserve">challenges all contribute to </w:t>
      </w:r>
      <w:r w:rsidR="007C450A" w:rsidRPr="009A1C8E">
        <w:t>providers’ decision</w:t>
      </w:r>
      <w:r w:rsidR="0040178F" w:rsidRPr="009A1C8E">
        <w:t>s</w:t>
      </w:r>
      <w:r w:rsidR="007C450A" w:rsidRPr="009A1C8E">
        <w:t xml:space="preserve"> to discontinue. This may occur at the service level, through changes in </w:t>
      </w:r>
      <w:r w:rsidR="00906DB4" w:rsidRPr="009A1C8E">
        <w:t>service volume</w:t>
      </w:r>
      <w:r w:rsidR="0040178F" w:rsidRPr="009A1C8E">
        <w:t>s</w:t>
      </w:r>
      <w:r w:rsidR="00906DB4" w:rsidRPr="009A1C8E">
        <w:t>, or at the organisational level</w:t>
      </w:r>
      <w:r w:rsidR="00C4098B" w:rsidRPr="009A1C8E">
        <w:t xml:space="preserve"> by merging or winding-up.</w:t>
      </w:r>
    </w:p>
    <w:p w:rsidR="2DDBF7DD" w:rsidRPr="009A1C8E" w:rsidRDefault="00770047" w:rsidP="00830706">
      <w:pPr>
        <w:pStyle w:val="Heading2"/>
      </w:pPr>
      <w:bookmarkStart w:id="41" w:name="_Toc7614947"/>
      <w:r w:rsidRPr="009A1C8E">
        <w:t>4.1</w:t>
      </w:r>
      <w:r w:rsidR="00E86E44" w:rsidRPr="009A1C8E">
        <w:t xml:space="preserve"> </w:t>
      </w:r>
      <w:r w:rsidR="00D50504" w:rsidRPr="009A1C8E">
        <w:t>S</w:t>
      </w:r>
      <w:r w:rsidR="2DDBF7DD" w:rsidRPr="009A1C8E">
        <w:t>ervice level</w:t>
      </w:r>
      <w:bookmarkEnd w:id="41"/>
    </w:p>
    <w:p w:rsidR="2DDBF7DD" w:rsidRPr="009A1C8E" w:rsidRDefault="005249AD" w:rsidP="00830706">
      <w:pPr>
        <w:pStyle w:val="Heading3"/>
      </w:pPr>
      <w:r w:rsidRPr="009A1C8E">
        <w:t>4.1</w:t>
      </w:r>
      <w:r w:rsidR="00E86E44" w:rsidRPr="009A1C8E">
        <w:t xml:space="preserve">.1 </w:t>
      </w:r>
      <w:r w:rsidR="2407D86A" w:rsidRPr="009A1C8E">
        <w:t>Change</w:t>
      </w:r>
      <w:r w:rsidR="007D096B" w:rsidRPr="009A1C8E">
        <w:t>s</w:t>
      </w:r>
      <w:r w:rsidR="2407D86A" w:rsidRPr="009A1C8E">
        <w:t xml:space="preserve"> in the volume of services</w:t>
      </w:r>
    </w:p>
    <w:p w:rsidR="00F87DCB" w:rsidRPr="009A1C8E" w:rsidRDefault="0040178F" w:rsidP="00A14F68">
      <w:pPr>
        <w:spacing w:before="120" w:after="120" w:line="276" w:lineRule="auto"/>
      </w:pPr>
      <w:r w:rsidRPr="009A1C8E">
        <w:t>AMS respondents were asked</w:t>
      </w:r>
      <w:r w:rsidR="00D371B9" w:rsidRPr="009A1C8E">
        <w:t xml:space="preserve"> which services</w:t>
      </w:r>
      <w:r w:rsidR="00F87DCB" w:rsidRPr="009A1C8E">
        <w:t>:</w:t>
      </w:r>
    </w:p>
    <w:p w:rsidR="00F87DCB" w:rsidRPr="009A1C8E" w:rsidRDefault="00F87DCB" w:rsidP="00A14F68">
      <w:pPr>
        <w:pStyle w:val="ListParagraph"/>
        <w:numPr>
          <w:ilvl w:val="0"/>
          <w:numId w:val="40"/>
        </w:numPr>
        <w:spacing w:before="120" w:after="120" w:line="276" w:lineRule="auto"/>
      </w:pPr>
      <w:r w:rsidRPr="009A1C8E">
        <w:t>T</w:t>
      </w:r>
      <w:r w:rsidR="009131D9" w:rsidRPr="009A1C8E">
        <w:t xml:space="preserve">hey provided less hours of in </w:t>
      </w:r>
      <w:r w:rsidRPr="009A1C8E">
        <w:t>2017-2018</w:t>
      </w:r>
      <w:r w:rsidR="003F3660" w:rsidRPr="009A1C8E">
        <w:t>,</w:t>
      </w:r>
      <w:r w:rsidRPr="009A1C8E">
        <w:t xml:space="preserve"> compared to </w:t>
      </w:r>
      <w:r w:rsidR="003F3660" w:rsidRPr="009A1C8E">
        <w:t>the previous year</w:t>
      </w:r>
      <w:r w:rsidRPr="009A1C8E">
        <w:t>; and</w:t>
      </w:r>
    </w:p>
    <w:p w:rsidR="001B6A41" w:rsidRPr="009A1C8E" w:rsidRDefault="0054497E" w:rsidP="00A14F68">
      <w:pPr>
        <w:pStyle w:val="ListParagraph"/>
        <w:numPr>
          <w:ilvl w:val="0"/>
          <w:numId w:val="40"/>
        </w:numPr>
        <w:spacing w:before="120" w:after="120" w:line="276" w:lineRule="auto"/>
      </w:pPr>
      <w:r w:rsidRPr="009A1C8E">
        <w:t>T</w:t>
      </w:r>
      <w:r w:rsidR="001B6A41" w:rsidRPr="009A1C8E">
        <w:t>hey plan to reduce</w:t>
      </w:r>
      <w:r w:rsidR="00540D25" w:rsidRPr="009A1C8E">
        <w:t xml:space="preserve"> </w:t>
      </w:r>
      <w:r w:rsidR="00E6288F" w:rsidRPr="009A1C8E">
        <w:t xml:space="preserve">or stop </w:t>
      </w:r>
      <w:r w:rsidR="00D371B9" w:rsidRPr="009A1C8E">
        <w:t xml:space="preserve">providing in </w:t>
      </w:r>
      <w:r w:rsidR="00C761CF" w:rsidRPr="009A1C8E">
        <w:t>2018-2019</w:t>
      </w:r>
      <w:r w:rsidRPr="009A1C8E">
        <w:t>.</w:t>
      </w:r>
    </w:p>
    <w:p w:rsidR="00CF3671" w:rsidRPr="009A1C8E" w:rsidRDefault="00CF3671" w:rsidP="00C70B19">
      <w:pPr>
        <w:pStyle w:val="Heading4"/>
      </w:pPr>
      <w:r w:rsidRPr="009A1C8E">
        <w:t>4.1.</w:t>
      </w:r>
      <w:r w:rsidR="0054497E" w:rsidRPr="009A1C8E">
        <w:t>1.1</w:t>
      </w:r>
      <w:r w:rsidRPr="009A1C8E">
        <w:t xml:space="preserve"> Services </w:t>
      </w:r>
      <w:r w:rsidR="000E2EEF" w:rsidRPr="009A1C8E">
        <w:t xml:space="preserve">that </w:t>
      </w:r>
      <w:r w:rsidR="00CC51A0" w:rsidRPr="009A1C8E">
        <w:t>providers</w:t>
      </w:r>
      <w:r w:rsidR="000E2EEF" w:rsidRPr="009A1C8E">
        <w:t xml:space="preserve"> delivered less of in 2017-2018 compared to </w:t>
      </w:r>
      <w:r w:rsidR="003F3660" w:rsidRPr="009A1C8E">
        <w:t>the previous year</w:t>
      </w:r>
    </w:p>
    <w:p w:rsidR="00CF3671" w:rsidRPr="009A1C8E" w:rsidRDefault="00CF3671" w:rsidP="00A14F68">
      <w:pPr>
        <w:spacing w:before="120" w:after="120" w:line="276" w:lineRule="auto"/>
      </w:pPr>
      <w:r w:rsidRPr="009A1C8E">
        <w:t xml:space="preserve">Victorian providers delivered less hours of </w:t>
      </w:r>
      <w:r w:rsidR="007A7187" w:rsidRPr="009A1C8E">
        <w:t xml:space="preserve">community nursing care, </w:t>
      </w:r>
      <w:r w:rsidRPr="009A1C8E">
        <w:t>home modification and assistive technology (AT) services. In both Victoria and nationally, AT services and specialised supported employment services were delivered to a lesser extent</w:t>
      </w:r>
      <w:r w:rsidR="0058685D" w:rsidRPr="009A1C8E">
        <w:t xml:space="preserve"> in 2017-2018</w:t>
      </w:r>
      <w:r w:rsidRPr="009A1C8E">
        <w:t xml:space="preserve"> compared to </w:t>
      </w:r>
      <w:r w:rsidR="003F3660" w:rsidRPr="009A1C8E">
        <w:t>the year before</w:t>
      </w:r>
      <w:r w:rsidRPr="009A1C8E">
        <w:t xml:space="preserve">. </w:t>
      </w:r>
      <w:r w:rsidR="005D07B4" w:rsidRPr="009A1C8E">
        <w:t>Appendix 4A</w:t>
      </w:r>
      <w:r w:rsidRPr="009A1C8E">
        <w:t xml:space="preserve"> compares the top </w:t>
      </w:r>
      <w:r w:rsidR="001E58ED" w:rsidRPr="009A1C8E">
        <w:t>five</w:t>
      </w:r>
      <w:r w:rsidRPr="009A1C8E">
        <w:t xml:space="preserve"> most commonly</w:t>
      </w:r>
      <w:r w:rsidR="001E58ED" w:rsidRPr="009A1C8E">
        <w:t xml:space="preserve"> </w:t>
      </w:r>
      <w:r w:rsidRPr="009A1C8E">
        <w:t>cited</w:t>
      </w:r>
      <w:r w:rsidR="0058685D" w:rsidRPr="009A1C8E">
        <w:t xml:space="preserve"> services</w:t>
      </w:r>
      <w:r w:rsidRPr="009A1C8E">
        <w:t xml:space="preserve"> in Victoria and nationally.</w:t>
      </w:r>
    </w:p>
    <w:p w:rsidR="00CF3671" w:rsidRPr="009A1C8E" w:rsidRDefault="00CF3671" w:rsidP="00C70B19">
      <w:pPr>
        <w:pStyle w:val="Heading4"/>
      </w:pPr>
      <w:r w:rsidRPr="009A1C8E">
        <w:t>4.1</w:t>
      </w:r>
      <w:r w:rsidR="0058685D" w:rsidRPr="009A1C8E">
        <w:t>.1.2</w:t>
      </w:r>
      <w:r w:rsidRPr="009A1C8E">
        <w:t xml:space="preserve"> Services that providers plan to reduce or stop in 2018-19</w:t>
      </w:r>
    </w:p>
    <w:p w:rsidR="00A70D71" w:rsidRPr="009A1C8E" w:rsidRDefault="00CF3671" w:rsidP="00A14F68">
      <w:pPr>
        <w:spacing w:before="120" w:after="120" w:line="276" w:lineRule="auto"/>
      </w:pPr>
      <w:r w:rsidRPr="009A1C8E">
        <w:t xml:space="preserve">This year </w:t>
      </w:r>
      <w:r w:rsidR="003153EA" w:rsidRPr="009A1C8E">
        <w:t>Victoria</w:t>
      </w:r>
      <w:r w:rsidR="0040178F" w:rsidRPr="009A1C8E">
        <w:t>n providers plan</w:t>
      </w:r>
      <w:r w:rsidRPr="009A1C8E">
        <w:t>ned</w:t>
      </w:r>
      <w:r w:rsidR="0040178F" w:rsidRPr="009A1C8E">
        <w:t xml:space="preserve"> to reduce</w:t>
      </w:r>
      <w:r w:rsidRPr="009A1C8E">
        <w:t xml:space="preserve"> or stop</w:t>
      </w:r>
      <w:r w:rsidR="003153EA" w:rsidRPr="009A1C8E">
        <w:t xml:space="preserve"> </w:t>
      </w:r>
      <w:r w:rsidR="006E736D" w:rsidRPr="009A1C8E">
        <w:t>home modification</w:t>
      </w:r>
      <w:r w:rsidR="0040178F" w:rsidRPr="009A1C8E">
        <w:t xml:space="preserve"> service</w:t>
      </w:r>
      <w:r w:rsidR="006E736D" w:rsidRPr="009A1C8E">
        <w:t>s</w:t>
      </w:r>
      <w:r w:rsidRPr="009A1C8E">
        <w:t xml:space="preserve"> and AT</w:t>
      </w:r>
      <w:r w:rsidR="0040178F" w:rsidRPr="009A1C8E">
        <w:t>,</w:t>
      </w:r>
      <w:r w:rsidR="006E736D" w:rsidRPr="009A1C8E">
        <w:t xml:space="preserve"> </w:t>
      </w:r>
      <w:r w:rsidRPr="009A1C8E">
        <w:t>as well as vehicle modifications. N</w:t>
      </w:r>
      <w:r w:rsidR="00656E6F" w:rsidRPr="009A1C8E">
        <w:t>ationally</w:t>
      </w:r>
      <w:r w:rsidR="0040178F" w:rsidRPr="009A1C8E">
        <w:t>,</w:t>
      </w:r>
      <w:r w:rsidR="00F7764A" w:rsidRPr="009A1C8E">
        <w:t xml:space="preserve"> plan management and assistance with travel and transport were mo</w:t>
      </w:r>
      <w:r w:rsidRPr="009A1C8E">
        <w:t>st</w:t>
      </w:r>
      <w:r w:rsidR="00F7764A" w:rsidRPr="009A1C8E">
        <w:t xml:space="preserve"> commonly cited. </w:t>
      </w:r>
      <w:r w:rsidR="00D05783" w:rsidRPr="009A1C8E">
        <w:t xml:space="preserve">Assistance with travel and transport </w:t>
      </w:r>
      <w:r w:rsidR="00F7764A" w:rsidRPr="009A1C8E">
        <w:t xml:space="preserve">is </w:t>
      </w:r>
      <w:r w:rsidRPr="009A1C8E">
        <w:t xml:space="preserve">likely to reduce or stop amongst both </w:t>
      </w:r>
      <w:r w:rsidR="003A6972" w:rsidRPr="009A1C8E">
        <w:t>Victoria</w:t>
      </w:r>
      <w:r w:rsidR="0040178F" w:rsidRPr="009A1C8E">
        <w:t>n</w:t>
      </w:r>
      <w:r w:rsidR="003A6972" w:rsidRPr="009A1C8E">
        <w:t xml:space="preserve"> and </w:t>
      </w:r>
      <w:r w:rsidR="006C518B" w:rsidRPr="009A1C8E">
        <w:t>national</w:t>
      </w:r>
      <w:r w:rsidR="003A6972" w:rsidRPr="009A1C8E">
        <w:t xml:space="preserve"> providers.</w:t>
      </w:r>
      <w:r w:rsidRPr="009A1C8E">
        <w:t xml:space="preserve"> </w:t>
      </w:r>
      <w:r w:rsidR="000C2464" w:rsidRPr="009A1C8E">
        <w:t>Appendix 4B</w:t>
      </w:r>
      <w:r w:rsidRPr="009A1C8E">
        <w:t xml:space="preserve"> compares the top </w:t>
      </w:r>
      <w:r w:rsidR="001E58ED" w:rsidRPr="009A1C8E">
        <w:t>five</w:t>
      </w:r>
      <w:r w:rsidRPr="009A1C8E">
        <w:t xml:space="preserve"> most commonly-cited</w:t>
      </w:r>
      <w:r w:rsidR="00105A81" w:rsidRPr="009A1C8E">
        <w:t xml:space="preserve"> services</w:t>
      </w:r>
      <w:r w:rsidRPr="009A1C8E">
        <w:t xml:space="preserve"> in Victoria and nationally</w:t>
      </w:r>
      <w:r w:rsidR="00105A81" w:rsidRPr="009A1C8E">
        <w:t>.</w:t>
      </w:r>
    </w:p>
    <w:p w:rsidR="000558B2" w:rsidRPr="009A1C8E" w:rsidRDefault="009C7C56" w:rsidP="00A14F68">
      <w:pPr>
        <w:spacing w:before="120" w:after="120" w:line="276" w:lineRule="auto"/>
      </w:pPr>
      <w:r w:rsidRPr="009A1C8E">
        <w:t>Th</w:t>
      </w:r>
      <w:r w:rsidR="0089294D" w:rsidRPr="009A1C8E">
        <w:t xml:space="preserve">e intentions to </w:t>
      </w:r>
      <w:r w:rsidRPr="009A1C8E">
        <w:t xml:space="preserve">reduce </w:t>
      </w:r>
      <w:r w:rsidR="00E37CE7" w:rsidRPr="009A1C8E">
        <w:t>travel and transport</w:t>
      </w:r>
      <w:r w:rsidRPr="009A1C8E">
        <w:t xml:space="preserve"> support</w:t>
      </w:r>
      <w:r w:rsidR="00E37CE7" w:rsidRPr="009A1C8E">
        <w:t>s is</w:t>
      </w:r>
      <w:r w:rsidR="0089294D" w:rsidRPr="009A1C8E">
        <w:t xml:space="preserve"> further</w:t>
      </w:r>
      <w:r w:rsidR="00E37CE7" w:rsidRPr="009A1C8E">
        <w:t xml:space="preserve"> consistent with NDS </w:t>
      </w:r>
      <w:r w:rsidRPr="009A1C8E">
        <w:t xml:space="preserve">Victoria’s recent </w:t>
      </w:r>
      <w:r w:rsidR="00E37CE7" w:rsidRPr="009A1C8E">
        <w:t xml:space="preserve">survey exploring transport under the NDIS </w:t>
      </w:r>
      <w:r w:rsidR="002D37DC" w:rsidRPr="009A1C8E">
        <w:fldChar w:fldCharType="begin"/>
      </w:r>
      <w:r w:rsidR="004C3D69" w:rsidRPr="009A1C8E">
        <w:instrText xml:space="preserve"> ADDIN EN.CITE &lt;EndNote&gt;&lt;Cite&gt;&lt;Author&gt;National Disability Services&lt;/Author&gt;&lt;Year&gt;2018&lt;/Year&gt;&lt;RecNum&gt;265&lt;/RecNum&gt;&lt;DisplayText&gt;(17)&lt;/DisplayText&gt;&lt;record&gt;&lt;rec-number&gt;265&lt;/rec-number&gt;&lt;foreign-keys&gt;&lt;key app="EN" db-id="dtafe02tlezsd7ef59c5s9fdse5ze52xw2ta" timestamp="1554321730"&gt;265&lt;/key&gt;&lt;/foreign-keys&gt;&lt;ref-type name="Report"&gt;27&lt;/ref-type&gt;&lt;contributors&gt;&lt;authors&gt;&lt;author&gt;National Disability Services,&lt;/author&gt;&lt;/authors&gt;&lt;/contributors&gt;&lt;titles&gt;&lt;title&gt;Disability Transport in Victoria&lt;/title&gt;&lt;/titles&gt;&lt;dates&gt;&lt;year&gt;2018&lt;/year&gt;&lt;/dates&gt;&lt;urls&gt;&lt;/urls&gt;&lt;/record&gt;&lt;/Cite&gt;&lt;/EndNote&gt;</w:instrText>
      </w:r>
      <w:r w:rsidR="002D37DC" w:rsidRPr="009A1C8E">
        <w:fldChar w:fldCharType="separate"/>
      </w:r>
      <w:r w:rsidR="004C3D69" w:rsidRPr="009A1C8E">
        <w:rPr>
          <w:noProof/>
        </w:rPr>
        <w:t>(17)</w:t>
      </w:r>
      <w:r w:rsidR="002D37DC" w:rsidRPr="009A1C8E">
        <w:fldChar w:fldCharType="end"/>
      </w:r>
      <w:r w:rsidR="003629B1" w:rsidRPr="009A1C8E">
        <w:t>,</w:t>
      </w:r>
      <w:r w:rsidRPr="009A1C8E">
        <w:t xml:space="preserve"> which </w:t>
      </w:r>
      <w:r w:rsidR="00E37CE7" w:rsidRPr="009A1C8E">
        <w:t xml:space="preserve">found </w:t>
      </w:r>
      <w:r w:rsidR="00CD28C6" w:rsidRPr="009A1C8E">
        <w:t xml:space="preserve">that </w:t>
      </w:r>
      <w:r w:rsidR="00E37CE7" w:rsidRPr="009A1C8E">
        <w:t xml:space="preserve">83% of providers were making a loss </w:t>
      </w:r>
      <w:r w:rsidRPr="009A1C8E">
        <w:t xml:space="preserve">on </w:t>
      </w:r>
      <w:r w:rsidR="00E37CE7" w:rsidRPr="009A1C8E">
        <w:t xml:space="preserve">transport services. In the next 12 months, 21% </w:t>
      </w:r>
      <w:r w:rsidR="00135CA0" w:rsidRPr="009A1C8E">
        <w:t xml:space="preserve">expected </w:t>
      </w:r>
      <w:r w:rsidR="00E37CE7" w:rsidRPr="009A1C8E">
        <w:t xml:space="preserve">to decrease the size of their fleet and a fifth </w:t>
      </w:r>
      <w:proofErr w:type="gramStart"/>
      <w:r w:rsidR="00E37CE7" w:rsidRPr="009A1C8E">
        <w:t>were</w:t>
      </w:r>
      <w:proofErr w:type="gramEnd"/>
      <w:r w:rsidR="00E37CE7" w:rsidRPr="009A1C8E">
        <w:t xml:space="preserve"> unsure of their organisation’s fleet intentions.</w:t>
      </w:r>
    </w:p>
    <w:p w:rsidR="007D096B" w:rsidRPr="009A1C8E" w:rsidRDefault="0067703D" w:rsidP="00830706">
      <w:pPr>
        <w:pStyle w:val="Heading3"/>
      </w:pPr>
      <w:r w:rsidRPr="009A1C8E">
        <w:t>4.1.2</w:t>
      </w:r>
      <w:r w:rsidR="00E86E44" w:rsidRPr="009A1C8E">
        <w:t xml:space="preserve"> </w:t>
      </w:r>
      <w:r w:rsidR="007D096B" w:rsidRPr="009A1C8E">
        <w:t>R</w:t>
      </w:r>
      <w:r w:rsidR="2407D86A" w:rsidRPr="009A1C8E">
        <w:t xml:space="preserve">equests for services </w:t>
      </w:r>
      <w:r w:rsidR="005E7C1D" w:rsidRPr="009A1C8E">
        <w:t xml:space="preserve">that providers have been </w:t>
      </w:r>
      <w:r w:rsidR="2407D86A" w:rsidRPr="009A1C8E">
        <w:t>unable to provide</w:t>
      </w:r>
    </w:p>
    <w:p w:rsidR="006767E6" w:rsidRPr="009A1C8E" w:rsidRDefault="00E67758" w:rsidP="00A14F68">
      <w:pPr>
        <w:spacing w:before="120" w:after="120" w:line="276" w:lineRule="auto"/>
      </w:pPr>
      <w:r w:rsidRPr="009A1C8E">
        <w:t xml:space="preserve">Over the last 12 months, </w:t>
      </w:r>
      <w:r w:rsidR="00440E65" w:rsidRPr="009A1C8E">
        <w:t xml:space="preserve">the vast majority of providers have </w:t>
      </w:r>
      <w:r w:rsidRPr="009A1C8E">
        <w:t xml:space="preserve">received requests for disability services that </w:t>
      </w:r>
      <w:r w:rsidR="00B41E8E" w:rsidRPr="009A1C8E">
        <w:t>they</w:t>
      </w:r>
      <w:r w:rsidRPr="009A1C8E">
        <w:t xml:space="preserve"> have not been able to provide</w:t>
      </w:r>
      <w:r w:rsidR="00B41E8E" w:rsidRPr="009A1C8E">
        <w:t xml:space="preserve"> (</w:t>
      </w:r>
      <w:r w:rsidR="00942BCD" w:rsidRPr="009A1C8E">
        <w:t xml:space="preserve">Victoria </w:t>
      </w:r>
      <w:r w:rsidR="00302730" w:rsidRPr="009A1C8E">
        <w:t>n=</w:t>
      </w:r>
      <w:r w:rsidR="00A345AD" w:rsidRPr="009A1C8E">
        <w:t>65</w:t>
      </w:r>
      <w:r w:rsidR="00302730" w:rsidRPr="009A1C8E">
        <w:t xml:space="preserve">, 74% and </w:t>
      </w:r>
      <w:r w:rsidR="00942BCD" w:rsidRPr="009A1C8E">
        <w:lastRenderedPageBreak/>
        <w:t xml:space="preserve">national </w:t>
      </w:r>
      <w:r w:rsidR="00302730" w:rsidRPr="009A1C8E">
        <w:t>n=</w:t>
      </w:r>
      <w:r w:rsidR="00B920C6" w:rsidRPr="009A1C8E">
        <w:t>287</w:t>
      </w:r>
      <w:r w:rsidR="00302730" w:rsidRPr="009A1C8E">
        <w:t>, 68%).</w:t>
      </w:r>
      <w:r w:rsidR="00942BCD" w:rsidRPr="009A1C8E">
        <w:t xml:space="preserve"> </w:t>
      </w:r>
      <w:r w:rsidR="00FC4445" w:rsidRPr="009A1C8E">
        <w:t>Victorian providers</w:t>
      </w:r>
      <w:r w:rsidR="00942BCD" w:rsidRPr="009A1C8E">
        <w:t>’</w:t>
      </w:r>
      <w:r w:rsidR="00FC4445" w:rsidRPr="009A1C8E">
        <w:t xml:space="preserve"> comments </w:t>
      </w:r>
      <w:r w:rsidR="00D070D3" w:rsidRPr="009A1C8E">
        <w:t xml:space="preserve">were thematically analysed </w:t>
      </w:r>
      <w:r w:rsidR="00E05346" w:rsidRPr="009A1C8E">
        <w:t>to understand the type of requests that disability service providers were unable to meet.</w:t>
      </w:r>
      <w:r w:rsidR="00FC4445" w:rsidRPr="009A1C8E">
        <w:t xml:space="preserve"> </w:t>
      </w:r>
      <w:r w:rsidR="00F84AB3" w:rsidRPr="009A1C8E">
        <w:t xml:space="preserve">The most prominent themes identified </w:t>
      </w:r>
      <w:r w:rsidR="00434FC5" w:rsidRPr="009A1C8E">
        <w:t xml:space="preserve">are </w:t>
      </w:r>
      <w:r w:rsidR="005257D2" w:rsidRPr="009A1C8E">
        <w:t xml:space="preserve">shown in </w:t>
      </w:r>
      <w:r w:rsidR="004F37B5" w:rsidRPr="009A1C8E">
        <w:t>box</w:t>
      </w:r>
      <w:r w:rsidR="005257D2" w:rsidRPr="009A1C8E">
        <w:t xml:space="preserve"> </w:t>
      </w:r>
      <w:r w:rsidR="006767E6" w:rsidRPr="009A1C8E">
        <w:t>1</w:t>
      </w:r>
      <w:r w:rsidR="005257D2" w:rsidRPr="009A1C8E">
        <w:t xml:space="preserve">, </w:t>
      </w:r>
      <w:r w:rsidR="00831A01" w:rsidRPr="009A1C8E">
        <w:t xml:space="preserve">along with </w:t>
      </w:r>
      <w:r w:rsidR="005257D2" w:rsidRPr="009A1C8E">
        <w:t>illustrative quotes</w:t>
      </w:r>
      <w:r w:rsidR="00E94748" w:rsidRPr="009A1C8E">
        <w:t>.</w:t>
      </w:r>
    </w:p>
    <w:p w:rsidR="006767E6" w:rsidRPr="00391D50" w:rsidRDefault="006767E6" w:rsidP="00A14F68">
      <w:pPr>
        <w:spacing w:before="120" w:after="120" w:line="276" w:lineRule="auto"/>
        <w:rPr>
          <w:b/>
          <w:color w:val="497594"/>
        </w:rPr>
      </w:pPr>
      <w:r w:rsidRPr="00391D50">
        <w:rPr>
          <w:b/>
          <w:color w:val="497594"/>
        </w:rPr>
        <w:t xml:space="preserve">Box </w:t>
      </w:r>
      <w:r w:rsidR="002D37DC" w:rsidRPr="00391D50">
        <w:rPr>
          <w:b/>
          <w:color w:val="497594"/>
        </w:rPr>
        <w:fldChar w:fldCharType="begin"/>
      </w:r>
      <w:r w:rsidR="00EA42D9" w:rsidRPr="00391D50">
        <w:rPr>
          <w:b/>
          <w:color w:val="497594"/>
        </w:rPr>
        <w:instrText xml:space="preserve"> SEQ Box \* ARABIC </w:instrText>
      </w:r>
      <w:r w:rsidR="002D37DC" w:rsidRPr="00391D50">
        <w:rPr>
          <w:b/>
          <w:color w:val="497594"/>
        </w:rPr>
        <w:fldChar w:fldCharType="separate"/>
      </w:r>
      <w:r w:rsidR="00004081">
        <w:rPr>
          <w:b/>
          <w:noProof/>
          <w:color w:val="497594"/>
        </w:rPr>
        <w:t>1</w:t>
      </w:r>
      <w:r w:rsidR="002D37DC" w:rsidRPr="00391D50">
        <w:rPr>
          <w:b/>
          <w:noProof/>
          <w:color w:val="497594"/>
        </w:rPr>
        <w:fldChar w:fldCharType="end"/>
      </w:r>
      <w:r w:rsidRPr="00391D50">
        <w:rPr>
          <w:b/>
          <w:color w:val="497594"/>
        </w:rPr>
        <w:t>: Type of requests that disability service providers were unable to meet and illustrative quotes.</w:t>
      </w:r>
    </w:p>
    <w:tbl>
      <w:tblPr>
        <w:tblStyle w:val="TableGrid"/>
        <w:tblW w:w="5000" w:type="pct"/>
        <w:tblLook w:val="04A0"/>
      </w:tblPr>
      <w:tblGrid>
        <w:gridCol w:w="3189"/>
        <w:gridCol w:w="6387"/>
      </w:tblGrid>
      <w:tr w:rsidR="005257D2" w:rsidRPr="009A1C8E" w:rsidTr="00BC5033">
        <w:trPr>
          <w:tblHeader/>
        </w:trPr>
        <w:tc>
          <w:tcPr>
            <w:tcW w:w="16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97594"/>
          </w:tcPr>
          <w:p w:rsidR="005257D2" w:rsidRPr="00391D50" w:rsidRDefault="00831A01" w:rsidP="00A14F68">
            <w:pPr>
              <w:spacing w:before="120" w:after="120" w:line="276" w:lineRule="auto"/>
              <w:rPr>
                <w:b/>
                <w:color w:val="FFFFFF" w:themeColor="background1"/>
              </w:rPr>
            </w:pPr>
            <w:bookmarkStart w:id="42" w:name="ColumnTitle_2"/>
            <w:r w:rsidRPr="00391D50">
              <w:rPr>
                <w:b/>
                <w:color w:val="FFFFFF" w:themeColor="background1"/>
              </w:rPr>
              <w:t>Prominent themes</w:t>
            </w:r>
          </w:p>
        </w:tc>
        <w:tc>
          <w:tcPr>
            <w:tcW w:w="33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97594"/>
          </w:tcPr>
          <w:p w:rsidR="005257D2" w:rsidRPr="00391D50" w:rsidRDefault="00831A01" w:rsidP="00A14F68">
            <w:pPr>
              <w:spacing w:before="120" w:after="120" w:line="276" w:lineRule="auto"/>
              <w:rPr>
                <w:b/>
                <w:color w:val="FFFFFF" w:themeColor="background1"/>
              </w:rPr>
            </w:pPr>
            <w:r w:rsidRPr="00391D50">
              <w:rPr>
                <w:b/>
                <w:color w:val="FFFFFF" w:themeColor="background1"/>
              </w:rPr>
              <w:t>Illustrative quotes</w:t>
            </w:r>
          </w:p>
        </w:tc>
      </w:tr>
      <w:bookmarkEnd w:id="42"/>
      <w:tr w:rsidR="0061057A" w:rsidRPr="009A1C8E" w:rsidTr="00BC5033">
        <w:tc>
          <w:tcPr>
            <w:tcW w:w="1665" w:type="pct"/>
            <w:tcBorders>
              <w:top w:val="single" w:sz="4" w:space="0" w:color="FFFFFF" w:themeColor="background1"/>
            </w:tcBorders>
          </w:tcPr>
          <w:p w:rsidR="0061057A" w:rsidRPr="009A1C8E" w:rsidRDefault="0061057A" w:rsidP="00A14F68">
            <w:pPr>
              <w:spacing w:before="120" w:after="120" w:line="276" w:lineRule="auto"/>
            </w:pPr>
            <w:r w:rsidRPr="009A1C8E">
              <w:t>High intensity services and clients with high needs (n=17)</w:t>
            </w:r>
          </w:p>
        </w:tc>
        <w:tc>
          <w:tcPr>
            <w:tcW w:w="3335" w:type="pct"/>
            <w:tcBorders>
              <w:top w:val="single" w:sz="4" w:space="0" w:color="FFFFFF" w:themeColor="background1"/>
            </w:tcBorders>
          </w:tcPr>
          <w:p w:rsidR="00567014" w:rsidRPr="009A1C8E" w:rsidRDefault="00567014" w:rsidP="00A14F68">
            <w:pPr>
              <w:spacing w:before="120" w:after="120" w:line="276" w:lineRule="auto"/>
            </w:pPr>
            <w:r w:rsidRPr="009A1C8E">
              <w:t>“1:1 support in the community”</w:t>
            </w:r>
          </w:p>
          <w:p w:rsidR="0061057A" w:rsidRPr="009A1C8E" w:rsidRDefault="00567014" w:rsidP="00A14F68">
            <w:pPr>
              <w:spacing w:before="120" w:after="120" w:line="276" w:lineRule="auto"/>
            </w:pPr>
            <w:r w:rsidRPr="009A1C8E">
              <w:t>“Persons requiring high intensity support”</w:t>
            </w:r>
          </w:p>
          <w:p w:rsidR="00567014" w:rsidRPr="009A1C8E" w:rsidRDefault="00567014" w:rsidP="00A14F68">
            <w:pPr>
              <w:spacing w:before="120" w:after="120" w:line="276" w:lineRule="auto"/>
            </w:pPr>
            <w:r w:rsidRPr="009A1C8E">
              <w:t>“The number of clients with high</w:t>
            </w:r>
            <w:r w:rsidR="001E58ED" w:rsidRPr="009A1C8E">
              <w:t xml:space="preserve"> </w:t>
            </w:r>
            <w:r w:rsidRPr="009A1C8E">
              <w:t>needs requiring support cannot be met according to the new centre-based pricing.”</w:t>
            </w:r>
          </w:p>
        </w:tc>
      </w:tr>
      <w:tr w:rsidR="005257D2" w:rsidRPr="009A1C8E" w:rsidTr="0086112F">
        <w:tc>
          <w:tcPr>
            <w:tcW w:w="1665" w:type="pct"/>
          </w:tcPr>
          <w:p w:rsidR="005257D2" w:rsidRPr="009A1C8E" w:rsidRDefault="00831A01" w:rsidP="00A14F68">
            <w:pPr>
              <w:spacing w:before="120" w:after="120" w:line="276" w:lineRule="auto"/>
            </w:pPr>
            <w:r w:rsidRPr="009A1C8E">
              <w:t>Requests far away, particularly in regional and rural locations (n=11)</w:t>
            </w:r>
          </w:p>
        </w:tc>
        <w:tc>
          <w:tcPr>
            <w:tcW w:w="3335" w:type="pct"/>
          </w:tcPr>
          <w:p w:rsidR="00831A01" w:rsidRPr="009A1C8E" w:rsidRDefault="00831A01" w:rsidP="00A14F68">
            <w:pPr>
              <w:spacing w:before="120" w:after="120" w:line="276" w:lineRule="auto"/>
            </w:pPr>
            <w:r w:rsidRPr="009A1C8E">
              <w:t>“Requests for services in outlying townships, (cost of travel is not covered by the 20 minute allowance).”</w:t>
            </w:r>
          </w:p>
          <w:p w:rsidR="005257D2" w:rsidRPr="009A1C8E" w:rsidRDefault="00831A01" w:rsidP="00A14F68">
            <w:pPr>
              <w:spacing w:before="120" w:after="120" w:line="276" w:lineRule="auto"/>
              <w:rPr>
                <w:b/>
                <w:bCs/>
              </w:rPr>
            </w:pPr>
            <w:r w:rsidRPr="009A1C8E">
              <w:t>“Not so much the type</w:t>
            </w:r>
            <w:r w:rsidR="001E58ED" w:rsidRPr="009A1C8E">
              <w:t>,</w:t>
            </w:r>
            <w:r w:rsidRPr="009A1C8E">
              <w:t xml:space="preserve"> more the location of where the client was living. Remote regional locations and inability to be able to recruit staff in the area and not being able to get existing staff to travel.”</w:t>
            </w:r>
          </w:p>
        </w:tc>
      </w:tr>
      <w:tr w:rsidR="005257D2" w:rsidRPr="009A1C8E" w:rsidTr="0086112F">
        <w:tc>
          <w:tcPr>
            <w:tcW w:w="1665" w:type="pct"/>
          </w:tcPr>
          <w:p w:rsidR="00831A01" w:rsidRPr="009A1C8E" w:rsidRDefault="00831A01" w:rsidP="00A14F68">
            <w:pPr>
              <w:spacing w:before="120" w:after="120" w:line="276" w:lineRule="auto"/>
            </w:pPr>
            <w:r w:rsidRPr="009A1C8E">
              <w:t>Clients with behaviours of concern (n=6)</w:t>
            </w:r>
          </w:p>
          <w:p w:rsidR="005257D2" w:rsidRPr="009A1C8E" w:rsidRDefault="005257D2" w:rsidP="00A14F68">
            <w:pPr>
              <w:spacing w:before="120" w:after="120" w:line="276" w:lineRule="auto"/>
            </w:pPr>
          </w:p>
        </w:tc>
        <w:tc>
          <w:tcPr>
            <w:tcW w:w="3335" w:type="pct"/>
          </w:tcPr>
          <w:p w:rsidR="005257D2" w:rsidRPr="009A1C8E" w:rsidRDefault="00831A01" w:rsidP="00A14F68">
            <w:pPr>
              <w:spacing w:before="120" w:after="120" w:line="276" w:lineRule="auto"/>
            </w:pPr>
            <w:r w:rsidRPr="009A1C8E">
              <w:t>“</w:t>
            </w:r>
            <w:proofErr w:type="spellStart"/>
            <w:r w:rsidRPr="009A1C8E">
              <w:t>Complexed</w:t>
            </w:r>
            <w:proofErr w:type="spellEnd"/>
            <w:r w:rsidRPr="009A1C8E">
              <w:t xml:space="preserve"> behaviours of participants; lack of behaviour management support for people; </w:t>
            </w:r>
            <w:proofErr w:type="spellStart"/>
            <w:r w:rsidRPr="009A1C8E">
              <w:t>complexed</w:t>
            </w:r>
            <w:proofErr w:type="spellEnd"/>
            <w:r w:rsidRPr="009A1C8E">
              <w:t xml:space="preserve"> care; persons requiring high intensity support</w:t>
            </w:r>
            <w:r w:rsidR="001E58ED" w:rsidRPr="009A1C8E">
              <w:t>.</w:t>
            </w:r>
            <w:r w:rsidRPr="009A1C8E">
              <w:t>”</w:t>
            </w:r>
          </w:p>
        </w:tc>
      </w:tr>
      <w:tr w:rsidR="005257D2" w:rsidRPr="009A1C8E" w:rsidTr="0086112F">
        <w:tc>
          <w:tcPr>
            <w:tcW w:w="1665" w:type="pct"/>
          </w:tcPr>
          <w:p w:rsidR="005257D2" w:rsidRPr="009A1C8E" w:rsidRDefault="00831A01" w:rsidP="00A14F68">
            <w:pPr>
              <w:spacing w:before="120" w:after="120" w:line="276" w:lineRule="auto"/>
            </w:pPr>
            <w:r w:rsidRPr="009A1C8E">
              <w:t>In</w:t>
            </w:r>
            <w:r w:rsidR="001E58ED" w:rsidRPr="009A1C8E">
              <w:t>-</w:t>
            </w:r>
            <w:r w:rsidRPr="009A1C8E">
              <w:t>home supports (n=6)</w:t>
            </w:r>
          </w:p>
        </w:tc>
        <w:tc>
          <w:tcPr>
            <w:tcW w:w="3335" w:type="pct"/>
          </w:tcPr>
          <w:p w:rsidR="005257D2" w:rsidRPr="009A1C8E" w:rsidRDefault="00F01E79" w:rsidP="00A14F68">
            <w:pPr>
              <w:spacing w:before="120" w:after="120" w:line="276" w:lineRule="auto"/>
            </w:pPr>
            <w:r w:rsidRPr="009A1C8E">
              <w:t>“</w:t>
            </w:r>
            <w:r w:rsidR="00663D3C" w:rsidRPr="009A1C8E">
              <w:t>Home modifications, home-based therapy”</w:t>
            </w:r>
          </w:p>
          <w:p w:rsidR="00F01E79" w:rsidRPr="009A1C8E" w:rsidRDefault="00C7391B" w:rsidP="00A14F68">
            <w:pPr>
              <w:spacing w:before="120" w:after="120" w:line="276" w:lineRule="auto"/>
            </w:pPr>
            <w:r w:rsidRPr="009A1C8E">
              <w:t>“In</w:t>
            </w:r>
            <w:r w:rsidR="001E58ED" w:rsidRPr="009A1C8E">
              <w:t>-</w:t>
            </w:r>
            <w:r w:rsidRPr="009A1C8E">
              <w:t>home support in rural areas.”</w:t>
            </w:r>
          </w:p>
        </w:tc>
      </w:tr>
      <w:tr w:rsidR="00831A01" w:rsidRPr="009A1C8E" w:rsidTr="0086112F">
        <w:tc>
          <w:tcPr>
            <w:tcW w:w="1665" w:type="pct"/>
          </w:tcPr>
          <w:p w:rsidR="00831A01" w:rsidRPr="009A1C8E" w:rsidRDefault="00831A01" w:rsidP="00A14F68">
            <w:pPr>
              <w:spacing w:before="120" w:after="120" w:line="276" w:lineRule="auto"/>
            </w:pPr>
            <w:r w:rsidRPr="009A1C8E">
              <w:t>Workforce shortages – the inability to meet demand (n=6)</w:t>
            </w:r>
          </w:p>
        </w:tc>
        <w:tc>
          <w:tcPr>
            <w:tcW w:w="3335" w:type="pct"/>
          </w:tcPr>
          <w:p w:rsidR="00831A01" w:rsidRPr="009A1C8E" w:rsidRDefault="00831A01" w:rsidP="00A14F68">
            <w:pPr>
              <w:spacing w:before="120" w:after="120" w:line="276" w:lineRule="auto"/>
            </w:pPr>
            <w:r w:rsidRPr="009A1C8E">
              <w:t>“Volume of hours required</w:t>
            </w:r>
            <w:r w:rsidR="001E58ED" w:rsidRPr="009A1C8E">
              <w:t>.</w:t>
            </w:r>
            <w:r w:rsidRPr="009A1C8E">
              <w:t xml:space="preserve"> </w:t>
            </w:r>
            <w:r w:rsidR="001E58ED" w:rsidRPr="009A1C8E">
              <w:t>W</w:t>
            </w:r>
            <w:r w:rsidRPr="009A1C8E">
              <w:t>e have not been able to recruit enough staff to meet demand</w:t>
            </w:r>
            <w:r w:rsidR="001E58ED" w:rsidRPr="009A1C8E">
              <w:t>.</w:t>
            </w:r>
            <w:r w:rsidRPr="009A1C8E">
              <w:t>”</w:t>
            </w:r>
          </w:p>
        </w:tc>
      </w:tr>
    </w:tbl>
    <w:p w:rsidR="00E37CE7" w:rsidRPr="009A1C8E" w:rsidRDefault="00BA0C4B" w:rsidP="00A14F68">
      <w:pPr>
        <w:spacing w:before="120" w:after="120" w:line="276" w:lineRule="auto"/>
      </w:pPr>
      <w:r w:rsidRPr="009A1C8E">
        <w:t>P</w:t>
      </w:r>
      <w:r w:rsidR="00C46673" w:rsidRPr="009A1C8E">
        <w:t xml:space="preserve">roviders also indicated </w:t>
      </w:r>
      <w:r w:rsidR="0037661A" w:rsidRPr="009A1C8E">
        <w:t>they were unable to meet the following requests:</w:t>
      </w:r>
      <w:r w:rsidR="00C46673" w:rsidRPr="009A1C8E">
        <w:t xml:space="preserve"> </w:t>
      </w:r>
      <w:r w:rsidR="0037661A" w:rsidRPr="009A1C8E">
        <w:t>respite (n=5), support coordination (n=4), allied health (n=4), short</w:t>
      </w:r>
      <w:r w:rsidRPr="009A1C8E">
        <w:t xml:space="preserve"> </w:t>
      </w:r>
      <w:r w:rsidR="0037661A" w:rsidRPr="009A1C8E">
        <w:t>services (n=4), clients with mental health concerns (n=4), group-based services (n=3), ineligible clients (n=2), clients awaiting plan reviews (n=2)</w:t>
      </w:r>
      <w:r w:rsidR="00C46673" w:rsidRPr="009A1C8E">
        <w:t>.</w:t>
      </w:r>
    </w:p>
    <w:p w:rsidR="00C2328C" w:rsidRPr="009A1C8E" w:rsidRDefault="00C2328C" w:rsidP="00830706">
      <w:pPr>
        <w:pStyle w:val="Heading3"/>
      </w:pPr>
      <w:r w:rsidRPr="009A1C8E">
        <w:lastRenderedPageBreak/>
        <w:t xml:space="preserve">4.1.4 </w:t>
      </w:r>
      <w:r w:rsidR="005E36FC" w:rsidRPr="009A1C8E">
        <w:t>Day services and participants with complex support needs</w:t>
      </w:r>
    </w:p>
    <w:p w:rsidR="00CE58E0" w:rsidRPr="009A1C8E" w:rsidRDefault="00D76064" w:rsidP="00A14F68">
      <w:pPr>
        <w:spacing w:before="120" w:after="120" w:line="276" w:lineRule="auto"/>
      </w:pPr>
      <w:r w:rsidRPr="009A1C8E">
        <w:t xml:space="preserve">A recent NDS </w:t>
      </w:r>
      <w:r w:rsidR="00BA0C4B" w:rsidRPr="009A1C8E">
        <w:t xml:space="preserve">Victorian </w:t>
      </w:r>
      <w:r w:rsidRPr="009A1C8E">
        <w:t xml:space="preserve">survey explored the impact </w:t>
      </w:r>
      <w:r w:rsidR="00FE55D2" w:rsidRPr="009A1C8E">
        <w:t xml:space="preserve">of NDIS transition on </w:t>
      </w:r>
      <w:r w:rsidR="003A7CFD" w:rsidRPr="009A1C8E">
        <w:t>provider</w:t>
      </w:r>
      <w:r w:rsidR="00BA0C4B" w:rsidRPr="009A1C8E">
        <w:t>s’ ability</w:t>
      </w:r>
      <w:r w:rsidR="003A7CFD" w:rsidRPr="009A1C8E">
        <w:t xml:space="preserve"> to continue delivering flexible, person-centred </w:t>
      </w:r>
      <w:r w:rsidR="00FE55D2" w:rsidRPr="009A1C8E">
        <w:t>day services</w:t>
      </w:r>
      <w:r w:rsidR="00CB2531" w:rsidRPr="009A1C8E">
        <w:t xml:space="preserve"> </w:t>
      </w:r>
      <w:r w:rsidR="002D37DC" w:rsidRPr="009A1C8E">
        <w:fldChar w:fldCharType="begin"/>
      </w:r>
      <w:r w:rsidR="004C3D69" w:rsidRPr="009A1C8E">
        <w:instrText xml:space="preserve"> ADDIN EN.CITE &lt;EndNote&gt;&lt;Cite&gt;&lt;Author&gt;National Disability Services&lt;/Author&gt;&lt;Year&gt;2019&lt;/Year&gt;&lt;RecNum&gt;288&lt;/RecNum&gt;&lt;DisplayText&gt;(18)&lt;/DisplayText&gt;&lt;record&gt;&lt;rec-number&gt;288&lt;/rec-number&gt;&lt;foreign-keys&gt;&lt;key app="EN" db-id="dtafe02tlezsd7ef59c5s9fdse5ze52xw2ta" timestamp="1554388344"&gt;288&lt;/key&gt;&lt;/foreign-keys&gt;&lt;ref-type name="Unpublished Work"&gt;34&lt;/ref-type&gt;&lt;contributors&gt;&lt;authors&gt;&lt;author&gt;National Disability Services,&lt;/author&gt;&lt;/authors&gt;&lt;/contributors&gt;&lt;titles&gt;&lt;title&gt;Community Participation: NDS survey findings and recommendations&lt;/title&gt;&lt;/titles&gt;&lt;dates&gt;&lt;year&gt;2019&lt;/year&gt;&lt;/dates&gt;&lt;urls&gt;&lt;/urls&gt;&lt;/record&gt;&lt;/Cite&gt;&lt;/EndNote&gt;</w:instrText>
      </w:r>
      <w:r w:rsidR="002D37DC" w:rsidRPr="009A1C8E">
        <w:fldChar w:fldCharType="separate"/>
      </w:r>
      <w:r w:rsidR="004C3D69" w:rsidRPr="009A1C8E">
        <w:rPr>
          <w:noProof/>
        </w:rPr>
        <w:t>(18)</w:t>
      </w:r>
      <w:r w:rsidR="002D37DC" w:rsidRPr="009A1C8E">
        <w:fldChar w:fldCharType="end"/>
      </w:r>
      <w:r w:rsidR="00CD56BD" w:rsidRPr="009A1C8E">
        <w:t>.</w:t>
      </w:r>
      <w:r w:rsidR="00767DA2" w:rsidRPr="009A1C8E">
        <w:t xml:space="preserve"> </w:t>
      </w:r>
      <w:r w:rsidR="00FE55D2" w:rsidRPr="009A1C8E">
        <w:t xml:space="preserve">This report </w:t>
      </w:r>
      <w:r w:rsidR="00A55B75" w:rsidRPr="009A1C8E">
        <w:t xml:space="preserve">highlighted </w:t>
      </w:r>
      <w:r w:rsidR="00211EBF" w:rsidRPr="009A1C8E">
        <w:t>that</w:t>
      </w:r>
      <w:r w:rsidR="00EE5508" w:rsidRPr="009A1C8E">
        <w:t xml:space="preserve"> </w:t>
      </w:r>
      <w:r w:rsidR="00A55B75" w:rsidRPr="009A1C8E">
        <w:t xml:space="preserve">community-based supports </w:t>
      </w:r>
      <w:r w:rsidR="00625556" w:rsidRPr="009A1C8E">
        <w:t xml:space="preserve">are </w:t>
      </w:r>
      <w:r w:rsidR="00BF5C9C" w:rsidRPr="009A1C8E">
        <w:t>being severely challenged</w:t>
      </w:r>
      <w:r w:rsidR="00BA0C4B" w:rsidRPr="009A1C8E">
        <w:t>:</w:t>
      </w:r>
    </w:p>
    <w:p w:rsidR="00A4798F" w:rsidRPr="009A1C8E" w:rsidRDefault="00CC6CD0" w:rsidP="00A14F68">
      <w:pPr>
        <w:pStyle w:val="ListParagraph"/>
        <w:numPr>
          <w:ilvl w:val="0"/>
          <w:numId w:val="37"/>
        </w:numPr>
        <w:spacing w:before="120" w:after="120" w:line="276" w:lineRule="auto"/>
      </w:pPr>
      <w:r w:rsidRPr="009A1C8E">
        <w:t>Forty percent</w:t>
      </w:r>
      <w:r w:rsidR="00BA0C4B" w:rsidRPr="009A1C8E">
        <w:t xml:space="preserve"> of respondents </w:t>
      </w:r>
      <w:r w:rsidR="00C023E6" w:rsidRPr="009A1C8E">
        <w:t>delivering community and centre-based activities report</w:t>
      </w:r>
      <w:r w:rsidR="00BA0C4B" w:rsidRPr="009A1C8E">
        <w:t>ed</w:t>
      </w:r>
      <w:r w:rsidR="00BF5C9C" w:rsidRPr="009A1C8E">
        <w:t xml:space="preserve"> </w:t>
      </w:r>
      <w:r w:rsidR="00C023E6" w:rsidRPr="009A1C8E">
        <w:t xml:space="preserve">more activities </w:t>
      </w:r>
      <w:r w:rsidR="00BA0C4B" w:rsidRPr="009A1C8E">
        <w:t xml:space="preserve">now </w:t>
      </w:r>
      <w:r w:rsidR="00C023E6" w:rsidRPr="009A1C8E">
        <w:t>being held in the centre</w:t>
      </w:r>
      <w:r w:rsidR="00BF5C9C" w:rsidRPr="009A1C8E">
        <w:t xml:space="preserve"> </w:t>
      </w:r>
      <w:r w:rsidR="0067035F" w:rsidRPr="009A1C8E">
        <w:t xml:space="preserve">that were once held </w:t>
      </w:r>
      <w:r w:rsidR="00BF5C9C" w:rsidRPr="009A1C8E">
        <w:t>in the community</w:t>
      </w:r>
      <w:r w:rsidR="00C023E6" w:rsidRPr="009A1C8E">
        <w:t>;</w:t>
      </w:r>
      <w:r w:rsidR="006C3314" w:rsidRPr="009A1C8E">
        <w:t xml:space="preserve"> and</w:t>
      </w:r>
    </w:p>
    <w:p w:rsidR="001E6751" w:rsidRPr="009A1C8E" w:rsidRDefault="00624701" w:rsidP="00A14F68">
      <w:pPr>
        <w:pStyle w:val="ListParagraph"/>
        <w:numPr>
          <w:ilvl w:val="0"/>
          <w:numId w:val="37"/>
        </w:numPr>
        <w:spacing w:before="120" w:after="120" w:line="276" w:lineRule="auto"/>
      </w:pPr>
      <w:r w:rsidRPr="009A1C8E">
        <w:t>Providers indicat</w:t>
      </w:r>
      <w:r w:rsidR="00BA0C4B" w:rsidRPr="009A1C8E">
        <w:t>ed</w:t>
      </w:r>
      <w:r w:rsidRPr="009A1C8E">
        <w:t xml:space="preserve"> that</w:t>
      </w:r>
      <w:r w:rsidR="00BA0C4B" w:rsidRPr="009A1C8E">
        <w:t>,</w:t>
      </w:r>
      <w:r w:rsidRPr="009A1C8E">
        <w:t xml:space="preserve"> as a result of NDIS pricing arrangements from 1 July 2018, they now have </w:t>
      </w:r>
      <w:r w:rsidR="00BA0C4B" w:rsidRPr="009A1C8E">
        <w:t xml:space="preserve">fewer </w:t>
      </w:r>
      <w:r w:rsidR="00A4798F" w:rsidRPr="009A1C8E">
        <w:t>resources</w:t>
      </w:r>
      <w:r w:rsidRPr="009A1C8E">
        <w:t xml:space="preserve"> available</w:t>
      </w:r>
      <w:r w:rsidR="00A4798F" w:rsidRPr="009A1C8E">
        <w:t xml:space="preserve"> to organise community participation opportunities (31%) and</w:t>
      </w:r>
      <w:r w:rsidR="001E6751" w:rsidRPr="009A1C8E">
        <w:t xml:space="preserve"> </w:t>
      </w:r>
      <w:r w:rsidRPr="009A1C8E">
        <w:t xml:space="preserve">are </w:t>
      </w:r>
      <w:r w:rsidR="00724CD3" w:rsidRPr="009A1C8E">
        <w:t>considering</w:t>
      </w:r>
      <w:r w:rsidR="00A921F6" w:rsidRPr="009A1C8E">
        <w:t xml:space="preserve"> </w:t>
      </w:r>
      <w:r w:rsidR="001E6751" w:rsidRPr="009A1C8E">
        <w:t>ce</w:t>
      </w:r>
      <w:r w:rsidR="00A4798F" w:rsidRPr="009A1C8E">
        <w:t>as</w:t>
      </w:r>
      <w:r w:rsidR="001E6751" w:rsidRPr="009A1C8E">
        <w:t>ing</w:t>
      </w:r>
      <w:r w:rsidRPr="009A1C8E">
        <w:t xml:space="preserve"> </w:t>
      </w:r>
      <w:r w:rsidR="00BA0C4B" w:rsidRPr="009A1C8E">
        <w:t xml:space="preserve">delivery </w:t>
      </w:r>
      <w:r w:rsidR="00A4798F" w:rsidRPr="009A1C8E">
        <w:t>of non-centre-based activities (14</w:t>
      </w:r>
      <w:r w:rsidRPr="009A1C8E">
        <w:t>%)</w:t>
      </w:r>
      <w:r w:rsidR="006C3314" w:rsidRPr="009A1C8E">
        <w:t>.</w:t>
      </w:r>
    </w:p>
    <w:p w:rsidR="006C3314" w:rsidRPr="009A1C8E" w:rsidRDefault="0084536B" w:rsidP="00A14F68">
      <w:pPr>
        <w:spacing w:before="120" w:after="120" w:line="276" w:lineRule="auto"/>
      </w:pPr>
      <w:r w:rsidRPr="009A1C8E">
        <w:t xml:space="preserve">Providers </w:t>
      </w:r>
      <w:r w:rsidR="00B42FCC" w:rsidRPr="009A1C8E">
        <w:t xml:space="preserve">further </w:t>
      </w:r>
      <w:r w:rsidR="00BA0C4B" w:rsidRPr="009A1C8E">
        <w:t xml:space="preserve">reported </w:t>
      </w:r>
      <w:r w:rsidR="00B42FCC" w:rsidRPr="009A1C8E">
        <w:t>that:</w:t>
      </w:r>
    </w:p>
    <w:p w:rsidR="00593A46" w:rsidRPr="009A1C8E" w:rsidRDefault="00B16445" w:rsidP="00A14F68">
      <w:pPr>
        <w:pStyle w:val="ListParagraph"/>
        <w:numPr>
          <w:ilvl w:val="0"/>
          <w:numId w:val="37"/>
        </w:numPr>
        <w:spacing w:before="120" w:after="120" w:line="276" w:lineRule="auto"/>
      </w:pPr>
      <w:r w:rsidRPr="009A1C8E">
        <w:t>NDIS pricing arrangements discourage the operation of community-based services</w:t>
      </w:r>
      <w:r w:rsidR="001611FC" w:rsidRPr="009A1C8E">
        <w:t xml:space="preserve"> and rather incent</w:t>
      </w:r>
      <w:r w:rsidR="00F87549" w:rsidRPr="009A1C8E">
        <w:t>ivise centre-based programs</w:t>
      </w:r>
      <w:r w:rsidR="00593A46" w:rsidRPr="009A1C8E">
        <w:t>.</w:t>
      </w:r>
    </w:p>
    <w:p w:rsidR="00F87549" w:rsidRPr="00B35E2D" w:rsidRDefault="00B16445" w:rsidP="00A14F68">
      <w:pPr>
        <w:pStyle w:val="ListParagraph"/>
        <w:numPr>
          <w:ilvl w:val="1"/>
          <w:numId w:val="37"/>
        </w:numPr>
        <w:spacing w:before="120" w:after="120" w:line="276" w:lineRule="auto"/>
        <w:rPr>
          <w:b/>
        </w:rPr>
      </w:pPr>
      <w:r w:rsidRPr="00B35E2D">
        <w:rPr>
          <w:b/>
        </w:rPr>
        <w:t>“</w:t>
      </w:r>
      <w:r w:rsidR="00593A46" w:rsidRPr="00B35E2D">
        <w:rPr>
          <w:b/>
        </w:rPr>
        <w:t>The new centre</w:t>
      </w:r>
      <w:r w:rsidR="007F410E" w:rsidRPr="00B35E2D">
        <w:rPr>
          <w:b/>
        </w:rPr>
        <w:t>-</w:t>
      </w:r>
      <w:r w:rsidR="00593A46" w:rsidRPr="00B35E2D">
        <w:rPr>
          <w:b/>
        </w:rPr>
        <w:t>based rate makes it more appealing to segregate people in facilities rather than community inclusion.”</w:t>
      </w:r>
    </w:p>
    <w:p w:rsidR="005C10A7" w:rsidRPr="009A1C8E" w:rsidRDefault="00BA0C4B" w:rsidP="00A14F68">
      <w:pPr>
        <w:pStyle w:val="ListParagraph"/>
        <w:numPr>
          <w:ilvl w:val="0"/>
          <w:numId w:val="37"/>
        </w:numPr>
        <w:spacing w:before="120" w:after="120" w:line="276" w:lineRule="auto"/>
      </w:pPr>
      <w:r w:rsidRPr="009A1C8E">
        <w:t>R</w:t>
      </w:r>
      <w:r w:rsidR="005C10A7" w:rsidRPr="009A1C8E">
        <w:t xml:space="preserve">emoval of the centre-based loading will further impact the financial viability of </w:t>
      </w:r>
      <w:r w:rsidR="007F410E" w:rsidRPr="009A1C8E">
        <w:t>organisations</w:t>
      </w:r>
      <w:r w:rsidR="006003E0" w:rsidRPr="009A1C8E">
        <w:t>.</w:t>
      </w:r>
    </w:p>
    <w:p w:rsidR="006003E0" w:rsidRPr="00B35E2D" w:rsidRDefault="007F410E" w:rsidP="00A14F68">
      <w:pPr>
        <w:pStyle w:val="ListParagraph"/>
        <w:numPr>
          <w:ilvl w:val="1"/>
          <w:numId w:val="37"/>
        </w:numPr>
        <w:spacing w:before="120" w:after="120" w:line="276" w:lineRule="auto"/>
        <w:rPr>
          <w:b/>
        </w:rPr>
      </w:pPr>
      <w:r w:rsidRPr="00B35E2D">
        <w:rPr>
          <w:b/>
        </w:rPr>
        <w:t>“Lower funding makes community-based activities less attractive and financially sustainable. When the Agency remove</w:t>
      </w:r>
      <w:r w:rsidR="00D95E7A" w:rsidRPr="00B35E2D">
        <w:rPr>
          <w:b/>
        </w:rPr>
        <w:t>s</w:t>
      </w:r>
      <w:r w:rsidRPr="00B35E2D">
        <w:rPr>
          <w:b/>
        </w:rPr>
        <w:t xml:space="preserve"> the centre-based loading, this will negatively impact our organisation from a financial position.”</w:t>
      </w:r>
    </w:p>
    <w:p w:rsidR="00A85697" w:rsidRPr="00B35E2D" w:rsidRDefault="00EB490E" w:rsidP="00A14F68">
      <w:pPr>
        <w:pStyle w:val="ListParagraph"/>
        <w:numPr>
          <w:ilvl w:val="0"/>
          <w:numId w:val="37"/>
        </w:numPr>
        <w:spacing w:before="120" w:after="120" w:line="276" w:lineRule="auto"/>
        <w:rPr>
          <w:b/>
        </w:rPr>
      </w:pPr>
      <w:r w:rsidRPr="00B35E2D">
        <w:rPr>
          <w:b/>
        </w:rPr>
        <w:t>“Transport funding is totally inadequate</w:t>
      </w:r>
      <w:r w:rsidR="001E58ED" w:rsidRPr="00B35E2D">
        <w:rPr>
          <w:b/>
        </w:rPr>
        <w:t>.</w:t>
      </w:r>
      <w:r w:rsidRPr="00B35E2D">
        <w:rPr>
          <w:b/>
        </w:rPr>
        <w:t>”</w:t>
      </w:r>
    </w:p>
    <w:p w:rsidR="00156347" w:rsidRPr="009A1C8E" w:rsidRDefault="00156347" w:rsidP="00A14F68">
      <w:pPr>
        <w:pStyle w:val="ListParagraph"/>
        <w:numPr>
          <w:ilvl w:val="0"/>
          <w:numId w:val="37"/>
        </w:numPr>
        <w:spacing w:before="120" w:after="120" w:line="276" w:lineRule="auto"/>
      </w:pPr>
      <w:r w:rsidRPr="009A1C8E">
        <w:t>There is a significant administrative burden</w:t>
      </w:r>
      <w:r w:rsidR="00BA086F" w:rsidRPr="009A1C8E">
        <w:t xml:space="preserve">, which adds pressure to financial viability and </w:t>
      </w:r>
      <w:r w:rsidR="00BA0C4B" w:rsidRPr="009A1C8E">
        <w:t xml:space="preserve">organisations’ </w:t>
      </w:r>
      <w:r w:rsidR="00745319" w:rsidRPr="009A1C8E">
        <w:t>ability to deliver flexible services to people with disability</w:t>
      </w:r>
      <w:r w:rsidR="007315CE" w:rsidRPr="009A1C8E">
        <w:t>.</w:t>
      </w:r>
    </w:p>
    <w:p w:rsidR="007315CE" w:rsidRPr="00B35E2D" w:rsidRDefault="004E2475" w:rsidP="00A14F68">
      <w:pPr>
        <w:pStyle w:val="ListParagraph"/>
        <w:numPr>
          <w:ilvl w:val="1"/>
          <w:numId w:val="37"/>
        </w:numPr>
        <w:spacing w:before="120" w:after="120" w:line="276" w:lineRule="auto"/>
        <w:rPr>
          <w:b/>
        </w:rPr>
      </w:pPr>
      <w:r w:rsidRPr="00B35E2D">
        <w:rPr>
          <w:b/>
        </w:rPr>
        <w:t>“We manage this as best we can (and reasonably well), however it is a significant administrative burden and adds additional cost to an underfunded service.”</w:t>
      </w:r>
    </w:p>
    <w:p w:rsidR="00641D17" w:rsidRPr="00B35E2D" w:rsidRDefault="00641D17" w:rsidP="00A14F68">
      <w:pPr>
        <w:pStyle w:val="ListParagraph"/>
        <w:numPr>
          <w:ilvl w:val="1"/>
          <w:numId w:val="37"/>
        </w:numPr>
        <w:spacing w:before="120" w:after="120" w:line="276" w:lineRule="auto"/>
        <w:rPr>
          <w:b/>
        </w:rPr>
      </w:pPr>
      <w:r w:rsidRPr="00B35E2D">
        <w:rPr>
          <w:b/>
        </w:rPr>
        <w:t>“Participants can change activities each term but once the participants ratios for groups are entered into the claiming system it is too difficult to change or add new participants until the next term. This limits participant</w:t>
      </w:r>
      <w:r w:rsidR="006214CF" w:rsidRPr="00B35E2D">
        <w:rPr>
          <w:b/>
        </w:rPr>
        <w:t>s</w:t>
      </w:r>
      <w:r w:rsidRPr="00B35E2D">
        <w:rPr>
          <w:b/>
        </w:rPr>
        <w:t xml:space="preserve"> being able to change activities or new participants commencing.”</w:t>
      </w:r>
    </w:p>
    <w:p w:rsidR="00805801" w:rsidRPr="009A1C8E" w:rsidRDefault="00EE2307" w:rsidP="00A14F68">
      <w:pPr>
        <w:pStyle w:val="ListParagraph"/>
        <w:numPr>
          <w:ilvl w:val="0"/>
          <w:numId w:val="37"/>
        </w:numPr>
        <w:spacing w:before="120" w:after="120" w:line="276" w:lineRule="auto"/>
      </w:pPr>
      <w:r w:rsidRPr="009A1C8E">
        <w:lastRenderedPageBreak/>
        <w:t xml:space="preserve">Continued delivery of community-based activities </w:t>
      </w:r>
      <w:r w:rsidR="000C48A3" w:rsidRPr="009A1C8E">
        <w:t>is</w:t>
      </w:r>
      <w:r w:rsidRPr="009A1C8E">
        <w:t xml:space="preserve"> only possible </w:t>
      </w:r>
      <w:r w:rsidR="000C48A3" w:rsidRPr="009A1C8E">
        <w:t>by</w:t>
      </w:r>
      <w:r w:rsidR="00636AD0" w:rsidRPr="009A1C8E">
        <w:t xml:space="preserve"> employing casual staff, using larger sized group</w:t>
      </w:r>
      <w:r w:rsidR="00D34E68" w:rsidRPr="009A1C8E">
        <w:t>s</w:t>
      </w:r>
      <w:r w:rsidR="00636AD0" w:rsidRPr="009A1C8E">
        <w:t xml:space="preserve"> </w:t>
      </w:r>
      <w:r w:rsidR="00104B3B" w:rsidRPr="009A1C8E">
        <w:t>and supporting clients with less complex needs</w:t>
      </w:r>
      <w:r w:rsidR="00805801" w:rsidRPr="009A1C8E">
        <w:t>.</w:t>
      </w:r>
    </w:p>
    <w:p w:rsidR="00805801" w:rsidRPr="00B35E2D" w:rsidRDefault="002170FF" w:rsidP="00A14F68">
      <w:pPr>
        <w:pStyle w:val="ListParagraph"/>
        <w:numPr>
          <w:ilvl w:val="1"/>
          <w:numId w:val="37"/>
        </w:numPr>
        <w:spacing w:before="120" w:after="120" w:line="276" w:lineRule="auto"/>
        <w:rPr>
          <w:b/>
        </w:rPr>
      </w:pPr>
      <w:r w:rsidRPr="00B35E2D">
        <w:rPr>
          <w:b/>
        </w:rPr>
        <w:t>“We hire mainly casual staff for these types of support and run a tight roster. We are still able to run bigger groups with the right support.”</w:t>
      </w:r>
    </w:p>
    <w:p w:rsidR="002170FF" w:rsidRPr="009A1C8E" w:rsidRDefault="00FC6AA9" w:rsidP="00A14F68">
      <w:pPr>
        <w:spacing w:before="120" w:after="120" w:line="276" w:lineRule="auto"/>
      </w:pPr>
      <w:r w:rsidRPr="009A1C8E">
        <w:t xml:space="preserve">It was also clear that NDIS participants with </w:t>
      </w:r>
      <w:r w:rsidR="00D80169" w:rsidRPr="009A1C8E">
        <w:t xml:space="preserve">high support needs are at </w:t>
      </w:r>
      <w:r w:rsidR="00D419AB" w:rsidRPr="009A1C8E">
        <w:t xml:space="preserve">serious </w:t>
      </w:r>
      <w:r w:rsidR="00D80169" w:rsidRPr="009A1C8E">
        <w:t>risk</w:t>
      </w:r>
      <w:r w:rsidR="002C00FE" w:rsidRPr="009A1C8E">
        <w:t xml:space="preserve"> of no longer receiving day service supports</w:t>
      </w:r>
      <w:r w:rsidR="00E74CE3" w:rsidRPr="009A1C8E">
        <w:t>:</w:t>
      </w:r>
    </w:p>
    <w:p w:rsidR="00DC2F46" w:rsidRPr="009A1C8E" w:rsidRDefault="00E74CE3" w:rsidP="00A14F68">
      <w:pPr>
        <w:pStyle w:val="ListParagraph"/>
        <w:numPr>
          <w:ilvl w:val="0"/>
          <w:numId w:val="38"/>
        </w:numPr>
        <w:spacing w:before="120" w:after="120" w:line="276" w:lineRule="auto"/>
      </w:pPr>
      <w:r w:rsidRPr="009A1C8E">
        <w:t xml:space="preserve">While the majority of respondents </w:t>
      </w:r>
      <w:r w:rsidR="00BC3136" w:rsidRPr="009A1C8E">
        <w:t xml:space="preserve">do not plan to exit </w:t>
      </w:r>
      <w:r w:rsidR="004B726B" w:rsidRPr="009A1C8E">
        <w:t>partic</w:t>
      </w:r>
      <w:r w:rsidR="001B648B" w:rsidRPr="009A1C8E">
        <w:t xml:space="preserve">ipants </w:t>
      </w:r>
      <w:r w:rsidR="00D419AB" w:rsidRPr="009A1C8E">
        <w:t xml:space="preserve">with high support needs </w:t>
      </w:r>
      <w:r w:rsidR="0052506C" w:rsidRPr="009A1C8E">
        <w:t>in 2019 (78%)</w:t>
      </w:r>
      <w:r w:rsidR="008D2377" w:rsidRPr="009A1C8E">
        <w:t xml:space="preserve">, </w:t>
      </w:r>
      <w:r w:rsidR="00794CE3" w:rsidRPr="009A1C8E">
        <w:t xml:space="preserve">an estimated 233 participants will be asked to leave. </w:t>
      </w:r>
      <w:r w:rsidR="00F05ED4" w:rsidRPr="009A1C8E">
        <w:t xml:space="preserve">This will have an enormous impact on </w:t>
      </w:r>
      <w:r w:rsidR="00490D72" w:rsidRPr="009A1C8E">
        <w:t>participants, their</w:t>
      </w:r>
      <w:r w:rsidR="00F05ED4" w:rsidRPr="009A1C8E">
        <w:t xml:space="preserve"> families and </w:t>
      </w:r>
      <w:r w:rsidR="00490D72" w:rsidRPr="009A1C8E">
        <w:t>communities</w:t>
      </w:r>
      <w:r w:rsidR="00836F3D" w:rsidRPr="009A1C8E">
        <w:t>.</w:t>
      </w:r>
    </w:p>
    <w:p w:rsidR="007D2704" w:rsidRPr="009A1C8E" w:rsidRDefault="00490D72" w:rsidP="00A14F68">
      <w:pPr>
        <w:pStyle w:val="ListParagraph"/>
        <w:numPr>
          <w:ilvl w:val="0"/>
          <w:numId w:val="38"/>
        </w:numPr>
        <w:spacing w:before="120" w:after="120" w:line="276" w:lineRule="auto"/>
      </w:pPr>
      <w:r w:rsidRPr="009A1C8E">
        <w:t>Thirty-nine percent</w:t>
      </w:r>
      <w:r w:rsidR="007D2704" w:rsidRPr="009A1C8E">
        <w:t xml:space="preserve"> of providers ha</w:t>
      </w:r>
      <w:r w:rsidR="00544DF3" w:rsidRPr="009A1C8E">
        <w:t>ve</w:t>
      </w:r>
      <w:r w:rsidR="007D2704" w:rsidRPr="009A1C8E">
        <w:t xml:space="preserve"> not accepted </w:t>
      </w:r>
      <w:r w:rsidR="00544DF3" w:rsidRPr="009A1C8E">
        <w:t xml:space="preserve">any </w:t>
      </w:r>
      <w:r w:rsidR="007D2704" w:rsidRPr="009A1C8E">
        <w:t>new clients</w:t>
      </w:r>
      <w:r w:rsidR="00544DF3" w:rsidRPr="009A1C8E">
        <w:t xml:space="preserve"> this year with complex needs</w:t>
      </w:r>
      <w:r w:rsidR="007D2704" w:rsidRPr="009A1C8E">
        <w:t xml:space="preserve">, and 24% do not have the ability to </w:t>
      </w:r>
      <w:r w:rsidR="00F41E85" w:rsidRPr="009A1C8E">
        <w:t>do so</w:t>
      </w:r>
      <w:r w:rsidR="007D2704" w:rsidRPr="009A1C8E">
        <w:t xml:space="preserve">. </w:t>
      </w:r>
      <w:r w:rsidR="00544DF3" w:rsidRPr="009A1C8E">
        <w:t xml:space="preserve">Inadequate </w:t>
      </w:r>
      <w:r w:rsidR="007D2704" w:rsidRPr="009A1C8E">
        <w:t xml:space="preserve">1:1 pricing was </w:t>
      </w:r>
      <w:r w:rsidR="00544DF3" w:rsidRPr="009A1C8E">
        <w:t>cited as the primary reason for this</w:t>
      </w:r>
      <w:r w:rsidR="007D2704" w:rsidRPr="009A1C8E">
        <w:t>.</w:t>
      </w:r>
    </w:p>
    <w:p w:rsidR="007D2704" w:rsidRPr="009A1C8E" w:rsidRDefault="007D2704" w:rsidP="00A14F68">
      <w:pPr>
        <w:pStyle w:val="ListParagraph"/>
        <w:numPr>
          <w:ilvl w:val="0"/>
          <w:numId w:val="38"/>
        </w:numPr>
        <w:spacing w:before="120" w:after="120" w:line="276" w:lineRule="auto"/>
      </w:pPr>
      <w:r w:rsidRPr="009A1C8E">
        <w:rPr>
          <w:color w:val="000000" w:themeColor="text1"/>
        </w:rPr>
        <w:t xml:space="preserve">An estimated 167 participants with complex support </w:t>
      </w:r>
      <w:r w:rsidRPr="009A1C8E">
        <w:t>needs</w:t>
      </w:r>
      <w:r w:rsidR="00CB3C0E" w:rsidRPr="009A1C8E">
        <w:t>,</w:t>
      </w:r>
      <w:r w:rsidRPr="009A1C8E">
        <w:t xml:space="preserve"> </w:t>
      </w:r>
      <w:r w:rsidR="00544DF3" w:rsidRPr="009A1C8E">
        <w:t xml:space="preserve">who </w:t>
      </w:r>
      <w:r w:rsidRPr="009A1C8E">
        <w:t>were previously supported on an individual basis</w:t>
      </w:r>
      <w:r w:rsidR="00CB3C0E" w:rsidRPr="009A1C8E">
        <w:t>,</w:t>
      </w:r>
      <w:r w:rsidRPr="009A1C8E">
        <w:t xml:space="preserve"> are now being supported in groups.</w:t>
      </w:r>
    </w:p>
    <w:p w:rsidR="00C51BB9" w:rsidRPr="009A1C8E" w:rsidRDefault="00C51BB9" w:rsidP="00A14F68">
      <w:pPr>
        <w:spacing w:before="120" w:after="120" w:line="276" w:lineRule="auto"/>
      </w:pPr>
      <w:r w:rsidRPr="009A1C8E">
        <w:t>This data suggests that c</w:t>
      </w:r>
      <w:r w:rsidR="009816B7" w:rsidRPr="009A1C8E">
        <w:t>ommunity-based d</w:t>
      </w:r>
      <w:r w:rsidR="003E082D" w:rsidRPr="009A1C8E">
        <w:t xml:space="preserve">ay services </w:t>
      </w:r>
      <w:r w:rsidRPr="009A1C8E">
        <w:t xml:space="preserve">are at </w:t>
      </w:r>
      <w:r w:rsidR="004602C5" w:rsidRPr="009A1C8E">
        <w:t xml:space="preserve">particular </w:t>
      </w:r>
      <w:r w:rsidRPr="009A1C8E">
        <w:t xml:space="preserve">risk of thin markets, which will hamper </w:t>
      </w:r>
      <w:r w:rsidR="006106B2" w:rsidRPr="009A1C8E">
        <w:t xml:space="preserve">the ability of people with disability to </w:t>
      </w:r>
      <w:r w:rsidR="002C00FE" w:rsidRPr="009A1C8E">
        <w:t>engage in community, social and recreational activities</w:t>
      </w:r>
      <w:r w:rsidR="002F7048" w:rsidRPr="009A1C8E">
        <w:t xml:space="preserve">. </w:t>
      </w:r>
      <w:r w:rsidR="004602C5" w:rsidRPr="009A1C8E">
        <w:t>P</w:t>
      </w:r>
      <w:r w:rsidR="006106B2" w:rsidRPr="009A1C8E">
        <w:t xml:space="preserve">eople with complex needs </w:t>
      </w:r>
      <w:r w:rsidR="00906D32" w:rsidRPr="009A1C8E">
        <w:t xml:space="preserve">are </w:t>
      </w:r>
      <w:r w:rsidR="004602C5" w:rsidRPr="009A1C8E">
        <w:t xml:space="preserve">clearly </w:t>
      </w:r>
      <w:r w:rsidR="00906D32" w:rsidRPr="009A1C8E">
        <w:t xml:space="preserve">being turned away, </w:t>
      </w:r>
      <w:r w:rsidR="004602C5" w:rsidRPr="009A1C8E">
        <w:t xml:space="preserve">or </w:t>
      </w:r>
      <w:r w:rsidR="00906D32" w:rsidRPr="009A1C8E">
        <w:t xml:space="preserve">supported </w:t>
      </w:r>
      <w:r w:rsidR="00756BEB" w:rsidRPr="009A1C8E">
        <w:t xml:space="preserve">in larger groups, which may not best </w:t>
      </w:r>
      <w:r w:rsidR="000A6D80" w:rsidRPr="009A1C8E">
        <w:t>align with</w:t>
      </w:r>
      <w:r w:rsidR="00756BEB" w:rsidRPr="009A1C8E">
        <w:t xml:space="preserve"> their needs or wishes</w:t>
      </w:r>
      <w:r w:rsidR="004602C5" w:rsidRPr="009A1C8E">
        <w:t xml:space="preserve"> and certainly does not align with the NDIS’ intended purpose of a more individualised approach to support</w:t>
      </w:r>
      <w:r w:rsidR="00756BEB" w:rsidRPr="009A1C8E">
        <w:t>.</w:t>
      </w:r>
    </w:p>
    <w:p w:rsidR="00AF4C76" w:rsidRPr="009A1C8E" w:rsidRDefault="0067703D" w:rsidP="00830706">
      <w:pPr>
        <w:pStyle w:val="Heading3"/>
      </w:pPr>
      <w:r w:rsidRPr="009A1C8E">
        <w:t>4.1.</w:t>
      </w:r>
      <w:r w:rsidR="00C2328C" w:rsidRPr="009A1C8E">
        <w:t>4</w:t>
      </w:r>
      <w:r w:rsidR="00E86E44" w:rsidRPr="009A1C8E">
        <w:t xml:space="preserve"> </w:t>
      </w:r>
      <w:r w:rsidR="00056A10" w:rsidRPr="009A1C8E">
        <w:t>W</w:t>
      </w:r>
      <w:r w:rsidR="00AF4C76" w:rsidRPr="009A1C8E">
        <w:t xml:space="preserve">hat will happen to </w:t>
      </w:r>
      <w:r w:rsidR="00036D3F" w:rsidRPr="009A1C8E">
        <w:t>people with disability?</w:t>
      </w:r>
    </w:p>
    <w:p w:rsidR="00337DFA" w:rsidRPr="009A1C8E" w:rsidRDefault="00AF4C76" w:rsidP="00A14F68">
      <w:pPr>
        <w:spacing w:before="120" w:after="120" w:line="276" w:lineRule="auto"/>
      </w:pPr>
      <w:r w:rsidRPr="009A1C8E">
        <w:t xml:space="preserve">AMS respondents were </w:t>
      </w:r>
      <w:r w:rsidR="00DF7273" w:rsidRPr="009A1C8E">
        <w:t xml:space="preserve">asked </w:t>
      </w:r>
      <w:r w:rsidR="001E58ED" w:rsidRPr="009A1C8E">
        <w:t>“</w:t>
      </w:r>
      <w:r w:rsidR="00DF7273" w:rsidRPr="009A1C8E">
        <w:t xml:space="preserve">Regarding the services your organisation has not been able to provide, what </w:t>
      </w:r>
      <w:proofErr w:type="gramStart"/>
      <w:r w:rsidR="00DF7273" w:rsidRPr="009A1C8E">
        <w:t>do you</w:t>
      </w:r>
      <w:proofErr w:type="gramEnd"/>
      <w:r w:rsidR="00DF7273" w:rsidRPr="009A1C8E">
        <w:t xml:space="preserve"> think will happen in most cases?</w:t>
      </w:r>
      <w:r w:rsidR="001E58ED" w:rsidRPr="009A1C8E">
        <w:t>”</w:t>
      </w:r>
      <w:r w:rsidR="008345D1" w:rsidRPr="009A1C8E">
        <w:t xml:space="preserve"> </w:t>
      </w:r>
      <w:r w:rsidR="002F14C8" w:rsidRPr="009A1C8E">
        <w:t xml:space="preserve">The majority of </w:t>
      </w:r>
      <w:r w:rsidR="002600E3" w:rsidRPr="009A1C8E">
        <w:t xml:space="preserve">providers expect </w:t>
      </w:r>
      <w:r w:rsidR="00F41E85" w:rsidRPr="009A1C8E">
        <w:t xml:space="preserve">the needs of these clients will not be fully met. 37% of Victorian providers (n=24) were concerned </w:t>
      </w:r>
      <w:r w:rsidR="002600E3" w:rsidRPr="009A1C8E">
        <w:t>that</w:t>
      </w:r>
      <w:r w:rsidR="00911458" w:rsidRPr="009A1C8E">
        <w:t xml:space="preserve"> </w:t>
      </w:r>
      <w:r w:rsidR="00911458" w:rsidRPr="009A1C8E">
        <w:rPr>
          <w:b/>
        </w:rPr>
        <w:t>some</w:t>
      </w:r>
      <w:r w:rsidR="00911458" w:rsidRPr="009A1C8E">
        <w:t xml:space="preserve"> client</w:t>
      </w:r>
      <w:r w:rsidR="00572C97" w:rsidRPr="009A1C8E">
        <w:t>s’</w:t>
      </w:r>
      <w:r w:rsidR="00911458" w:rsidRPr="009A1C8E">
        <w:t xml:space="preserve"> needs will not be met by other organisations</w:t>
      </w:r>
      <w:r w:rsidR="00F41E85" w:rsidRPr="009A1C8E">
        <w:t xml:space="preserve">, compared with </w:t>
      </w:r>
      <w:r w:rsidR="00911458" w:rsidRPr="009A1C8E">
        <w:t>30%</w:t>
      </w:r>
      <w:r w:rsidR="00F41E85" w:rsidRPr="009A1C8E">
        <w:t xml:space="preserve"> nationally (n=87</w:t>
      </w:r>
      <w:r w:rsidR="00911458" w:rsidRPr="009A1C8E">
        <w:t>)</w:t>
      </w:r>
      <w:r w:rsidR="00F41E85" w:rsidRPr="009A1C8E">
        <w:t>. Furthermore, a</w:t>
      </w:r>
      <w:r w:rsidR="002156B1" w:rsidRPr="009A1C8E">
        <w:t xml:space="preserve"> large proportion </w:t>
      </w:r>
      <w:r w:rsidR="00F41E85" w:rsidRPr="009A1C8E">
        <w:t xml:space="preserve">of providers </w:t>
      </w:r>
      <w:r w:rsidR="00572C97" w:rsidRPr="009A1C8E">
        <w:t>expect that c</w:t>
      </w:r>
      <w:r w:rsidR="00D13C30" w:rsidRPr="009A1C8E">
        <w:t>lients</w:t>
      </w:r>
      <w:r w:rsidR="00572C97" w:rsidRPr="009A1C8E">
        <w:t>’</w:t>
      </w:r>
      <w:r w:rsidR="00D13C30" w:rsidRPr="009A1C8E">
        <w:t xml:space="preserve"> needs won't be met and they will go without service (</w:t>
      </w:r>
      <w:r w:rsidR="00F41E85" w:rsidRPr="009A1C8E">
        <w:t xml:space="preserve">Victoria </w:t>
      </w:r>
      <w:r w:rsidR="00D13C30" w:rsidRPr="009A1C8E">
        <w:t>n</w:t>
      </w:r>
      <w:r w:rsidR="00496880" w:rsidRPr="009A1C8E">
        <w:t>=</w:t>
      </w:r>
      <w:r w:rsidR="002B6292" w:rsidRPr="009A1C8E">
        <w:t>19</w:t>
      </w:r>
      <w:r w:rsidR="00496880" w:rsidRPr="009A1C8E">
        <w:t xml:space="preserve">, 29% and </w:t>
      </w:r>
      <w:r w:rsidR="00F41E85" w:rsidRPr="009A1C8E">
        <w:t xml:space="preserve">nationally </w:t>
      </w:r>
      <w:r w:rsidR="00496880" w:rsidRPr="009A1C8E">
        <w:t>n</w:t>
      </w:r>
      <w:r w:rsidR="00C56D01" w:rsidRPr="009A1C8E">
        <w:t>=98</w:t>
      </w:r>
      <w:r w:rsidR="00496880" w:rsidRPr="009A1C8E">
        <w:t>, 34%</w:t>
      </w:r>
      <w:proofErr w:type="gramStart"/>
      <w:r w:rsidR="00496880" w:rsidRPr="009A1C8E">
        <w:t>)</w:t>
      </w:r>
      <w:r w:rsidR="002156B1" w:rsidRPr="009A1C8E">
        <w:t xml:space="preserve"> </w:t>
      </w:r>
      <w:r w:rsidR="00496880" w:rsidRPr="009A1C8E">
        <w:t>.</w:t>
      </w:r>
      <w:proofErr w:type="gramEnd"/>
      <w:r w:rsidR="00496880" w:rsidRPr="009A1C8E">
        <w:t xml:space="preserve"> These figures are concerning, with </w:t>
      </w:r>
      <w:r w:rsidR="00291495" w:rsidRPr="009A1C8E">
        <w:t>merely 12% of Victorian providers (n=</w:t>
      </w:r>
      <w:r w:rsidR="003D5D6D" w:rsidRPr="009A1C8E">
        <w:t>8</w:t>
      </w:r>
      <w:r w:rsidR="00291495" w:rsidRPr="009A1C8E">
        <w:t>) and 21% of national providers</w:t>
      </w:r>
      <w:r w:rsidR="00523252" w:rsidRPr="009A1C8E">
        <w:t xml:space="preserve"> (n=59)</w:t>
      </w:r>
      <w:r w:rsidR="00291495" w:rsidRPr="009A1C8E">
        <w:t xml:space="preserve"> </w:t>
      </w:r>
      <w:r w:rsidR="009B7F20" w:rsidRPr="009A1C8E">
        <w:t>expecting that client</w:t>
      </w:r>
      <w:r w:rsidR="00B16450" w:rsidRPr="009A1C8E">
        <w:t>s'</w:t>
      </w:r>
      <w:r w:rsidR="009B7F20" w:rsidRPr="009A1C8E">
        <w:t xml:space="preserve"> needs will be fully met by other organisations</w:t>
      </w:r>
      <w:r w:rsidR="002156B1" w:rsidRPr="009A1C8E">
        <w:t xml:space="preserve">, and an expectation that informal support provided by families and other unpaid </w:t>
      </w:r>
      <w:r w:rsidR="005A22A9" w:rsidRPr="009A1C8E">
        <w:t xml:space="preserve">carers may </w:t>
      </w:r>
      <w:r w:rsidR="002156B1" w:rsidRPr="009A1C8E">
        <w:t>also need to increase</w:t>
      </w:r>
      <w:r w:rsidR="00F41E85" w:rsidRPr="009A1C8E">
        <w:t xml:space="preserve"> (appendix 4C)</w:t>
      </w:r>
      <w:r w:rsidR="009B7F20" w:rsidRPr="009A1C8E">
        <w:t>.</w:t>
      </w:r>
    </w:p>
    <w:p w:rsidR="008D4DB8" w:rsidRPr="009A1C8E" w:rsidRDefault="00320B04" w:rsidP="00A14F68">
      <w:pPr>
        <w:spacing w:before="120" w:after="120" w:line="276" w:lineRule="auto"/>
      </w:pPr>
      <w:r w:rsidRPr="009A1C8E">
        <w:t xml:space="preserve">Segmenting the Victorian results by geographical groups </w:t>
      </w:r>
      <w:r w:rsidR="005A22A9" w:rsidRPr="009A1C8E">
        <w:t>(</w:t>
      </w:r>
      <w:r w:rsidR="00337DFA" w:rsidRPr="009A1C8E">
        <w:t>appendix 4D</w:t>
      </w:r>
      <w:r w:rsidR="005A22A9" w:rsidRPr="009A1C8E">
        <w:t xml:space="preserve">) shows </w:t>
      </w:r>
      <w:r w:rsidRPr="009A1C8E">
        <w:t>that:</w:t>
      </w:r>
    </w:p>
    <w:p w:rsidR="00D7055D" w:rsidRPr="009A1C8E" w:rsidRDefault="00A5626A" w:rsidP="00A14F68">
      <w:pPr>
        <w:pStyle w:val="ListParagraph"/>
        <w:numPr>
          <w:ilvl w:val="0"/>
          <w:numId w:val="10"/>
        </w:numPr>
        <w:spacing w:before="120" w:after="120" w:line="276" w:lineRule="auto"/>
      </w:pPr>
      <w:r w:rsidRPr="009A1C8E">
        <w:lastRenderedPageBreak/>
        <w:t>The vast majority of r</w:t>
      </w:r>
      <w:r w:rsidR="005578AC" w:rsidRPr="009A1C8E">
        <w:t xml:space="preserve">egional and state-wide organisations </w:t>
      </w:r>
      <w:r w:rsidR="006022C9" w:rsidRPr="009A1C8E">
        <w:t xml:space="preserve">expect </w:t>
      </w:r>
      <w:r w:rsidR="006022C9" w:rsidRPr="009A1C8E">
        <w:rPr>
          <w:b/>
        </w:rPr>
        <w:t>some</w:t>
      </w:r>
      <w:r w:rsidR="006022C9" w:rsidRPr="009A1C8E">
        <w:t xml:space="preserve"> client needs will not be met by other organisations </w:t>
      </w:r>
      <w:r w:rsidRPr="009A1C8E">
        <w:t>(</w:t>
      </w:r>
      <w:r w:rsidR="00D7055D" w:rsidRPr="009A1C8E">
        <w:t>n=6, 30% and n=8, 44% respectively);</w:t>
      </w:r>
    </w:p>
    <w:p w:rsidR="00DD0574" w:rsidRPr="009A1C8E" w:rsidRDefault="009A7483" w:rsidP="00A14F68">
      <w:pPr>
        <w:pStyle w:val="ListParagraph"/>
        <w:numPr>
          <w:ilvl w:val="0"/>
          <w:numId w:val="10"/>
        </w:numPr>
        <w:spacing w:before="120" w:after="120" w:line="276" w:lineRule="auto"/>
      </w:pPr>
      <w:r w:rsidRPr="009A1C8E">
        <w:t xml:space="preserve">Metro </w:t>
      </w:r>
      <w:r w:rsidR="00DD0574" w:rsidRPr="009A1C8E">
        <w:t>organisations</w:t>
      </w:r>
      <w:r w:rsidRPr="009A1C8E">
        <w:t xml:space="preserve"> mostly expect </w:t>
      </w:r>
      <w:r w:rsidR="00815375" w:rsidRPr="009A1C8E">
        <w:t xml:space="preserve">that </w:t>
      </w:r>
      <w:r w:rsidR="002F4C92" w:rsidRPr="009A1C8E">
        <w:t xml:space="preserve">their </w:t>
      </w:r>
      <w:r w:rsidR="00BB4BBD" w:rsidRPr="009A1C8E">
        <w:t>clients’</w:t>
      </w:r>
      <w:r w:rsidR="00815375" w:rsidRPr="009A1C8E">
        <w:t xml:space="preserve"> needs won't be </w:t>
      </w:r>
      <w:r w:rsidR="00B16450" w:rsidRPr="009A1C8E">
        <w:t>met</w:t>
      </w:r>
      <w:r w:rsidR="00815375" w:rsidRPr="009A1C8E">
        <w:t xml:space="preserve"> and they will go without service (n=</w:t>
      </w:r>
      <w:r w:rsidR="00DD0574" w:rsidRPr="009A1C8E">
        <w:t xml:space="preserve">11, 41%) or </w:t>
      </w:r>
      <w:r w:rsidR="005A22A9" w:rsidRPr="009A1C8E">
        <w:t xml:space="preserve">they </w:t>
      </w:r>
      <w:r w:rsidR="00DD0574" w:rsidRPr="009A1C8E">
        <w:t xml:space="preserve">expect </w:t>
      </w:r>
      <w:r w:rsidR="00DD0574" w:rsidRPr="009A1C8E">
        <w:rPr>
          <w:b/>
        </w:rPr>
        <w:t>some</w:t>
      </w:r>
      <w:r w:rsidR="00DD0574" w:rsidRPr="009A1C8E">
        <w:t xml:space="preserve"> client needs will not be met by other organisations (n=10, 37%);</w:t>
      </w:r>
    </w:p>
    <w:p w:rsidR="00236C33" w:rsidRPr="009A1C8E" w:rsidRDefault="00393B58" w:rsidP="00A14F68">
      <w:pPr>
        <w:pStyle w:val="ListParagraph"/>
        <w:numPr>
          <w:ilvl w:val="0"/>
          <w:numId w:val="10"/>
        </w:numPr>
        <w:spacing w:before="120" w:after="120" w:line="276" w:lineRule="auto"/>
      </w:pPr>
      <w:r w:rsidRPr="009A1C8E">
        <w:t>Regional organisations were most optimistic that client needs will be fully met by other organisations (n=</w:t>
      </w:r>
      <w:r w:rsidR="004D6EBA" w:rsidRPr="009A1C8E">
        <w:t>4, 20%).</w:t>
      </w:r>
    </w:p>
    <w:p w:rsidR="005249AD" w:rsidRPr="009A1C8E" w:rsidRDefault="005249AD" w:rsidP="00830706">
      <w:pPr>
        <w:pStyle w:val="Heading2"/>
      </w:pPr>
      <w:bookmarkStart w:id="43" w:name="_Toc7614948"/>
      <w:r w:rsidRPr="009A1C8E">
        <w:t>4.</w:t>
      </w:r>
      <w:r w:rsidR="0067703D" w:rsidRPr="009A1C8E">
        <w:t>2</w:t>
      </w:r>
      <w:r w:rsidRPr="009A1C8E">
        <w:t xml:space="preserve"> </w:t>
      </w:r>
      <w:r w:rsidR="00D50504" w:rsidRPr="009A1C8E">
        <w:t>O</w:t>
      </w:r>
      <w:r w:rsidRPr="009A1C8E">
        <w:t>rganisation level</w:t>
      </w:r>
      <w:bookmarkEnd w:id="43"/>
    </w:p>
    <w:p w:rsidR="005249AD" w:rsidRPr="009A1C8E" w:rsidRDefault="005249AD" w:rsidP="00830706">
      <w:pPr>
        <w:pStyle w:val="Heading3"/>
      </w:pPr>
      <w:r w:rsidRPr="009A1C8E">
        <w:t>4.</w:t>
      </w:r>
      <w:r w:rsidR="0067703D" w:rsidRPr="009A1C8E">
        <w:t>2</w:t>
      </w:r>
      <w:r w:rsidRPr="009A1C8E">
        <w:t xml:space="preserve">.1 </w:t>
      </w:r>
      <w:r w:rsidR="0067703D" w:rsidRPr="009A1C8E">
        <w:t>Merger activity</w:t>
      </w:r>
    </w:p>
    <w:p w:rsidR="005249AD" w:rsidRPr="009A1C8E" w:rsidRDefault="00375C4D" w:rsidP="00A14F68">
      <w:pPr>
        <w:spacing w:before="120" w:after="120" w:line="276" w:lineRule="auto"/>
      </w:pPr>
      <w:r w:rsidRPr="009A1C8E">
        <w:t xml:space="preserve">Current </w:t>
      </w:r>
      <w:r w:rsidR="005249AD" w:rsidRPr="009A1C8E">
        <w:t xml:space="preserve">merger activity across Victoria has been investigated by analysing data from the AMS. </w:t>
      </w:r>
      <w:r w:rsidRPr="009A1C8E">
        <w:t>T</w:t>
      </w:r>
      <w:r w:rsidR="005249AD" w:rsidRPr="009A1C8E">
        <w:t>he majority of respondents:</w:t>
      </w:r>
    </w:p>
    <w:p w:rsidR="005249AD" w:rsidRPr="009A1C8E" w:rsidRDefault="005249AD" w:rsidP="00A14F68">
      <w:pPr>
        <w:pStyle w:val="ListParagraph"/>
        <w:numPr>
          <w:ilvl w:val="0"/>
          <w:numId w:val="7"/>
        </w:numPr>
        <w:spacing w:before="120" w:after="120" w:line="276" w:lineRule="auto"/>
      </w:pPr>
      <w:r w:rsidRPr="009A1C8E">
        <w:t>Had not discussed merger (n=57, 66%);</w:t>
      </w:r>
    </w:p>
    <w:p w:rsidR="005249AD" w:rsidRPr="009A1C8E" w:rsidRDefault="005249AD" w:rsidP="00A14F68">
      <w:pPr>
        <w:pStyle w:val="ListParagraph"/>
        <w:numPr>
          <w:ilvl w:val="0"/>
          <w:numId w:val="7"/>
        </w:numPr>
        <w:spacing w:before="120" w:after="120" w:line="276" w:lineRule="auto"/>
      </w:pPr>
      <w:r w:rsidRPr="009A1C8E">
        <w:t>Were not planning on undertaking a merger (n=70, 85%);</w:t>
      </w:r>
    </w:p>
    <w:p w:rsidR="005249AD" w:rsidRPr="009A1C8E" w:rsidRDefault="005249AD" w:rsidP="00A14F68">
      <w:pPr>
        <w:pStyle w:val="ListParagraph"/>
        <w:numPr>
          <w:ilvl w:val="0"/>
          <w:numId w:val="7"/>
        </w:numPr>
        <w:spacing w:before="120" w:after="120" w:line="276" w:lineRule="auto"/>
      </w:pPr>
      <w:r w:rsidRPr="009A1C8E">
        <w:t>Were not currently undertaking a merger (n=76, 92%);</w:t>
      </w:r>
      <w:r w:rsidR="001C63C5" w:rsidRPr="009A1C8E">
        <w:t xml:space="preserve"> and</w:t>
      </w:r>
    </w:p>
    <w:p w:rsidR="005249AD" w:rsidRPr="009A1C8E" w:rsidRDefault="005249AD" w:rsidP="00A14F68">
      <w:pPr>
        <w:pStyle w:val="ListParagraph"/>
        <w:numPr>
          <w:ilvl w:val="0"/>
          <w:numId w:val="7"/>
        </w:numPr>
        <w:spacing w:before="120" w:after="120" w:line="276" w:lineRule="auto"/>
      </w:pPr>
      <w:r w:rsidRPr="009A1C8E">
        <w:t>Had not completed a merger in the last 12 months (n=77, 95%).</w:t>
      </w:r>
    </w:p>
    <w:p w:rsidR="005249AD" w:rsidRPr="009A1C8E" w:rsidRDefault="005249AD" w:rsidP="00A14F68">
      <w:pPr>
        <w:spacing w:before="120" w:after="120" w:line="276" w:lineRule="auto"/>
      </w:pPr>
      <w:r w:rsidRPr="009A1C8E">
        <w:t>These findings were very similar nationally.</w:t>
      </w:r>
    </w:p>
    <w:p w:rsidR="005249AD" w:rsidRPr="009A1C8E" w:rsidRDefault="005249AD" w:rsidP="00A14F68">
      <w:pPr>
        <w:spacing w:before="120" w:after="120" w:line="276" w:lineRule="auto"/>
      </w:pPr>
      <w:r w:rsidRPr="009A1C8E">
        <w:t xml:space="preserve">Across all questions, larger state-wide organisations </w:t>
      </w:r>
      <w:r w:rsidR="00575D75" w:rsidRPr="009A1C8E">
        <w:t>were</w:t>
      </w:r>
      <w:r w:rsidRPr="009A1C8E">
        <w:t xml:space="preserve"> more likely </w:t>
      </w:r>
      <w:r w:rsidR="00375C4D" w:rsidRPr="009A1C8E">
        <w:t xml:space="preserve">than smaller metro and regional organisations </w:t>
      </w:r>
      <w:r w:rsidRPr="009A1C8E">
        <w:t xml:space="preserve">to have discussed or engaged in merger activity </w:t>
      </w:r>
      <w:r w:rsidR="00375C4D" w:rsidRPr="009A1C8E">
        <w:t>(</w:t>
      </w:r>
      <w:r w:rsidR="00116404" w:rsidRPr="009A1C8E">
        <w:t>appendix 4E</w:t>
      </w:r>
      <w:r w:rsidR="00375C4D" w:rsidRPr="009A1C8E">
        <w:t>)</w:t>
      </w:r>
      <w:r w:rsidRPr="009A1C8E">
        <w:t>. Forty-five percent (n=10) of state-wide respondents had discussed merger, compared to 35% (n=12) of metro and 23%</w:t>
      </w:r>
      <w:r w:rsidR="007971CA" w:rsidRPr="009A1C8E">
        <w:t xml:space="preserve"> of regional</w:t>
      </w:r>
      <w:r w:rsidRPr="009A1C8E">
        <w:t xml:space="preserve"> (n=7) respondents. Similarly, 18% (n=4) of state-wide organisations were planning to undertake a merger, compared to 7% (n=2) of metro and regional respondents. At the time of the survey 17% (n=4) of state-wide respondents were </w:t>
      </w:r>
      <w:r w:rsidR="00DB22BE" w:rsidRPr="009A1C8E">
        <w:t xml:space="preserve">in the process of merging </w:t>
      </w:r>
      <w:r w:rsidRPr="009A1C8E">
        <w:t xml:space="preserve">(compared to one regional and one metro organisation), and 10% (n=2) of state-wide respondents </w:t>
      </w:r>
      <w:r w:rsidR="001C4562" w:rsidRPr="009A1C8E">
        <w:t xml:space="preserve">had </w:t>
      </w:r>
      <w:r w:rsidRPr="009A1C8E">
        <w:t>completed a merger in the last 12 months (compared to again one metro and one regional respondent).</w:t>
      </w:r>
    </w:p>
    <w:p w:rsidR="005249AD" w:rsidRPr="009A1C8E" w:rsidRDefault="007B27C6" w:rsidP="00A14F68">
      <w:pPr>
        <w:spacing w:before="120" w:after="120" w:line="276" w:lineRule="auto"/>
      </w:pPr>
      <w:r w:rsidRPr="009A1C8E">
        <w:t xml:space="preserve">Of Victorian </w:t>
      </w:r>
      <w:r w:rsidR="005249AD" w:rsidRPr="009A1C8E">
        <w:t>AMS respondents who had discussed and/or were planning to</w:t>
      </w:r>
      <w:r w:rsidR="002879D4" w:rsidRPr="009A1C8E">
        <w:t xml:space="preserve"> </w:t>
      </w:r>
      <w:r w:rsidR="005249AD" w:rsidRPr="009A1C8E">
        <w:t xml:space="preserve">undertake </w:t>
      </w:r>
      <w:r w:rsidR="00CA59BF" w:rsidRPr="009A1C8E">
        <w:t xml:space="preserve">merger, </w:t>
      </w:r>
      <w:r w:rsidR="005249AD" w:rsidRPr="009A1C8E">
        <w:t xml:space="preserve">38% (n=11) </w:t>
      </w:r>
      <w:r w:rsidRPr="009A1C8E">
        <w:t>indicated it was</w:t>
      </w:r>
      <w:r w:rsidR="005249AD" w:rsidRPr="009A1C8E">
        <w:t xml:space="preserve"> </w:t>
      </w:r>
      <w:r w:rsidR="001E58ED" w:rsidRPr="009A1C8E">
        <w:t>“</w:t>
      </w:r>
      <w:r w:rsidR="005249AD" w:rsidRPr="009A1C8E">
        <w:t>very likely or likely</w:t>
      </w:r>
      <w:r w:rsidR="001E58ED" w:rsidRPr="009A1C8E">
        <w:t>”</w:t>
      </w:r>
      <w:r w:rsidRPr="009A1C8E">
        <w:t xml:space="preserve"> and 41% (n=12) </w:t>
      </w:r>
      <w:r w:rsidR="005249AD" w:rsidRPr="009A1C8E">
        <w:t>indicat</w:t>
      </w:r>
      <w:r w:rsidRPr="009A1C8E">
        <w:t>ed</w:t>
      </w:r>
      <w:r w:rsidR="005249AD" w:rsidRPr="009A1C8E">
        <w:t xml:space="preserve"> </w:t>
      </w:r>
      <w:r w:rsidR="001E58ED" w:rsidRPr="009A1C8E">
        <w:t>“</w:t>
      </w:r>
      <w:r w:rsidR="005249AD" w:rsidRPr="009A1C8E">
        <w:t>very unlikely or unlikely</w:t>
      </w:r>
      <w:r w:rsidR="001E58ED" w:rsidRPr="009A1C8E">
        <w:t>”</w:t>
      </w:r>
      <w:r w:rsidRPr="009A1C8E">
        <w:t xml:space="preserve"> that their organisation will complete a merger in the next two years. </w:t>
      </w:r>
      <w:r w:rsidR="00CA59BF" w:rsidRPr="009A1C8E">
        <w:t>Across</w:t>
      </w:r>
      <w:r w:rsidR="005249AD" w:rsidRPr="009A1C8E">
        <w:t xml:space="preserve"> geographical group</w:t>
      </w:r>
      <w:r w:rsidR="00CA59BF" w:rsidRPr="009A1C8E">
        <w:t>s</w:t>
      </w:r>
      <w:r w:rsidR="00DB22BE" w:rsidRPr="009A1C8E">
        <w:t xml:space="preserve"> (</w:t>
      </w:r>
      <w:r w:rsidR="004C52A0" w:rsidRPr="009A1C8E">
        <w:t>appendix 4F</w:t>
      </w:r>
      <w:r w:rsidR="00DB22BE" w:rsidRPr="009A1C8E">
        <w:t>)</w:t>
      </w:r>
      <w:r w:rsidR="005249AD" w:rsidRPr="009A1C8E">
        <w:t xml:space="preserve">, it </w:t>
      </w:r>
      <w:r w:rsidR="00575D75" w:rsidRPr="009A1C8E">
        <w:t>appears</w:t>
      </w:r>
      <w:r w:rsidR="005249AD" w:rsidRPr="009A1C8E">
        <w:t xml:space="preserve"> that:</w:t>
      </w:r>
    </w:p>
    <w:p w:rsidR="005249AD" w:rsidRPr="009A1C8E" w:rsidRDefault="00DB22BE" w:rsidP="00A14F68">
      <w:pPr>
        <w:pStyle w:val="ListParagraph"/>
        <w:numPr>
          <w:ilvl w:val="0"/>
          <w:numId w:val="8"/>
        </w:numPr>
        <w:spacing w:before="120" w:after="120" w:line="276" w:lineRule="auto"/>
      </w:pPr>
      <w:r w:rsidRPr="009A1C8E">
        <w:lastRenderedPageBreak/>
        <w:t xml:space="preserve">Half of these state-wide organisations </w:t>
      </w:r>
      <w:r w:rsidR="005249AD" w:rsidRPr="009A1C8E">
        <w:t>(n=5) indicat</w:t>
      </w:r>
      <w:r w:rsidRPr="009A1C8E">
        <w:t>ed a merge in the next two years was</w:t>
      </w:r>
      <w:r w:rsidR="005249AD" w:rsidRPr="009A1C8E">
        <w:t xml:space="preserve"> </w:t>
      </w:r>
      <w:r w:rsidR="001E58ED" w:rsidRPr="009A1C8E">
        <w:t>“</w:t>
      </w:r>
      <w:r w:rsidR="005249AD" w:rsidRPr="009A1C8E">
        <w:t>very unlikely or unlikely</w:t>
      </w:r>
      <w:r w:rsidR="001E58ED" w:rsidRPr="009A1C8E">
        <w:t>”</w:t>
      </w:r>
      <w:r w:rsidR="005249AD" w:rsidRPr="009A1C8E">
        <w:t xml:space="preserve"> and 40% (n=4) indicat</w:t>
      </w:r>
      <w:r w:rsidRPr="009A1C8E">
        <w:t>ed</w:t>
      </w:r>
      <w:r w:rsidR="005249AD" w:rsidRPr="009A1C8E">
        <w:t xml:space="preserve"> </w:t>
      </w:r>
      <w:r w:rsidR="001E58ED" w:rsidRPr="009A1C8E">
        <w:t>“</w:t>
      </w:r>
      <w:r w:rsidR="005249AD" w:rsidRPr="009A1C8E">
        <w:t>very likely or likely</w:t>
      </w:r>
      <w:r w:rsidR="001E58ED" w:rsidRPr="009A1C8E">
        <w:t>”</w:t>
      </w:r>
      <w:r w:rsidR="005249AD" w:rsidRPr="009A1C8E">
        <w:t>;</w:t>
      </w:r>
    </w:p>
    <w:p w:rsidR="005249AD" w:rsidRPr="009A1C8E" w:rsidRDefault="004C52A0" w:rsidP="00A14F68">
      <w:pPr>
        <w:pStyle w:val="ListParagraph"/>
        <w:numPr>
          <w:ilvl w:val="0"/>
          <w:numId w:val="8"/>
        </w:numPr>
        <w:spacing w:before="120" w:after="120" w:line="276" w:lineRule="auto"/>
      </w:pPr>
      <w:r w:rsidRPr="009A1C8E">
        <w:t>M</w:t>
      </w:r>
      <w:r w:rsidR="005249AD" w:rsidRPr="009A1C8E">
        <w:t>etro respondents</w:t>
      </w:r>
      <w:r w:rsidR="00375197" w:rsidRPr="009A1C8E">
        <w:t xml:space="preserve"> largely</w:t>
      </w:r>
      <w:r w:rsidR="005249AD" w:rsidRPr="009A1C8E">
        <w:t xml:space="preserve"> anticipate </w:t>
      </w:r>
      <w:r w:rsidR="00DB22BE" w:rsidRPr="009A1C8E">
        <w:t xml:space="preserve">a merge is </w:t>
      </w:r>
      <w:r w:rsidR="001E58ED" w:rsidRPr="009A1C8E">
        <w:t>“</w:t>
      </w:r>
      <w:r w:rsidR="005249AD" w:rsidRPr="009A1C8E">
        <w:t>very unlikely or unlikely</w:t>
      </w:r>
      <w:r w:rsidR="001E58ED" w:rsidRPr="009A1C8E">
        <w:t>”</w:t>
      </w:r>
      <w:r w:rsidR="003521F3" w:rsidRPr="009A1C8E">
        <w:t xml:space="preserve"> </w:t>
      </w:r>
      <w:r w:rsidR="005249AD" w:rsidRPr="009A1C8E">
        <w:t>(n=5, 42%);</w:t>
      </w:r>
      <w:r w:rsidR="00BD63FB" w:rsidRPr="009A1C8E">
        <w:t xml:space="preserve"> and</w:t>
      </w:r>
    </w:p>
    <w:p w:rsidR="005249AD" w:rsidRPr="009A1C8E" w:rsidRDefault="005249AD" w:rsidP="00A14F68">
      <w:pPr>
        <w:pStyle w:val="ListParagraph"/>
        <w:numPr>
          <w:ilvl w:val="0"/>
          <w:numId w:val="8"/>
        </w:numPr>
        <w:spacing w:before="120" w:after="120" w:line="276" w:lineRule="auto"/>
      </w:pPr>
      <w:r w:rsidRPr="009A1C8E">
        <w:t xml:space="preserve">Regional organisations think it is </w:t>
      </w:r>
      <w:r w:rsidR="001E58ED" w:rsidRPr="009A1C8E">
        <w:t>“</w:t>
      </w:r>
      <w:r w:rsidRPr="009A1C8E">
        <w:t>very likely or likely</w:t>
      </w:r>
      <w:r w:rsidR="001E58ED" w:rsidRPr="009A1C8E">
        <w:t>”</w:t>
      </w:r>
      <w:r w:rsidRPr="009A1C8E">
        <w:t xml:space="preserve"> (n=3, 43%).</w:t>
      </w:r>
    </w:p>
    <w:p w:rsidR="005249AD" w:rsidRPr="009A1C8E" w:rsidRDefault="00DB22BE" w:rsidP="00A14F68">
      <w:pPr>
        <w:spacing w:before="120" w:after="120" w:line="276" w:lineRule="auto"/>
      </w:pPr>
      <w:r w:rsidRPr="009A1C8E">
        <w:t>T</w:t>
      </w:r>
      <w:r w:rsidR="005249AD" w:rsidRPr="009A1C8E">
        <w:t xml:space="preserve">he main reasons </w:t>
      </w:r>
      <w:r w:rsidRPr="009A1C8E">
        <w:t xml:space="preserve">Victorian </w:t>
      </w:r>
      <w:r w:rsidR="005249AD" w:rsidRPr="009A1C8E">
        <w:t>organisations chose</w:t>
      </w:r>
      <w:r w:rsidRPr="009A1C8E">
        <w:t xml:space="preserve"> or may choose to</w:t>
      </w:r>
      <w:r w:rsidR="005249AD" w:rsidRPr="009A1C8E">
        <w:t xml:space="preserve"> merge, were to:</w:t>
      </w:r>
    </w:p>
    <w:p w:rsidR="005249AD" w:rsidRPr="009A1C8E" w:rsidRDefault="005249AD" w:rsidP="00A14F68">
      <w:pPr>
        <w:pStyle w:val="ListParagraph"/>
        <w:numPr>
          <w:ilvl w:val="0"/>
          <w:numId w:val="9"/>
        </w:numPr>
        <w:spacing w:before="120" w:after="120" w:line="276" w:lineRule="auto"/>
      </w:pPr>
      <w:r w:rsidRPr="009A1C8E">
        <w:t>Improve efficiency (n=18);</w:t>
      </w:r>
    </w:p>
    <w:p w:rsidR="005249AD" w:rsidRPr="009A1C8E" w:rsidRDefault="005249AD" w:rsidP="00A14F68">
      <w:pPr>
        <w:pStyle w:val="ListParagraph"/>
        <w:numPr>
          <w:ilvl w:val="0"/>
          <w:numId w:val="9"/>
        </w:numPr>
        <w:spacing w:before="120" w:after="120" w:line="276" w:lineRule="auto"/>
      </w:pPr>
      <w:r w:rsidRPr="009A1C8E">
        <w:t>Increase the number of people serviced (n=13);</w:t>
      </w:r>
    </w:p>
    <w:p w:rsidR="005249AD" w:rsidRPr="009A1C8E" w:rsidRDefault="005249AD" w:rsidP="00A14F68">
      <w:pPr>
        <w:pStyle w:val="ListParagraph"/>
        <w:numPr>
          <w:ilvl w:val="0"/>
          <w:numId w:val="9"/>
        </w:numPr>
        <w:spacing w:before="120" w:after="120" w:line="276" w:lineRule="auto"/>
      </w:pPr>
      <w:r w:rsidRPr="009A1C8E">
        <w:t>Broaden the range of existing services (n=13);</w:t>
      </w:r>
      <w:r w:rsidR="00CA59BF" w:rsidRPr="009A1C8E">
        <w:t xml:space="preserve"> or</w:t>
      </w:r>
    </w:p>
    <w:p w:rsidR="005249AD" w:rsidRPr="009A1C8E" w:rsidRDefault="005249AD" w:rsidP="00A14F68">
      <w:pPr>
        <w:pStyle w:val="ListParagraph"/>
        <w:numPr>
          <w:ilvl w:val="0"/>
          <w:numId w:val="9"/>
        </w:numPr>
        <w:spacing w:before="120" w:after="120" w:line="276" w:lineRule="auto"/>
      </w:pPr>
      <w:r w:rsidRPr="009A1C8E">
        <w:t>Develop/maintain market share (n=12).</w:t>
      </w:r>
    </w:p>
    <w:p w:rsidR="005249AD" w:rsidRPr="009A1C8E" w:rsidRDefault="005249AD" w:rsidP="00A14F68">
      <w:pPr>
        <w:spacing w:before="120" w:after="120" w:line="276" w:lineRule="auto"/>
      </w:pPr>
      <w:r w:rsidRPr="009A1C8E">
        <w:t>Merger activity is largely seen as an opportunity for growth among disability service providers.</w:t>
      </w:r>
    </w:p>
    <w:p w:rsidR="005249AD" w:rsidRPr="009A1C8E" w:rsidRDefault="005249AD" w:rsidP="00830706">
      <w:pPr>
        <w:pStyle w:val="Heading3"/>
      </w:pPr>
      <w:r w:rsidRPr="009A1C8E">
        <w:t>4.</w:t>
      </w:r>
      <w:r w:rsidR="0067703D" w:rsidRPr="009A1C8E">
        <w:t>2.</w:t>
      </w:r>
      <w:r w:rsidRPr="009A1C8E">
        <w:t>2 Winding-up (closing) the organisation</w:t>
      </w:r>
    </w:p>
    <w:p w:rsidR="005249AD" w:rsidRPr="009A1C8E" w:rsidRDefault="00921C01" w:rsidP="00A14F68">
      <w:pPr>
        <w:spacing w:before="120" w:after="120" w:line="276" w:lineRule="auto"/>
      </w:pPr>
      <w:r w:rsidRPr="009A1C8E">
        <w:t>T</w:t>
      </w:r>
      <w:r w:rsidR="005249AD" w:rsidRPr="009A1C8E">
        <w:t xml:space="preserve">he majority of </w:t>
      </w:r>
      <w:r w:rsidRPr="009A1C8E">
        <w:t xml:space="preserve">Victorian </w:t>
      </w:r>
      <w:r w:rsidR="005249AD" w:rsidRPr="009A1C8E">
        <w:t>organisations have not discussed winding-up (closing) their organisation (n=69, 84%). However, while merger activities</w:t>
      </w:r>
      <w:r w:rsidRPr="009A1C8E">
        <w:t xml:space="preserve"> and </w:t>
      </w:r>
      <w:r w:rsidR="005249AD" w:rsidRPr="009A1C8E">
        <w:t xml:space="preserve">discussions were more </w:t>
      </w:r>
      <w:r w:rsidRPr="009A1C8E">
        <w:t xml:space="preserve">prevalent </w:t>
      </w:r>
      <w:r w:rsidR="005249AD" w:rsidRPr="009A1C8E">
        <w:t>among state-wide organisations, winding-up discussions were more common among regional and metro respondents (n=5, 18% and n=4, 13% respectively</w:t>
      </w:r>
      <w:r w:rsidR="00F01A08" w:rsidRPr="009A1C8E">
        <w:t>)</w:t>
      </w:r>
      <w:r w:rsidR="00B01F7A" w:rsidRPr="009A1C8E">
        <w:t xml:space="preserve">. </w:t>
      </w:r>
      <w:r w:rsidR="003F726C" w:rsidRPr="009A1C8E">
        <w:t>O</w:t>
      </w:r>
      <w:r w:rsidR="005249AD" w:rsidRPr="009A1C8E">
        <w:t xml:space="preserve">nly 5% (n=1) of state-wide organisations reported </w:t>
      </w:r>
      <w:r w:rsidRPr="009A1C8E">
        <w:t xml:space="preserve">having had </w:t>
      </w:r>
      <w:r w:rsidR="005249AD" w:rsidRPr="009A1C8E">
        <w:t>closure discussions</w:t>
      </w:r>
      <w:r w:rsidR="00B01F7A" w:rsidRPr="009A1C8E">
        <w:t xml:space="preserve"> (appendix 4G)</w:t>
      </w:r>
      <w:r w:rsidR="005249AD" w:rsidRPr="009A1C8E">
        <w:t>.</w:t>
      </w:r>
    </w:p>
    <w:p w:rsidR="005249AD" w:rsidRPr="009A1C8E" w:rsidRDefault="00575D75" w:rsidP="00A14F68">
      <w:pPr>
        <w:spacing w:before="120" w:after="120" w:line="276" w:lineRule="auto"/>
      </w:pPr>
      <w:r w:rsidRPr="009A1C8E">
        <w:t>T</w:t>
      </w:r>
      <w:r w:rsidR="005249AD" w:rsidRPr="009A1C8E">
        <w:t>hematic analysis of Victorian comments</w:t>
      </w:r>
      <w:r w:rsidRPr="009A1C8E">
        <w:t xml:space="preserve"> </w:t>
      </w:r>
      <w:r w:rsidR="00921C01" w:rsidRPr="009A1C8E">
        <w:t xml:space="preserve">shows </w:t>
      </w:r>
      <w:r w:rsidR="005249AD" w:rsidRPr="009A1C8E">
        <w:t>that financial factors (n=10) were the main reason</w:t>
      </w:r>
      <w:r w:rsidR="00921C01" w:rsidRPr="009A1C8E">
        <w:t>s</w:t>
      </w:r>
      <w:r w:rsidR="005249AD" w:rsidRPr="009A1C8E">
        <w:t xml:space="preserve"> organisations had discussed closing their operations. Respondents particularly noted the administrative burden and low pay rates under the NDIS.</w:t>
      </w:r>
    </w:p>
    <w:p w:rsidR="005249AD" w:rsidRPr="005657C4" w:rsidRDefault="005249AD" w:rsidP="00477438">
      <w:pPr>
        <w:spacing w:before="120" w:after="120" w:line="276" w:lineRule="auto"/>
        <w:ind w:left="540"/>
        <w:rPr>
          <w:b/>
        </w:rPr>
      </w:pPr>
      <w:proofErr w:type="gramStart"/>
      <w:r w:rsidRPr="005657C4">
        <w:rPr>
          <w:b/>
        </w:rPr>
        <w:t>“Still owed $30,000+ from NDIS</w:t>
      </w:r>
      <w:r w:rsidR="001E58ED" w:rsidRPr="005657C4">
        <w:rPr>
          <w:b/>
        </w:rPr>
        <w:t>.</w:t>
      </w:r>
      <w:proofErr w:type="gramEnd"/>
      <w:r w:rsidRPr="005657C4">
        <w:rPr>
          <w:b/>
        </w:rPr>
        <w:t xml:space="preserve"> </w:t>
      </w:r>
      <w:r w:rsidR="001E58ED" w:rsidRPr="005657C4">
        <w:rPr>
          <w:b/>
        </w:rPr>
        <w:t>T</w:t>
      </w:r>
      <w:r w:rsidRPr="005657C4">
        <w:rPr>
          <w:b/>
        </w:rPr>
        <w:t>his is a lot for a small business to cover when we have to pay staff and overheads.”</w:t>
      </w:r>
    </w:p>
    <w:p w:rsidR="005249AD" w:rsidRPr="005657C4" w:rsidRDefault="005249AD" w:rsidP="00477438">
      <w:pPr>
        <w:spacing w:before="120" w:after="120" w:line="276" w:lineRule="auto"/>
        <w:ind w:left="540"/>
        <w:rPr>
          <w:b/>
        </w:rPr>
      </w:pPr>
      <w:proofErr w:type="gramStart"/>
      <w:r w:rsidRPr="005657C4">
        <w:rPr>
          <w:b/>
        </w:rPr>
        <w:t>“Massive admin burden making financial viability extremely difficult.”</w:t>
      </w:r>
      <w:proofErr w:type="gramEnd"/>
    </w:p>
    <w:p w:rsidR="005249AD" w:rsidRPr="009A1C8E" w:rsidRDefault="005249AD" w:rsidP="00A14F68">
      <w:pPr>
        <w:spacing w:before="120" w:after="120" w:line="276" w:lineRule="auto"/>
      </w:pPr>
      <w:r w:rsidRPr="009A1C8E">
        <w:t>Comments regarding the lack of clarity or confidence in NDIA information and requirements were also frequently mentioned (n=4).</w:t>
      </w:r>
    </w:p>
    <w:p w:rsidR="005249AD" w:rsidRPr="005657C4" w:rsidRDefault="005249AD" w:rsidP="00477438">
      <w:pPr>
        <w:spacing w:before="120" w:after="120" w:line="276" w:lineRule="auto"/>
        <w:ind w:left="540"/>
        <w:rPr>
          <w:b/>
        </w:rPr>
      </w:pPr>
      <w:proofErr w:type="gramStart"/>
      <w:r w:rsidRPr="005657C4">
        <w:rPr>
          <w:b/>
        </w:rPr>
        <w:t>“Burnout dealing with NDIS frustrations and uncertainties.”</w:t>
      </w:r>
      <w:proofErr w:type="gramEnd"/>
    </w:p>
    <w:p w:rsidR="00E038AC" w:rsidRPr="009A1C8E" w:rsidRDefault="005249AD" w:rsidP="00A14F68">
      <w:pPr>
        <w:spacing w:before="120" w:after="120" w:line="276" w:lineRule="auto"/>
      </w:pPr>
      <w:r w:rsidRPr="009A1C8E">
        <w:t xml:space="preserve">Respondents also noted that closure </w:t>
      </w:r>
      <w:r w:rsidR="00921C01" w:rsidRPr="009A1C8E">
        <w:t xml:space="preserve">discussions </w:t>
      </w:r>
      <w:r w:rsidRPr="009A1C8E">
        <w:t xml:space="preserve">were </w:t>
      </w:r>
      <w:r w:rsidR="00921C01" w:rsidRPr="009A1C8E">
        <w:t xml:space="preserve">undertaken as a way of exploring </w:t>
      </w:r>
      <w:r w:rsidRPr="009A1C8E">
        <w:t xml:space="preserve">their options (n=3), with one respondent </w:t>
      </w:r>
      <w:r w:rsidR="00921C01" w:rsidRPr="009A1C8E">
        <w:t xml:space="preserve">citing </w:t>
      </w:r>
      <w:r w:rsidRPr="009A1C8E">
        <w:rPr>
          <w:b/>
          <w:bCs/>
        </w:rPr>
        <w:t>“good business practice to discuss the worst possible case situation”</w:t>
      </w:r>
      <w:r w:rsidRPr="009A1C8E">
        <w:t xml:space="preserve">. </w:t>
      </w:r>
      <w:r w:rsidR="00921C01" w:rsidRPr="009A1C8E">
        <w:t xml:space="preserve">An </w:t>
      </w:r>
      <w:r w:rsidRPr="009A1C8E">
        <w:t>inability to achieve positive outcomes for clients was also reported (n=2).</w:t>
      </w:r>
      <w:r w:rsidR="00E038AC" w:rsidRPr="009A1C8E">
        <w:br w:type="page"/>
      </w:r>
    </w:p>
    <w:p w:rsidR="008B18D4" w:rsidRPr="009A1C8E" w:rsidRDefault="008B18D4" w:rsidP="00830706">
      <w:pPr>
        <w:pStyle w:val="Heading1"/>
      </w:pPr>
      <w:bookmarkStart w:id="44" w:name="_Toc7614949"/>
      <w:r w:rsidRPr="009A1C8E">
        <w:lastRenderedPageBreak/>
        <w:t>5 Discussion and mitigation strategies</w:t>
      </w:r>
      <w:bookmarkEnd w:id="44"/>
    </w:p>
    <w:p w:rsidR="008B18D4" w:rsidRPr="009A1C8E" w:rsidRDefault="008B18D4" w:rsidP="00A14F68">
      <w:pPr>
        <w:spacing w:before="120" w:after="120" w:line="276" w:lineRule="auto"/>
      </w:pPr>
      <w:r w:rsidRPr="009A1C8E">
        <w:t xml:space="preserve">If people with disability do not have access to robust and functioning markets they </w:t>
      </w:r>
      <w:r w:rsidR="00030F90" w:rsidRPr="009A1C8E">
        <w:t xml:space="preserve">risk going without services </w:t>
      </w:r>
      <w:r w:rsidRPr="009A1C8E">
        <w:t>altogether,</w:t>
      </w:r>
      <w:r w:rsidR="00030F90" w:rsidRPr="009A1C8E">
        <w:t xml:space="preserve"> or only having access to inadequate service options, and therefore are</w:t>
      </w:r>
      <w:r w:rsidRPr="009A1C8E">
        <w:t xml:space="preserve"> unable to exercise true choice and control in purchasing the supports that best suit their individual needs and preferences. The data examined in section 4 clearly points to thin markets emerging in Victoria’s rural and regional communities, as a result of the interplay of lean NDIS pricing, financial viability pressures, workforce shortages and challenges, and service access and transport issues. It also illustrates emerging risks of some specific market supply gaps, notably home modifications and AT</w:t>
      </w:r>
      <w:r w:rsidR="00076DC8" w:rsidRPr="009A1C8E">
        <w:t xml:space="preserve"> services</w:t>
      </w:r>
      <w:r w:rsidRPr="009A1C8E">
        <w:t>, some therapies, community participation, and 1:1 supports for people with high or complex needs. Participant transport appears to be both an emerging service gap itself and a key driver of contraction amongst various other services that are dependent upon transport or significant provider travel.</w:t>
      </w:r>
    </w:p>
    <w:p w:rsidR="008B18D4" w:rsidRPr="009A1C8E" w:rsidRDefault="008B18D4" w:rsidP="00A14F68">
      <w:pPr>
        <w:spacing w:before="120" w:after="120" w:line="276" w:lineRule="auto"/>
      </w:pPr>
      <w:r w:rsidRPr="009A1C8E">
        <w:t>Acting quickly to mitigate these market risks is integral to the success of the NDIS. There has been enormous investment in supporting Scheme roll out and sector development in Victoria, particularly through the TSP and SDF, which will go to waste if strategies are not developed to protect thin markets from emerging.</w:t>
      </w:r>
    </w:p>
    <w:p w:rsidR="008B18D4" w:rsidRPr="009A1C8E" w:rsidRDefault="008B18D4" w:rsidP="00A14F68">
      <w:pPr>
        <w:spacing w:before="120" w:after="120" w:line="276" w:lineRule="auto"/>
      </w:pPr>
      <w:r w:rsidRPr="009A1C8E">
        <w:t xml:space="preserve">In light of the lessons from the UK, Gash et al. </w:t>
      </w:r>
      <w:r w:rsidR="002D37DC" w:rsidRPr="009A1C8E">
        <w:fldChar w:fldCharType="begin"/>
      </w:r>
      <w:r w:rsidR="005D588A" w:rsidRPr="009A1C8E">
        <w:instrText xml:space="preserve"> ADDIN EN.CITE &lt;EndNote&gt;&lt;Cite&gt;&lt;Author&gt;Gash&lt;/Author&gt;&lt;Year&gt;2014&lt;/Year&gt;&lt;RecNum&gt;260&lt;/RecNum&gt;&lt;DisplayText&gt;(11)&lt;/DisplayText&gt;&lt;record&gt;&lt;rec-number&gt;260&lt;/rec-number&gt;&lt;foreign-keys&gt;&lt;key app="EN" db-id="dtafe02tlezsd7ef59c5s9fdse5ze52xw2ta" timestamp="1554303681"&gt;260&lt;/key&gt;&lt;/foreign-keys&gt;&lt;ref-type name="Report"&gt;27&lt;/ref-type&gt;&lt;contributors&gt;&lt;authors&gt;&lt;author&gt;Gash, T&lt;/author&gt;&lt;author&gt;Panchamia, N&lt;/author&gt;&lt;author&gt;Sims, S&lt;/author&gt;&lt;author&gt;Hotson, L&lt;/author&gt;&lt;/authors&gt;&lt;/contributors&gt;&lt;titles&gt;&lt;title&gt;Making public service markets work: Professionalising government’s approach to commissioning and market stewardship&lt;/title&gt;&lt;/titles&gt;&lt;dates&gt;&lt;year&gt;2014&lt;/year&gt;&lt;/dates&gt;&lt;pub-location&gt;UK&lt;/pub-location&gt;&lt;publisher&gt;Institute for Government&lt;/publisher&gt;&lt;urls&gt;&lt;/urls&gt;&lt;/record&gt;&lt;/Cite&gt;&lt;/EndNote&gt;</w:instrText>
      </w:r>
      <w:r w:rsidR="002D37DC" w:rsidRPr="009A1C8E">
        <w:fldChar w:fldCharType="separate"/>
      </w:r>
      <w:r w:rsidR="005D588A" w:rsidRPr="009A1C8E">
        <w:rPr>
          <w:noProof/>
        </w:rPr>
        <w:t>(11)</w:t>
      </w:r>
      <w:r w:rsidR="002D37DC" w:rsidRPr="009A1C8E">
        <w:fldChar w:fldCharType="end"/>
      </w:r>
      <w:r w:rsidRPr="009A1C8E">
        <w:t xml:space="preserve"> advances that overseeing market mechanisms in public services requires an ongoing process of learning, change and adaptation. Governments need to embrace a market stewardship approach and:</w:t>
      </w:r>
    </w:p>
    <w:p w:rsidR="008B18D4" w:rsidRPr="009A1C8E" w:rsidRDefault="008B18D4" w:rsidP="00A14F68">
      <w:pPr>
        <w:pStyle w:val="ListParagraph"/>
        <w:numPr>
          <w:ilvl w:val="0"/>
          <w:numId w:val="30"/>
        </w:numPr>
        <w:spacing w:before="120" w:after="120" w:line="276" w:lineRule="auto"/>
      </w:pPr>
      <w:r w:rsidRPr="009A1C8E">
        <w:t>Engage closely with users and providers to understand the needs, objectives and enablers of successful delivery;</w:t>
      </w:r>
    </w:p>
    <w:p w:rsidR="008B18D4" w:rsidRPr="009A1C8E" w:rsidRDefault="008B18D4" w:rsidP="00A14F68">
      <w:pPr>
        <w:pStyle w:val="ListParagraph"/>
        <w:numPr>
          <w:ilvl w:val="0"/>
          <w:numId w:val="29"/>
        </w:numPr>
        <w:spacing w:before="120" w:after="120" w:line="276" w:lineRule="auto"/>
      </w:pPr>
      <w:r w:rsidRPr="009A1C8E">
        <w:t>Set rules, and let users and providers respond to incentives;</w:t>
      </w:r>
    </w:p>
    <w:p w:rsidR="008B18D4" w:rsidRPr="009A1C8E" w:rsidRDefault="008B18D4" w:rsidP="00A14F68">
      <w:pPr>
        <w:pStyle w:val="ListParagraph"/>
        <w:numPr>
          <w:ilvl w:val="0"/>
          <w:numId w:val="29"/>
        </w:numPr>
        <w:spacing w:before="120" w:after="120" w:line="276" w:lineRule="auto"/>
      </w:pPr>
      <w:r w:rsidRPr="009A1C8E">
        <w:t>Monitor the market as it develops and determine how providers are responding to the rules and incentives; and</w:t>
      </w:r>
    </w:p>
    <w:p w:rsidR="008B18D4" w:rsidRPr="009A1C8E" w:rsidRDefault="008B18D4" w:rsidP="00A14F68">
      <w:pPr>
        <w:pStyle w:val="ListParagraph"/>
        <w:numPr>
          <w:ilvl w:val="0"/>
          <w:numId w:val="29"/>
        </w:numPr>
        <w:spacing w:before="120" w:after="120" w:line="276" w:lineRule="auto"/>
      </w:pPr>
      <w:r w:rsidRPr="009A1C8E">
        <w:t xml:space="preserve">Steer the system by adjusting the rules </w:t>
      </w:r>
      <w:r w:rsidR="002D37DC" w:rsidRPr="009A1C8E">
        <w:fldChar w:fldCharType="begin"/>
      </w:r>
      <w:r w:rsidR="005D588A" w:rsidRPr="009A1C8E">
        <w:instrText xml:space="preserve"> ADDIN EN.CITE &lt;EndNote&gt;&lt;Cite&gt;&lt;Author&gt;Gash&lt;/Author&gt;&lt;Year&gt;2014&lt;/Year&gt;&lt;RecNum&gt;260&lt;/RecNum&gt;&lt;DisplayText&gt;(11)&lt;/DisplayText&gt;&lt;record&gt;&lt;rec-number&gt;260&lt;/rec-number&gt;&lt;foreign-keys&gt;&lt;key app="EN" db-id="dtafe02tlezsd7ef59c5s9fdse5ze52xw2ta" timestamp="1554303681"&gt;260&lt;/key&gt;&lt;/foreign-keys&gt;&lt;ref-type name="Report"&gt;27&lt;/ref-type&gt;&lt;contributors&gt;&lt;authors&gt;&lt;author&gt;Gash, T&lt;/author&gt;&lt;author&gt;Panchamia, N&lt;/author&gt;&lt;author&gt;Sims, S&lt;/author&gt;&lt;author&gt;Hotson, L&lt;/author&gt;&lt;/authors&gt;&lt;/contributors&gt;&lt;titles&gt;&lt;title&gt;Making public service markets work: Professionalising government’s approach to commissioning and market stewardship&lt;/title&gt;&lt;/titles&gt;&lt;dates&gt;&lt;year&gt;2014&lt;/year&gt;&lt;/dates&gt;&lt;pub-location&gt;UK&lt;/pub-location&gt;&lt;publisher&gt;Institute for Government&lt;/publisher&gt;&lt;urls&gt;&lt;/urls&gt;&lt;/record&gt;&lt;/Cite&gt;&lt;/EndNote&gt;</w:instrText>
      </w:r>
      <w:r w:rsidR="002D37DC" w:rsidRPr="009A1C8E">
        <w:fldChar w:fldCharType="separate"/>
      </w:r>
      <w:r w:rsidR="005D588A" w:rsidRPr="009A1C8E">
        <w:rPr>
          <w:noProof/>
        </w:rPr>
        <w:t>(11)</w:t>
      </w:r>
      <w:r w:rsidR="002D37DC" w:rsidRPr="009A1C8E">
        <w:fldChar w:fldCharType="end"/>
      </w:r>
      <w:r w:rsidRPr="009A1C8E">
        <w:t>.</w:t>
      </w:r>
    </w:p>
    <w:p w:rsidR="008B18D4" w:rsidRPr="009A1C8E" w:rsidRDefault="008B18D4" w:rsidP="00A14F68">
      <w:pPr>
        <w:spacing w:before="120" w:after="120" w:line="276" w:lineRule="auto"/>
        <w:rPr>
          <w:color w:val="000000" w:themeColor="text1"/>
        </w:rPr>
      </w:pPr>
      <w:r w:rsidRPr="009A1C8E">
        <w:t xml:space="preserve">NDS looks forward to seeing the results of the DSS and NDIA commissioned work investigating thin markets </w:t>
      </w:r>
      <w:r w:rsidR="002D37DC" w:rsidRPr="009A1C8E">
        <w:fldChar w:fldCharType="begin"/>
      </w:r>
      <w:r w:rsidR="005D588A" w:rsidRPr="009A1C8E">
        <w:instrText xml:space="preserve"> ADDIN EN.CITE &lt;EndNote&gt;&lt;Cite&gt;&lt;Author&gt;Commonwealth Department of Social Services&lt;/Author&gt;&lt;Year&gt;2019&lt;/Year&gt;&lt;RecNum&gt;266&lt;/RecNum&gt;&lt;DisplayText&gt;(7)&lt;/DisplayText&gt;&lt;record&gt;&lt;rec-number&gt;266&lt;/rec-number&gt;&lt;foreign-keys&gt;&lt;key app="EN" db-id="dtafe02tlezsd7ef59c5s9fdse5ze52xw2ta" timestamp="1554377722"&gt;266&lt;/key&gt;&lt;/foreign-keys&gt;&lt;ref-type name="Report"&gt;27&lt;/ref-type&gt;&lt;contributors&gt;&lt;authors&gt;&lt;author&gt;Commonwealth Department of Social Services,&lt;/author&gt;&lt;/authors&gt;&lt;/contributors&gt;&lt;titles&gt;&lt;title&gt;Growing the NDIS Market and Workforce&lt;/title&gt;&lt;/titles&gt;&lt;dates&gt;&lt;year&gt;2019&lt;/year&gt;&lt;/dates&gt;&lt;urls&gt;&lt;/urls&gt;&lt;/record&gt;&lt;/Cite&gt;&lt;/EndNote&gt;</w:instrText>
      </w:r>
      <w:r w:rsidR="002D37DC" w:rsidRPr="009A1C8E">
        <w:fldChar w:fldCharType="separate"/>
      </w:r>
      <w:r w:rsidR="005D588A" w:rsidRPr="009A1C8E">
        <w:rPr>
          <w:noProof/>
        </w:rPr>
        <w:t>(7)</w:t>
      </w:r>
      <w:r w:rsidR="002D37DC" w:rsidRPr="009A1C8E">
        <w:fldChar w:fldCharType="end"/>
      </w:r>
      <w:r w:rsidRPr="009A1C8E">
        <w:t xml:space="preserve">, as key strategies and effective intervention options need to be urgently developed. As the peak-body for non-government disability service organisations, NDS also requires support to continue delivering sector development initiatives, providing intelligence, evidence and analysis to influence policy across all areas of Government, and collaborating with providers and people with disability, families and carers </w:t>
      </w:r>
      <w:r w:rsidRPr="009A1C8E">
        <w:rPr>
          <w:color w:val="000000" w:themeColor="text1"/>
        </w:rPr>
        <w:t xml:space="preserve">to promote the development of a sustainable and diverse NDIS market. This section discusses the effects of the various influences driving thin </w:t>
      </w:r>
      <w:r w:rsidR="00293A55" w:rsidRPr="009A1C8E">
        <w:rPr>
          <w:color w:val="000000" w:themeColor="text1"/>
        </w:rPr>
        <w:t>markets and</w:t>
      </w:r>
      <w:r w:rsidRPr="009A1C8E">
        <w:rPr>
          <w:color w:val="000000" w:themeColor="text1"/>
        </w:rPr>
        <w:t xml:space="preserve"> identifies potential strategies for mitigation.</w:t>
      </w:r>
    </w:p>
    <w:p w:rsidR="008B18D4" w:rsidRPr="009A1C8E" w:rsidRDefault="008B18D4" w:rsidP="00830706">
      <w:pPr>
        <w:pStyle w:val="Heading2"/>
      </w:pPr>
      <w:bookmarkStart w:id="45" w:name="_Toc7614950"/>
      <w:r w:rsidRPr="009A1C8E">
        <w:lastRenderedPageBreak/>
        <w:t xml:space="preserve">5.1 Impact of </w:t>
      </w:r>
      <w:r w:rsidR="000F191B" w:rsidRPr="009A1C8E">
        <w:t>p</w:t>
      </w:r>
      <w:r w:rsidRPr="009A1C8E">
        <w:t xml:space="preserve">ricing </w:t>
      </w:r>
      <w:r w:rsidR="0081480C" w:rsidRPr="009A1C8E">
        <w:t>–</w:t>
      </w:r>
      <w:r w:rsidRPr="009A1C8E">
        <w:t xml:space="preserve"> a key Government lever</w:t>
      </w:r>
      <w:bookmarkEnd w:id="45"/>
    </w:p>
    <w:p w:rsidR="008B18D4" w:rsidRPr="009A1C8E" w:rsidRDefault="008B18D4" w:rsidP="00A14F68">
      <w:pPr>
        <w:spacing w:before="120" w:after="120" w:line="276" w:lineRule="auto"/>
      </w:pPr>
      <w:r w:rsidRPr="009A1C8E">
        <w:t>Pricing is undermining the long-term sustainability of the Scheme, with current</w:t>
      </w:r>
      <w:r w:rsidR="00EB7EF0" w:rsidRPr="009A1C8E">
        <w:t xml:space="preserve"> </w:t>
      </w:r>
      <w:r w:rsidR="009512E4" w:rsidRPr="009A1C8E">
        <w:t>2018-2019</w:t>
      </w:r>
      <w:r w:rsidRPr="009A1C8E">
        <w:t xml:space="preserve"> prices directly impacting on providers’ ability to remain financially viable, maintain quality and develop a sustainable workforce. The data presented in this report shows that NDIS pricing is more of a concern among Victorian providers than nationally – while the reasons are no doubt multi-faceted, Victoria’s additional layers of quality and compliance requirements are likely to be amplifying the effects of lean pricing.</w:t>
      </w:r>
      <w:r w:rsidR="00511C54" w:rsidRPr="009A1C8E">
        <w:t xml:space="preserve"> NDS welcomes the recent</w:t>
      </w:r>
      <w:r w:rsidR="00B47AA9" w:rsidRPr="009A1C8E">
        <w:t>ly announced</w:t>
      </w:r>
      <w:r w:rsidR="00511C54" w:rsidRPr="009A1C8E">
        <w:t xml:space="preserve"> pri</w:t>
      </w:r>
      <w:r w:rsidR="00FD64B1" w:rsidRPr="009A1C8E">
        <w:t>c</w:t>
      </w:r>
      <w:r w:rsidR="00B47AA9" w:rsidRPr="009A1C8E">
        <w:t>e</w:t>
      </w:r>
      <w:r w:rsidR="00FD64B1" w:rsidRPr="009A1C8E">
        <w:t xml:space="preserve"> </w:t>
      </w:r>
      <w:proofErr w:type="gramStart"/>
      <w:r w:rsidR="00B47AA9" w:rsidRPr="009A1C8E">
        <w:t>increases</w:t>
      </w:r>
      <w:r w:rsidR="00511C54" w:rsidRPr="009A1C8E">
        <w:t>,</w:t>
      </w:r>
      <w:proofErr w:type="gramEnd"/>
      <w:r w:rsidR="00511C54" w:rsidRPr="009A1C8E">
        <w:t xml:space="preserve"> </w:t>
      </w:r>
      <w:r w:rsidR="00FD64B1" w:rsidRPr="009A1C8E">
        <w:t xml:space="preserve">however </w:t>
      </w:r>
      <w:r w:rsidR="00511C54" w:rsidRPr="009A1C8E">
        <w:t>th</w:t>
      </w:r>
      <w:r w:rsidR="00B47AA9" w:rsidRPr="009A1C8E">
        <w:t xml:space="preserve">is does not </w:t>
      </w:r>
      <w:r w:rsidR="00E85361" w:rsidRPr="009A1C8E">
        <w:t xml:space="preserve">solve all the issues, and also does not </w:t>
      </w:r>
      <w:r w:rsidR="00B47AA9" w:rsidRPr="009A1C8E">
        <w:t xml:space="preserve">mean </w:t>
      </w:r>
      <w:r w:rsidR="00511C54" w:rsidRPr="009A1C8E">
        <w:t xml:space="preserve">the impact of </w:t>
      </w:r>
      <w:r w:rsidR="00FD64B1" w:rsidRPr="009A1C8E">
        <w:t>insufficient</w:t>
      </w:r>
      <w:r w:rsidR="00511C54" w:rsidRPr="009A1C8E">
        <w:t xml:space="preserve"> prices</w:t>
      </w:r>
      <w:r w:rsidR="00DF6523" w:rsidRPr="009A1C8E">
        <w:t xml:space="preserve"> to date</w:t>
      </w:r>
      <w:r w:rsidR="00511C54" w:rsidRPr="009A1C8E">
        <w:t xml:space="preserve"> </w:t>
      </w:r>
      <w:r w:rsidR="00B47AA9" w:rsidRPr="009A1C8E">
        <w:t>can simply</w:t>
      </w:r>
      <w:r w:rsidR="00511C54" w:rsidRPr="009A1C8E">
        <w:t xml:space="preserve"> be disregarded</w:t>
      </w:r>
      <w:r w:rsidR="00FD64B1" w:rsidRPr="009A1C8E">
        <w:t>.</w:t>
      </w:r>
    </w:p>
    <w:p w:rsidR="008B18D4" w:rsidRPr="009A1C8E" w:rsidRDefault="008B18D4" w:rsidP="00A14F68">
      <w:pPr>
        <w:spacing w:before="120" w:after="120" w:line="276" w:lineRule="auto"/>
      </w:pPr>
      <w:r w:rsidRPr="009A1C8E">
        <w:t>Sixty-three percent of</w:t>
      </w:r>
      <w:r w:rsidRPr="009A1C8E">
        <w:rPr>
          <w:color w:val="6EBB1F" w:themeColor="accent2"/>
        </w:rPr>
        <w:t xml:space="preserve"> </w:t>
      </w:r>
      <w:r w:rsidRPr="009A1C8E">
        <w:t>Victorian providers are worried that</w:t>
      </w:r>
      <w:r w:rsidRPr="009A1C8E">
        <w:rPr>
          <w:b/>
        </w:rPr>
        <w:t xml:space="preserve"> they won’t be able to provide services at </w:t>
      </w:r>
      <w:r w:rsidR="00EB7EF0" w:rsidRPr="009A1C8E">
        <w:rPr>
          <w:b/>
        </w:rPr>
        <w:t xml:space="preserve">the </w:t>
      </w:r>
      <w:r w:rsidR="009512E4" w:rsidRPr="009A1C8E">
        <w:rPr>
          <w:b/>
        </w:rPr>
        <w:t>2018-2019</w:t>
      </w:r>
      <w:r w:rsidR="00EB7EF0" w:rsidRPr="009A1C8E">
        <w:rPr>
          <w:b/>
        </w:rPr>
        <w:t xml:space="preserve"> </w:t>
      </w:r>
      <w:r w:rsidRPr="009A1C8E">
        <w:rPr>
          <w:b/>
        </w:rPr>
        <w:t>prices</w:t>
      </w:r>
      <w:r w:rsidRPr="009A1C8E">
        <w:t>. Current prices do not reflect the true cost of service provision. In order to remain viable, providers will either ‘cherry-pick’ the services they want to deliver or reduce quality. Providers may choose to deliver services that are more profitable, turn away clients with complex needs or challenging behaviours, and avoid reaching rural and regional locations to fill market gaps and generate profit.</w:t>
      </w:r>
    </w:p>
    <w:p w:rsidR="008B18D4" w:rsidRPr="009A1C8E" w:rsidRDefault="008B18D4" w:rsidP="00A14F68">
      <w:pPr>
        <w:spacing w:before="120" w:after="120" w:line="276" w:lineRule="auto"/>
      </w:pPr>
      <w:r w:rsidRPr="009A1C8E">
        <w:t xml:space="preserve">On the other hand, 54% of Victorian providers indicate they will </w:t>
      </w:r>
      <w:r w:rsidRPr="009A1C8E">
        <w:rPr>
          <w:b/>
        </w:rPr>
        <w:t>have to reduce quality at current prices</w:t>
      </w:r>
      <w:r w:rsidRPr="009A1C8E">
        <w:t xml:space="preserve">. Quality may be eroded by reducing training and supervision, increased workforce </w:t>
      </w:r>
      <w:proofErr w:type="spellStart"/>
      <w:r w:rsidRPr="009A1C8E">
        <w:t>casualisation</w:t>
      </w:r>
      <w:proofErr w:type="spellEnd"/>
      <w:r w:rsidRPr="009A1C8E">
        <w:t>, employing staff at lower classification rates, compromising participant and worker safety and/or reducing risk management processes. Increasing group sizes and/or decreasing the provision of 1:1, high intensity support is also likely.</w:t>
      </w:r>
      <w:r w:rsidR="00511C54" w:rsidRPr="009A1C8E">
        <w:t xml:space="preserve"> The margins for which – in NDIS pricing – are already extremely thin.</w:t>
      </w:r>
    </w:p>
    <w:p w:rsidR="008B18D4" w:rsidRPr="009A1C8E" w:rsidRDefault="008B18D4" w:rsidP="00A14F68">
      <w:pPr>
        <w:spacing w:before="120" w:after="120" w:line="276" w:lineRule="auto"/>
      </w:pPr>
      <w:r w:rsidRPr="009A1C8E">
        <w:t xml:space="preserve">There is a risk that these effects are </w:t>
      </w:r>
      <w:r w:rsidRPr="009A1C8E">
        <w:rPr>
          <w:b/>
        </w:rPr>
        <w:t>exacerbated by the significant costs of complying with the Quality and Safeguarding Framework</w:t>
      </w:r>
      <w:r w:rsidRPr="009A1C8E">
        <w:t>. NDIS pricing is driving providers to merely mitigate risks and comply, rather than exceeding minimum standards by innovating, striving for outcomes and customer satisfaction</w:t>
      </w:r>
      <w:r w:rsidR="001E58ED" w:rsidRPr="009A1C8E">
        <w:t>,</w:t>
      </w:r>
      <w:r w:rsidRPr="009A1C8E">
        <w:t xml:space="preserve"> and offering value for money.</w:t>
      </w:r>
    </w:p>
    <w:p w:rsidR="008B18D4" w:rsidRPr="009A1C8E" w:rsidRDefault="008B18D4" w:rsidP="00A14F68">
      <w:pPr>
        <w:spacing w:before="120" w:after="120" w:line="276" w:lineRule="auto"/>
      </w:pPr>
      <w:r w:rsidRPr="009A1C8E">
        <w:t xml:space="preserve">Most providers who are unable to meet participants’ requests anticipate that clients’ needs will only partially be met by other organisations (37%), or they will go without services altogether (19%). Only 12% of Victorian providers expect clients’ needs to be fully met by other organisations. </w:t>
      </w:r>
      <w:r w:rsidRPr="009A1C8E">
        <w:rPr>
          <w:b/>
        </w:rPr>
        <w:t>Pricing is the most significant factor impacting providers’ ability to deliver services and meet clients’ requests and is the number one challenge to their sustainability</w:t>
      </w:r>
      <w:r w:rsidRPr="009A1C8E">
        <w:t xml:space="preserve"> under the NDIS. Victorian and national providers believe that adjusting NDIS pricing will have the greatest impact their organisation’s </w:t>
      </w:r>
      <w:r w:rsidRPr="009A1C8E">
        <w:lastRenderedPageBreak/>
        <w:t xml:space="preserve">capacity to deliver good services. Providers recognise pricing as a significant challenge and are calling for </w:t>
      </w:r>
      <w:r w:rsidR="00C8154F" w:rsidRPr="009A1C8E">
        <w:t>G</w:t>
      </w:r>
      <w:r w:rsidRPr="009A1C8E">
        <w:t>overnment action.</w:t>
      </w:r>
    </w:p>
    <w:p w:rsidR="008B18D4" w:rsidRPr="009A1C8E" w:rsidRDefault="008B18D4" w:rsidP="00A14F68">
      <w:pPr>
        <w:spacing w:before="120" w:after="120" w:line="276" w:lineRule="auto"/>
      </w:pPr>
      <w:r w:rsidRPr="009A1C8E">
        <w:rPr>
          <w:b/>
        </w:rPr>
        <w:t>Adjusting pricing is therefore a powerful lever for Government</w:t>
      </w:r>
      <w:r w:rsidRPr="009A1C8E">
        <w:t xml:space="preserve"> to use in </w:t>
      </w:r>
      <w:proofErr w:type="gramStart"/>
      <w:r w:rsidRPr="009A1C8E">
        <w:t>stewarding</w:t>
      </w:r>
      <w:proofErr w:type="gramEnd"/>
      <w:r w:rsidRPr="009A1C8E">
        <w:t xml:space="preserve"> the market and proactively preventing market failure. In the short-term, prices must accurately reflect the cost of providing services. Prices need to be flexible and respond to the intricacies of local market settings to mitigate risks of market failure. Currently</w:t>
      </w:r>
      <w:r w:rsidR="001E58ED" w:rsidRPr="009A1C8E">
        <w:t>,</w:t>
      </w:r>
      <w:r w:rsidRPr="009A1C8E">
        <w:t xml:space="preserve"> NDIS actuaries are not legally required to take into account local market conditions and therefore it is unclear whether these factors are considered when setting prices </w:t>
      </w:r>
      <w:r w:rsidR="002D37DC" w:rsidRPr="009A1C8E">
        <w:fldChar w:fldCharType="begin"/>
      </w:r>
      <w:r w:rsidR="004C3D69" w:rsidRPr="009A1C8E">
        <w:instrText xml:space="preserve"> ADDIN EN.CITE &lt;EndNote&gt;&lt;Cite&gt;&lt;Author&gt;Carey&lt;/Author&gt;&lt;Year&gt;2018&lt;/Year&gt;&lt;RecNum&gt;258&lt;/RecNum&gt;&lt;DisplayText&gt;(9, 19)&lt;/DisplayText&gt;&lt;record&gt;&lt;rec-number&gt;258&lt;/rec-number&gt;&lt;foreign-keys&gt;&lt;key app="EN" db-id="dtafe02tlezsd7ef59c5s9fdse5ze52xw2ta" timestamp="1554302032"&gt;258&lt;/key&gt;&lt;/foreign-keys&gt;&lt;ref-type name="Report"&gt;27&lt;/ref-type&gt;&lt;contributors&gt;&lt;authors&gt;&lt;author&gt;Carey, Gemma&lt;/author&gt;&lt;author&gt;Malbon, Eleanor&lt;/author&gt;&lt;author&gt;Marjolin, Axelle&lt;/author&gt;&lt;author&gt;Reeders, Daniel&lt;/author&gt;&lt;/authors&gt;&lt;/contributors&gt;&lt;titles&gt;&lt;title&gt;National Disability Markets: Market stewardship actions for the NDIS&lt;/title&gt;&lt;/titles&gt;&lt;dates&gt;&lt;year&gt;2018&lt;/year&gt;&lt;/dates&gt;&lt;publisher&gt;Centre for Social Impact&lt;/publisher&gt;&lt;urls&gt;&lt;/urls&gt;&lt;/record&gt;&lt;/Cite&gt;&lt;Cite&gt;&lt;Year&gt;2013&lt;/Year&gt;&lt;RecNum&gt;267&lt;/RecNum&gt;&lt;record&gt;&lt;rec-number&gt;267&lt;/rec-number&gt;&lt;foreign-keys&gt;&lt;key app="EN" db-id="dtafe02tlezsd7ef59c5s9fdse5ze52xw2ta" timestamp="1554378372"&gt;267&lt;/key&gt;&lt;/foreign-keys&gt;&lt;ref-type name="Bill"&gt;4&lt;/ref-type&gt;&lt;contributors&gt;&lt;/contributors&gt;&lt;titles&gt;&lt;title&gt;National Disability Insurance Scheme Act&lt;/title&gt;&lt;tertiary-title&gt;Commonwealth Government of Australia&lt;/tertiary-title&gt;&lt;/titles&gt;&lt;volume&gt;No. 20, 2013&lt;/volume&gt;&lt;dates&gt;&lt;year&gt;2013&lt;/year&gt;&lt;/dates&gt;&lt;urls&gt;&lt;related-urls&gt;&lt;url&gt;https://www.legislation.gov.au/Details/C2013A00020&lt;/url&gt;&lt;/related-urls&gt;&lt;/urls&gt;&lt;/record&gt;&lt;/Cite&gt;&lt;/EndNote&gt;</w:instrText>
      </w:r>
      <w:r w:rsidR="002D37DC" w:rsidRPr="009A1C8E">
        <w:fldChar w:fldCharType="separate"/>
      </w:r>
      <w:r w:rsidR="004C3D69" w:rsidRPr="009A1C8E">
        <w:rPr>
          <w:noProof/>
        </w:rPr>
        <w:t>(9, 19)</w:t>
      </w:r>
      <w:r w:rsidR="002D37DC" w:rsidRPr="009A1C8E">
        <w:fldChar w:fldCharType="end"/>
      </w:r>
      <w:r w:rsidRPr="009A1C8E">
        <w:t xml:space="preserve">. The Commonwealth Government has advised that “while the sector transitions, the Government will explore ways to improve price settings, like benchmarking prices to mature markets where similar services are delivered” </w:t>
      </w:r>
      <w:r w:rsidR="002D37DC" w:rsidRPr="009A1C8E">
        <w:fldChar w:fldCharType="begin"/>
      </w:r>
      <w:r w:rsidR="005D588A" w:rsidRPr="009A1C8E">
        <w:instrText xml:space="preserve"> ADDIN EN.CITE &lt;EndNote&gt;&lt;Cite&gt;&lt;Author&gt;Commonwealth Department of Social Services&lt;/Author&gt;&lt;Year&gt;2019&lt;/Year&gt;&lt;RecNum&gt;266&lt;/RecNum&gt;&lt;DisplayText&gt;(7)&lt;/DisplayText&gt;&lt;record&gt;&lt;rec-number&gt;266&lt;/rec-number&gt;&lt;foreign-keys&gt;&lt;key app="EN" db-id="dtafe02tlezsd7ef59c5s9fdse5ze52xw2ta" timestamp="1554377722"&gt;266&lt;/key&gt;&lt;/foreign-keys&gt;&lt;ref-type name="Report"&gt;27&lt;/ref-type&gt;&lt;contributors&gt;&lt;authors&gt;&lt;author&gt;Commonwealth Department of Social Services,&lt;/author&gt;&lt;/authors&gt;&lt;/contributors&gt;&lt;titles&gt;&lt;title&gt;Growing the NDIS Market and Workforce&lt;/title&gt;&lt;/titles&gt;&lt;dates&gt;&lt;year&gt;2019&lt;/year&gt;&lt;/dates&gt;&lt;urls&gt;&lt;/urls&gt;&lt;/record&gt;&lt;/Cite&gt;&lt;/EndNote&gt;</w:instrText>
      </w:r>
      <w:r w:rsidR="002D37DC" w:rsidRPr="009A1C8E">
        <w:fldChar w:fldCharType="separate"/>
      </w:r>
      <w:r w:rsidR="005D588A" w:rsidRPr="009A1C8E">
        <w:rPr>
          <w:noProof/>
        </w:rPr>
        <w:t>(7)</w:t>
      </w:r>
      <w:r w:rsidR="002D37DC" w:rsidRPr="009A1C8E">
        <w:fldChar w:fldCharType="end"/>
      </w:r>
      <w:r w:rsidRPr="009A1C8E">
        <w:t xml:space="preserve">. If benchmarking is employed, this also needs to consider geographical and participant contexts, not merely similar services. As recommended by Carey et al. </w:t>
      </w:r>
      <w:r w:rsidR="002D37DC" w:rsidRPr="009A1C8E">
        <w:fldChar w:fldCharType="begin"/>
      </w:r>
      <w:r w:rsidR="005D588A" w:rsidRPr="009A1C8E">
        <w:instrText xml:space="preserve"> ADDIN EN.CITE &lt;EndNote&gt;&lt;Cite&gt;&lt;Author&gt;Carey&lt;/Author&gt;&lt;Year&gt;2018&lt;/Year&gt;&lt;RecNum&gt;258&lt;/RecNum&gt;&lt;DisplayText&gt;(9)&lt;/DisplayText&gt;&lt;record&gt;&lt;rec-number&gt;258&lt;/rec-number&gt;&lt;foreign-keys&gt;&lt;key app="EN" db-id="dtafe02tlezsd7ef59c5s9fdse5ze52xw2ta" timestamp="1554302032"&gt;258&lt;/key&gt;&lt;/foreign-keys&gt;&lt;ref-type name="Report"&gt;27&lt;/ref-type&gt;&lt;contributors&gt;&lt;authors&gt;&lt;author&gt;Carey, Gemma&lt;/author&gt;&lt;author&gt;Malbon, Eleanor&lt;/author&gt;&lt;author&gt;Marjolin, Axelle&lt;/author&gt;&lt;author&gt;Reeders, Daniel&lt;/author&gt;&lt;/authors&gt;&lt;/contributors&gt;&lt;titles&gt;&lt;title&gt;National Disability Markets: Market stewardship actions for the NDIS&lt;/title&gt;&lt;/titles&gt;&lt;dates&gt;&lt;year&gt;2018&lt;/year&gt;&lt;/dates&gt;&lt;publisher&gt;Centre for Social Impact&lt;/publisher&gt;&lt;urls&gt;&lt;/urls&gt;&lt;/record&gt;&lt;/Cite&gt;&lt;/EndNote&gt;</w:instrText>
      </w:r>
      <w:r w:rsidR="002D37DC" w:rsidRPr="009A1C8E">
        <w:fldChar w:fldCharType="separate"/>
      </w:r>
      <w:r w:rsidR="005D588A" w:rsidRPr="009A1C8E">
        <w:rPr>
          <w:noProof/>
        </w:rPr>
        <w:t>(9)</w:t>
      </w:r>
      <w:r w:rsidR="002D37DC" w:rsidRPr="009A1C8E">
        <w:fldChar w:fldCharType="end"/>
      </w:r>
      <w:r w:rsidRPr="009A1C8E">
        <w:t xml:space="preserve">, price setting criteria in the NDIS Act </w:t>
      </w:r>
      <w:r w:rsidR="002D37DC" w:rsidRPr="009A1C8E">
        <w:fldChar w:fldCharType="begin"/>
      </w:r>
      <w:r w:rsidR="004C3D69" w:rsidRPr="009A1C8E">
        <w:instrText xml:space="preserve"> ADDIN EN.CITE &lt;EndNote&gt;&lt;Cite&gt;&lt;Year&gt;2013&lt;/Year&gt;&lt;RecNum&gt;267&lt;/RecNum&gt;&lt;DisplayText&gt;(19)&lt;/DisplayText&gt;&lt;record&gt;&lt;rec-number&gt;267&lt;/rec-number&gt;&lt;foreign-keys&gt;&lt;key app="EN" db-id="dtafe02tlezsd7ef59c5s9fdse5ze52xw2ta" timestamp="1554378372"&gt;267&lt;/key&gt;&lt;/foreign-keys&gt;&lt;ref-type name="Bill"&gt;4&lt;/ref-type&gt;&lt;contributors&gt;&lt;/contributors&gt;&lt;titles&gt;&lt;title&gt;National Disability Insurance Scheme Act&lt;/title&gt;&lt;tertiary-title&gt;Commonwealth Government of Australia&lt;/tertiary-title&gt;&lt;/titles&gt;&lt;volume&gt;No. 20, 2013&lt;/volume&gt;&lt;dates&gt;&lt;year&gt;2013&lt;/year&gt;&lt;/dates&gt;&lt;urls&gt;&lt;related-urls&gt;&lt;url&gt;https://www.legislation.gov.au/Details/C2013A00020&lt;/url&gt;&lt;/related-urls&gt;&lt;/urls&gt;&lt;/record&gt;&lt;/Cite&gt;&lt;/EndNote&gt;</w:instrText>
      </w:r>
      <w:r w:rsidR="002D37DC" w:rsidRPr="009A1C8E">
        <w:fldChar w:fldCharType="separate"/>
      </w:r>
      <w:r w:rsidR="004C3D69" w:rsidRPr="009A1C8E">
        <w:rPr>
          <w:noProof/>
        </w:rPr>
        <w:t>(19)</w:t>
      </w:r>
      <w:r w:rsidR="002D37DC" w:rsidRPr="009A1C8E">
        <w:fldChar w:fldCharType="end"/>
      </w:r>
      <w:r w:rsidR="0039241D" w:rsidRPr="009A1C8E">
        <w:t xml:space="preserve"> </w:t>
      </w:r>
      <w:r w:rsidRPr="009A1C8E">
        <w:t>should be expanded to ensure local market conditions are taken into account and pricing can be responsive.</w:t>
      </w:r>
    </w:p>
    <w:p w:rsidR="008B18D4" w:rsidRPr="009A1C8E" w:rsidRDefault="008B18D4" w:rsidP="00A14F68">
      <w:pPr>
        <w:spacing w:before="120" w:after="120" w:line="276" w:lineRule="auto"/>
      </w:pPr>
      <w:r w:rsidRPr="005657C4">
        <w:rPr>
          <w:b/>
        </w:rPr>
        <w:t>Existing governance structures lack transparency and may further impede Governments’ ability to effectively use prices as a tool to steward the market.</w:t>
      </w:r>
      <w:r w:rsidRPr="009A1C8E">
        <w:t xml:space="preserve"> The Commonwealth Department of Social Services (DSS) is responsible for overall Scheme functioning and the NDIA plays a critical role in recognising market gaps and providing information. NDIS actuaries who set prices report to the NDIA, and are not accountable to Commonwealth or State Governments </w:t>
      </w:r>
      <w:r w:rsidR="002D37DC" w:rsidRPr="009A1C8E">
        <w:fldChar w:fldCharType="begin"/>
      </w:r>
      <w:r w:rsidR="004C3D69" w:rsidRPr="009A1C8E">
        <w:instrText xml:space="preserve"> ADDIN EN.CITE &lt;EndNote&gt;&lt;Cite&gt;&lt;Year&gt;2013&lt;/Year&gt;&lt;RecNum&gt;267&lt;/RecNum&gt;&lt;DisplayText&gt;(19)&lt;/DisplayText&gt;&lt;record&gt;&lt;rec-number&gt;267&lt;/rec-number&gt;&lt;foreign-keys&gt;&lt;key app="EN" db-id="dtafe02tlezsd7ef59c5s9fdse5ze52xw2ta" timestamp="1554378372"&gt;267&lt;/key&gt;&lt;/foreign-keys&gt;&lt;ref-type name="Bill"&gt;4&lt;/ref-type&gt;&lt;contributors&gt;&lt;/contributors&gt;&lt;titles&gt;&lt;title&gt;National Disability Insurance Scheme Act&lt;/title&gt;&lt;tertiary-title&gt;Commonwealth Government of Australia&lt;/tertiary-title&gt;&lt;/titles&gt;&lt;volume&gt;No. 20, 2013&lt;/volume&gt;&lt;dates&gt;&lt;year&gt;2013&lt;/year&gt;&lt;/dates&gt;&lt;urls&gt;&lt;related-urls&gt;&lt;url&gt;https://www.legislation.gov.au/Details/C2013A00020&lt;/url&gt;&lt;/related-urls&gt;&lt;/urls&gt;&lt;/record&gt;&lt;/Cite&gt;&lt;/EndNote&gt;</w:instrText>
      </w:r>
      <w:r w:rsidR="002D37DC" w:rsidRPr="009A1C8E">
        <w:fldChar w:fldCharType="separate"/>
      </w:r>
      <w:r w:rsidR="004C3D69" w:rsidRPr="009A1C8E">
        <w:rPr>
          <w:noProof/>
        </w:rPr>
        <w:t>(19)</w:t>
      </w:r>
      <w:r w:rsidR="002D37DC" w:rsidRPr="009A1C8E">
        <w:fldChar w:fldCharType="end"/>
      </w:r>
      <w:r w:rsidRPr="009A1C8E">
        <w:t>.</w:t>
      </w:r>
      <w:r w:rsidR="00523922" w:rsidRPr="009A1C8E">
        <w:t xml:space="preserve"> </w:t>
      </w:r>
      <w:r w:rsidRPr="009A1C8E">
        <w:t xml:space="preserve">As </w:t>
      </w:r>
      <w:proofErr w:type="spellStart"/>
      <w:r w:rsidRPr="009A1C8E">
        <w:t>Malbon</w:t>
      </w:r>
      <w:proofErr w:type="spellEnd"/>
      <w:r w:rsidRPr="009A1C8E">
        <w:t xml:space="preserve"> et al. </w:t>
      </w:r>
      <w:r w:rsidR="002D37DC" w:rsidRPr="009A1C8E">
        <w:fldChar w:fldCharType="begin"/>
      </w:r>
      <w:r w:rsidR="004C3D69" w:rsidRPr="009A1C8E">
        <w:instrText xml:space="preserve"> ADDIN EN.CITE &lt;EndNote&gt;&lt;Cite&gt;&lt;Author&gt;Malbon&lt;/Author&gt;&lt;Year&gt;2018&lt;/Year&gt;&lt;RecNum&gt;268&lt;/RecNum&gt;&lt;DisplayText&gt;(20)&lt;/DisplayText&gt;&lt;record&gt;&lt;rec-number&gt;268&lt;/rec-number&gt;&lt;foreign-keys&gt;&lt;key app="EN" db-id="dtafe02tlezsd7ef59c5s9fdse5ze52xw2ta" timestamp="1554378642"&gt;268&lt;/key&gt;&lt;/foreign-keys&gt;&lt;ref-type name="Journal Article"&gt;17&lt;/ref-type&gt;&lt;contributors&gt;&lt;authors&gt;&lt;author&gt;Malbon, Eleanor&lt;/author&gt;&lt;author&gt;Carey, Gemma&lt;/author&gt;&lt;author&gt;Reeders, Daniel&lt;/author&gt;&lt;/authors&gt;&lt;/contributors&gt;&lt;titles&gt;&lt;title&gt;Mixed accountability within new public governance: The case of a personalized welfare scheme in early implementation&lt;/title&gt;&lt;secondary-title&gt;Social Policy &amp;amp; Administration&lt;/secondary-title&gt;&lt;/titles&gt;&lt;periodical&gt;&lt;full-title&gt;Social Policy &amp;amp; Administration&lt;/full-title&gt;&lt;/periodical&gt;&lt;pages&gt;156-169&lt;/pages&gt;&lt;volume&gt;53&lt;/volume&gt;&lt;number&gt;1&lt;/number&gt;&lt;dates&gt;&lt;year&gt;2018&lt;/year&gt;&lt;/dates&gt;&lt;isbn&gt;0144-5596&lt;/isbn&gt;&lt;urls&gt;&lt;/urls&gt;&lt;/record&gt;&lt;/Cite&gt;&lt;/EndNote&gt;</w:instrText>
      </w:r>
      <w:r w:rsidR="002D37DC" w:rsidRPr="009A1C8E">
        <w:fldChar w:fldCharType="separate"/>
      </w:r>
      <w:r w:rsidR="004C3D69" w:rsidRPr="009A1C8E">
        <w:rPr>
          <w:noProof/>
        </w:rPr>
        <w:t>(20)</w:t>
      </w:r>
      <w:r w:rsidR="002D37DC" w:rsidRPr="009A1C8E">
        <w:fldChar w:fldCharType="end"/>
      </w:r>
      <w:r w:rsidRPr="009A1C8E">
        <w:t xml:space="preserve"> suggest, these layered responsibilities may lead to significant accountability risks </w:t>
      </w:r>
      <w:r w:rsidR="001E58ED" w:rsidRPr="009A1C8E">
        <w:t>–</w:t>
      </w:r>
      <w:r w:rsidRPr="009A1C8E">
        <w:t xml:space="preserve"> which are even more concerning given the capacity limitations of the NDIA. </w:t>
      </w:r>
      <w:proofErr w:type="spellStart"/>
      <w:r w:rsidRPr="009A1C8E">
        <w:t>Malbon</w:t>
      </w:r>
      <w:proofErr w:type="spellEnd"/>
      <w:r w:rsidRPr="009A1C8E">
        <w:t xml:space="preserve"> et al. </w:t>
      </w:r>
      <w:r w:rsidR="002D37DC" w:rsidRPr="009A1C8E">
        <w:fldChar w:fldCharType="begin"/>
      </w:r>
      <w:r w:rsidR="004C3D69" w:rsidRPr="009A1C8E">
        <w:instrText xml:space="preserve"> ADDIN EN.CITE &lt;EndNote&gt;&lt;Cite&gt;&lt;Author&gt;Malbon&lt;/Author&gt;&lt;Year&gt;2018&lt;/Year&gt;&lt;RecNum&gt;268&lt;/RecNum&gt;&lt;DisplayText&gt;(20)&lt;/DisplayText&gt;&lt;record&gt;&lt;rec-number&gt;268&lt;/rec-number&gt;&lt;foreign-keys&gt;&lt;key app="EN" db-id="dtafe02tlezsd7ef59c5s9fdse5ze52xw2ta" timestamp="1554378642"&gt;268&lt;/key&gt;&lt;/foreign-keys&gt;&lt;ref-type name="Journal Article"&gt;17&lt;/ref-type&gt;&lt;contributors&gt;&lt;authors&gt;&lt;author&gt;Malbon, Eleanor&lt;/author&gt;&lt;author&gt;Carey, Gemma&lt;/author&gt;&lt;author&gt;Reeders, Daniel&lt;/author&gt;&lt;/authors&gt;&lt;/contributors&gt;&lt;titles&gt;&lt;title&gt;Mixed accountability within new public governance: The case of a personalized welfare scheme in early implementation&lt;/title&gt;&lt;secondary-title&gt;Social Policy &amp;amp; Administration&lt;/secondary-title&gt;&lt;/titles&gt;&lt;periodical&gt;&lt;full-title&gt;Social Policy &amp;amp; Administration&lt;/full-title&gt;&lt;/periodical&gt;&lt;pages&gt;156-169&lt;/pages&gt;&lt;volume&gt;53&lt;/volume&gt;&lt;number&gt;1&lt;/number&gt;&lt;dates&gt;&lt;year&gt;2018&lt;/year&gt;&lt;/dates&gt;&lt;isbn&gt;0144-5596&lt;/isbn&gt;&lt;urls&gt;&lt;/urls&gt;&lt;/record&gt;&lt;/Cite&gt;&lt;/EndNote&gt;</w:instrText>
      </w:r>
      <w:r w:rsidR="002D37DC" w:rsidRPr="009A1C8E">
        <w:fldChar w:fldCharType="separate"/>
      </w:r>
      <w:r w:rsidR="004C3D69" w:rsidRPr="009A1C8E">
        <w:rPr>
          <w:noProof/>
        </w:rPr>
        <w:t>(20)</w:t>
      </w:r>
      <w:r w:rsidR="002D37DC" w:rsidRPr="009A1C8E">
        <w:fldChar w:fldCharType="end"/>
      </w:r>
      <w:r w:rsidR="00994E91" w:rsidRPr="009A1C8E">
        <w:t xml:space="preserve"> </w:t>
      </w:r>
      <w:r w:rsidRPr="009A1C8E">
        <w:t xml:space="preserve">argue that for pricing to be used effectively as a market stewardship lever, each party must have clearly defined responsibilities and sufficient capacity to fulfil their respective accountability role. Consistent with the Productivity Commission’s recommendations </w:t>
      </w:r>
      <w:r w:rsidR="002D37DC" w:rsidRPr="009A1C8E">
        <w:fldChar w:fldCharType="begin"/>
      </w:r>
      <w:r w:rsidR="001A7762" w:rsidRPr="009A1C8E">
        <w:instrText xml:space="preserve"> ADDIN EN.CITE &lt;EndNote&gt;&lt;Cite&gt;&lt;Author&gt;Productivity Commission&lt;/Author&gt;&lt;Year&gt;2017&lt;/Year&gt;&lt;RecNum&gt;254&lt;/RecNum&gt;&lt;DisplayText&gt;(4)&lt;/DisplayText&gt;&lt;record&gt;&lt;rec-number&gt;254&lt;/rec-number&gt;&lt;foreign-keys&gt;&lt;key app="EN" db-id="dtafe02tlezsd7ef59c5s9fdse5ze52xw2ta" timestamp="1554298100"&gt;254&lt;/key&gt;&lt;/foreign-keys&gt;&lt;ref-type name="Report"&gt;27&lt;/ref-type&gt;&lt;contributors&gt;&lt;authors&gt;&lt;author&gt;Productivity Commission,&lt;/author&gt;&lt;/authors&gt;&lt;/contributors&gt;&lt;titles&gt;&lt;title&gt;National Disability Insurance Scheme (NDIS) Costs&lt;/title&gt;&lt;secondary-title&gt;Study report&lt;/secondary-title&gt;&lt;/titles&gt;&lt;dates&gt;&lt;year&gt;2017&lt;/year&gt;&lt;/dates&gt;&lt;publisher&gt;Canberra&lt;/publisher&gt;&lt;urls&gt;&lt;/urls&gt;&lt;/record&gt;&lt;/Cite&gt;&lt;/EndNote&gt;</w:instrText>
      </w:r>
      <w:r w:rsidR="002D37DC" w:rsidRPr="009A1C8E">
        <w:fldChar w:fldCharType="separate"/>
      </w:r>
      <w:r w:rsidR="001A7762" w:rsidRPr="009A1C8E">
        <w:rPr>
          <w:noProof/>
        </w:rPr>
        <w:t>(4)</w:t>
      </w:r>
      <w:r w:rsidR="002D37DC" w:rsidRPr="009A1C8E">
        <w:fldChar w:fldCharType="end"/>
      </w:r>
      <w:r w:rsidRPr="009A1C8E">
        <w:t>, NDS strongly believes price-setting should be transferred to an independent agency by July 2019. This would provide greater confidence that price</w:t>
      </w:r>
      <w:r w:rsidRPr="009A1C8E">
        <w:noBreakHyphen/>
      </w:r>
      <w:proofErr w:type="spellStart"/>
      <w:r w:rsidRPr="009A1C8E">
        <w:t>setting</w:t>
      </w:r>
      <w:proofErr w:type="spellEnd"/>
      <w:r w:rsidRPr="009A1C8E">
        <w:t xml:space="preserve"> is transparent and evidence</w:t>
      </w:r>
      <w:r w:rsidR="00975206" w:rsidRPr="009A1C8E">
        <w:t>-</w:t>
      </w:r>
      <w:r w:rsidRPr="009A1C8E">
        <w:t xml:space="preserve">based, and ensure the primary focus is on market development, rather than perhaps being used to offset budget pressures </w:t>
      </w:r>
      <w:r w:rsidR="002D37DC" w:rsidRPr="009A1C8E">
        <w:fldChar w:fldCharType="begin"/>
      </w:r>
      <w:r w:rsidR="001A7762" w:rsidRPr="009A1C8E">
        <w:instrText xml:space="preserve"> ADDIN EN.CITE &lt;EndNote&gt;&lt;Cite&gt;&lt;Author&gt;Productivity Commission&lt;/Author&gt;&lt;Year&gt;2017&lt;/Year&gt;&lt;RecNum&gt;254&lt;/RecNum&gt;&lt;DisplayText&gt;(4)&lt;/DisplayText&gt;&lt;record&gt;&lt;rec-number&gt;254&lt;/rec-number&gt;&lt;foreign-keys&gt;&lt;key app="EN" db-id="dtafe02tlezsd7ef59c5s9fdse5ze52xw2ta" timestamp="1554298100"&gt;254&lt;/key&gt;&lt;/foreign-keys&gt;&lt;ref-type name="Report"&gt;27&lt;/ref-type&gt;&lt;contributors&gt;&lt;authors&gt;&lt;author&gt;Productivity Commission,&lt;/author&gt;&lt;/authors&gt;&lt;/contributors&gt;&lt;titles&gt;&lt;title&gt;National Disability Insurance Scheme (NDIS) Costs&lt;/title&gt;&lt;secondary-title&gt;Study report&lt;/secondary-title&gt;&lt;/titles&gt;&lt;dates&gt;&lt;year&gt;2017&lt;/year&gt;&lt;/dates&gt;&lt;publisher&gt;Canberra&lt;/publisher&gt;&lt;urls&gt;&lt;/urls&gt;&lt;/record&gt;&lt;/Cite&gt;&lt;/EndNote&gt;</w:instrText>
      </w:r>
      <w:r w:rsidR="002D37DC" w:rsidRPr="009A1C8E">
        <w:fldChar w:fldCharType="separate"/>
      </w:r>
      <w:r w:rsidR="001A7762" w:rsidRPr="009A1C8E">
        <w:rPr>
          <w:noProof/>
        </w:rPr>
        <w:t>(4)</w:t>
      </w:r>
      <w:r w:rsidR="002D37DC" w:rsidRPr="009A1C8E">
        <w:fldChar w:fldCharType="end"/>
      </w:r>
      <w:r w:rsidRPr="009A1C8E">
        <w:t>.</w:t>
      </w:r>
    </w:p>
    <w:p w:rsidR="008B18D4" w:rsidRPr="009A1C8E" w:rsidRDefault="008B18D4" w:rsidP="00A14F68">
      <w:pPr>
        <w:spacing w:before="120" w:after="120" w:line="276" w:lineRule="auto"/>
      </w:pPr>
      <w:r w:rsidRPr="009A1C8E">
        <w:t xml:space="preserve">It is also important to keep sight of </w:t>
      </w:r>
      <w:r w:rsidRPr="009A1C8E">
        <w:rPr>
          <w:b/>
        </w:rPr>
        <w:t>the long-term shift to a deregulated market</w:t>
      </w:r>
      <w:r w:rsidRPr="009A1C8E">
        <w:t xml:space="preserve">, where, like unregistered providers, registered providers will be free to negotiate service fees. The NDIA anticipates this will occur as the market matures in size and quality </w:t>
      </w:r>
      <w:r w:rsidR="002D37DC" w:rsidRPr="009A1C8E">
        <w:fldChar w:fldCharType="begin"/>
      </w:r>
      <w:r w:rsidR="004C3D69" w:rsidRPr="009A1C8E">
        <w:instrText xml:space="preserve"> ADDIN EN.CITE &lt;EndNote&gt;&lt;Cite&gt;&lt;Author&gt;Joint Standing Committee on the National Disability Insurance Scheme&lt;/Author&gt;&lt;Year&gt;2018&lt;/Year&gt;&lt;RecNum&gt;269&lt;/RecNum&gt;&lt;DisplayText&gt;(21)&lt;/DisplayText&gt;&lt;record&gt;&lt;rec-number&gt;269&lt;/rec-number&gt;&lt;foreign-keys&gt;&lt;key app="EN" db-id="dtafe02tlezsd7ef59c5s9fdse5ze52xw2ta" timestamp="1554379062"&gt;269&lt;/key&gt;&lt;/foreign-keys&gt;&lt;ref-type name="Report"&gt;27&lt;/ref-type&gt;&lt;contributors&gt;&lt;authors&gt;&lt;author&gt;Joint Standing Committee on the National Disability Insurance Scheme,&lt;/author&gt;&lt;/authors&gt;&lt;/contributors&gt;&lt;titles&gt;&lt;title&gt;Market readiness for provision of services under the NDIS&lt;/title&gt;&lt;/titles&gt;&lt;dates&gt;&lt;year&gt;2018&lt;/year&gt;&lt;/dates&gt;&lt;urls&gt;&lt;/urls&gt;&lt;/record&gt;&lt;/Cite&gt;&lt;/EndNote&gt;</w:instrText>
      </w:r>
      <w:r w:rsidR="002D37DC" w:rsidRPr="009A1C8E">
        <w:fldChar w:fldCharType="separate"/>
      </w:r>
      <w:r w:rsidR="004C3D69" w:rsidRPr="009A1C8E">
        <w:rPr>
          <w:noProof/>
        </w:rPr>
        <w:t>(21)</w:t>
      </w:r>
      <w:r w:rsidR="002D37DC" w:rsidRPr="009A1C8E">
        <w:fldChar w:fldCharType="end"/>
      </w:r>
      <w:r w:rsidRPr="009A1C8E">
        <w:t xml:space="preserve">, although there is “not yet a clear path towards reaching it” </w:t>
      </w:r>
      <w:r w:rsidR="002D37DC" w:rsidRPr="009A1C8E">
        <w:fldChar w:fldCharType="begin"/>
      </w:r>
      <w:r w:rsidR="004C3D69" w:rsidRPr="009A1C8E">
        <w:instrText xml:space="preserve"> ADDIN EN.CITE &lt;EndNote&gt;&lt;Cite&gt;&lt;Author&gt;McKinsey&amp;amp;Company&lt;/Author&gt;&lt;Year&gt;2018&lt;/Year&gt;&lt;RecNum&gt;270&lt;/RecNum&gt;&lt;DisplayText&gt;(22)&lt;/DisplayText&gt;&lt;record&gt;&lt;rec-number&gt;270&lt;/rec-number&gt;&lt;foreign-keys&gt;&lt;key app="EN" db-id="dtafe02tlezsd7ef59c5s9fdse5ze52xw2ta" timestamp="1554379199"&gt;270&lt;/key&gt;&lt;/foreign-keys&gt;&lt;ref-type name="Journal Article"&gt;17&lt;/ref-type&gt;&lt;contributors&gt;&lt;authors&gt;&lt;author&gt;McKinsey&amp;amp;Company&lt;/author&gt;&lt;/authors&gt;&lt;/contributors&gt;&lt;titles&gt;&lt;title&gt;Independent Pricing Review - National Disability Insurance Agency&lt;/title&gt;&lt;/titles&gt;&lt;dates&gt;&lt;year&gt;2018&lt;/year&gt;&lt;/dates&gt;&lt;urls&gt;&lt;/urls&gt;&lt;/record&gt;&lt;/Cite&gt;&lt;/EndNote&gt;</w:instrText>
      </w:r>
      <w:r w:rsidR="002D37DC" w:rsidRPr="009A1C8E">
        <w:fldChar w:fldCharType="separate"/>
      </w:r>
      <w:r w:rsidR="004C3D69" w:rsidRPr="009A1C8E">
        <w:rPr>
          <w:noProof/>
        </w:rPr>
        <w:t>(22)</w:t>
      </w:r>
      <w:r w:rsidR="002D37DC" w:rsidRPr="009A1C8E">
        <w:fldChar w:fldCharType="end"/>
      </w:r>
      <w:r w:rsidRPr="009A1C8E">
        <w:t>. The impact of price deregulation is yet to be known, as there are currently no public sector markets based on personalisation that have fully deregulated prices</w:t>
      </w:r>
      <w:r w:rsidR="00C661E6" w:rsidRPr="009A1C8E">
        <w:t xml:space="preserve"> </w:t>
      </w:r>
      <w:r w:rsidR="002D37DC" w:rsidRPr="009A1C8E">
        <w:fldChar w:fldCharType="begin"/>
      </w:r>
      <w:r w:rsidR="00C661E6" w:rsidRPr="009A1C8E">
        <w:instrText xml:space="preserve"> ADDIN EN.CITE &lt;EndNote&gt;&lt;Cite&gt;&lt;Author&gt;Carey&lt;/Author&gt;&lt;Year&gt;2017&lt;/Year&gt;&lt;RecNum&gt;253&lt;/RecNum&gt;&lt;DisplayText&gt;(3)&lt;/DisplayText&gt;&lt;record&gt;&lt;rec-number&gt;253&lt;/rec-number&gt;&lt;foreign-keys&gt;&lt;key app="EN" db-id="dtafe02tlezsd7ef59c5s9fdse5ze52xw2ta" timestamp="1554298000"&gt;253&lt;/key&gt;&lt;/foreign-keys&gt;&lt;ref-type name="Unpublished Work"&gt;34&lt;/ref-type&gt;&lt;contributors&gt;&lt;authors&gt;&lt;author&gt;Carey, Gemma&lt;/author&gt;&lt;author&gt;Dickinson, Helen&lt;/author&gt;&lt;author&gt;Gilchrist, David&lt;/author&gt;&lt;author&gt;Alexander, Damon&lt;/author&gt;&lt;author&gt;Kavanagh, Anne&lt;/author&gt;&lt;author&gt;Chand, Satish&lt;/author&gt;&lt;/authors&gt;&lt;/contributors&gt;&lt;titles&gt;&lt;title&gt;Proposal: Stewarding thin markets: improving public sector market effectiveness&lt;/title&gt;&lt;/titles&gt;&lt;dates&gt;&lt;year&gt;2017&lt;/year&gt;&lt;/dates&gt;&lt;publisher&gt;The University of New South Wales&lt;/publisher&gt;&lt;urls&gt;&lt;/urls&gt;&lt;/record&gt;&lt;/Cite&gt;&lt;/EndNote&gt;</w:instrText>
      </w:r>
      <w:r w:rsidR="002D37DC" w:rsidRPr="009A1C8E">
        <w:fldChar w:fldCharType="separate"/>
      </w:r>
      <w:r w:rsidR="00C661E6" w:rsidRPr="009A1C8E">
        <w:rPr>
          <w:noProof/>
        </w:rPr>
        <w:t>(3)</w:t>
      </w:r>
      <w:r w:rsidR="002D37DC" w:rsidRPr="009A1C8E">
        <w:fldChar w:fldCharType="end"/>
      </w:r>
      <w:r w:rsidRPr="009A1C8E">
        <w:t xml:space="preserve">. According to classical market theory, a deregulated NDIS market would </w:t>
      </w:r>
      <w:r w:rsidRPr="009A1C8E">
        <w:rPr>
          <w:color w:val="000000" w:themeColor="text1"/>
        </w:rPr>
        <w:t xml:space="preserve">achieve efficiency, where natural forces move </w:t>
      </w:r>
      <w:r w:rsidRPr="009A1C8E">
        <w:rPr>
          <w:color w:val="000000" w:themeColor="text1"/>
        </w:rPr>
        <w:lastRenderedPageBreak/>
        <w:t xml:space="preserve">the market to equilibrium i.e. where demand equals supply. In reality, however, not all participants have access to robust and functioning markets where such equilibrium can develop </w:t>
      </w:r>
      <w:r w:rsidR="00975206" w:rsidRPr="009A1C8E">
        <w:rPr>
          <w:color w:val="000000" w:themeColor="text1"/>
        </w:rPr>
        <w:t>–</w:t>
      </w:r>
      <w:r w:rsidRPr="009A1C8E">
        <w:rPr>
          <w:color w:val="000000" w:themeColor="text1"/>
        </w:rPr>
        <w:t xml:space="preserve"> thin markets are a significant risk for rural and remote communities, for certain services and for people with low prevalence disabilities </w:t>
      </w:r>
      <w:r w:rsidR="002D37DC" w:rsidRPr="009A1C8E">
        <w:rPr>
          <w:color w:val="000000" w:themeColor="text1"/>
        </w:rPr>
        <w:fldChar w:fldCharType="begin"/>
      </w:r>
      <w:r w:rsidR="004C3D69" w:rsidRPr="009A1C8E">
        <w:rPr>
          <w:color w:val="000000" w:themeColor="text1"/>
        </w:rPr>
        <w:instrText xml:space="preserve"> ADDIN EN.CITE &lt;EndNote&gt;&lt;Cite&gt;&lt;Author&gt;Dickinson&lt;/Author&gt;&lt;Year&gt;2018&lt;/Year&gt;&lt;RecNum&gt;271&lt;/RecNum&gt;&lt;DisplayText&gt;(23)&lt;/DisplayText&gt;&lt;record&gt;&lt;rec-number&gt;271&lt;/rec-number&gt;&lt;foreign-keys&gt;&lt;key app="EN" db-id="dtafe02tlezsd7ef59c5s9fdse5ze52xw2ta" timestamp="1554379370"&gt;271&lt;/key&gt;&lt;/foreign-keys&gt;&lt;ref-type name="Report"&gt;27&lt;/ref-type&gt;&lt;contributors&gt;&lt;authors&gt;&lt;author&gt;Dickinson, Helen&lt;/author&gt;&lt;author&gt;Carey, Gemma&lt;/author&gt;&lt;author&gt;Olney, Sue&lt;/author&gt;&lt;/authors&gt;&lt;/contributors&gt;&lt;titles&gt;&lt;title&gt;Submission to the Joint Standing Committee on the NDIS&lt;/title&gt;&lt;/titles&gt;&lt;dates&gt;&lt;year&gt;2018&lt;/year&gt;&lt;/dates&gt;&lt;publisher&gt;University of New South Wales&lt;/publisher&gt;&lt;urls&gt;&lt;/urls&gt;&lt;/record&gt;&lt;/Cite&gt;&lt;/EndNote&gt;</w:instrText>
      </w:r>
      <w:r w:rsidR="002D37DC" w:rsidRPr="009A1C8E">
        <w:rPr>
          <w:color w:val="000000" w:themeColor="text1"/>
        </w:rPr>
        <w:fldChar w:fldCharType="separate"/>
      </w:r>
      <w:r w:rsidR="004C3D69" w:rsidRPr="009A1C8E">
        <w:rPr>
          <w:noProof/>
          <w:color w:val="000000" w:themeColor="text1"/>
        </w:rPr>
        <w:t>(23)</w:t>
      </w:r>
      <w:r w:rsidR="002D37DC" w:rsidRPr="009A1C8E">
        <w:rPr>
          <w:color w:val="000000" w:themeColor="text1"/>
        </w:rPr>
        <w:fldChar w:fldCharType="end"/>
      </w:r>
      <w:r w:rsidRPr="009A1C8E">
        <w:rPr>
          <w:color w:val="000000" w:themeColor="text1"/>
        </w:rPr>
        <w:t xml:space="preserve">. While there may be fears of government intervention introducing rigidity into the market </w:t>
      </w:r>
      <w:r w:rsidR="002D37DC" w:rsidRPr="009A1C8E">
        <w:rPr>
          <w:color w:val="000000" w:themeColor="text1"/>
        </w:rPr>
        <w:fldChar w:fldCharType="begin"/>
      </w:r>
      <w:r w:rsidR="005D588A" w:rsidRPr="009A1C8E">
        <w:rPr>
          <w:color w:val="000000" w:themeColor="text1"/>
        </w:rPr>
        <w:instrText xml:space="preserve"> ADDIN EN.CITE &lt;EndNote&gt;&lt;Cite&gt;&lt;Author&gt;Carey&lt;/Author&gt;&lt;Year&gt;2018&lt;/Year&gt;&lt;RecNum&gt;257&lt;/RecNum&gt;&lt;DisplayText&gt;(8)&lt;/DisplayText&gt;&lt;record&gt;&lt;rec-number&gt;257&lt;/rec-number&gt;&lt;foreign-keys&gt;&lt;key app="EN" db-id="dtafe02tlezsd7ef59c5s9fdse5ze52xw2ta" timestamp="1554298732"&gt;257&lt;/key&gt;&lt;/foreign-keys&gt;&lt;ref-type name="Journal Article"&gt;17&lt;/ref-type&gt;&lt;contributors&gt;&lt;authors&gt;&lt;author&gt;Carey, Gemma&lt;/author&gt;&lt;author&gt;Dickinson, Helen&lt;/author&gt;&lt;author&gt;Malbon, Eleanor&lt;/author&gt;&lt;author&gt;Reeders, Daniel&lt;/author&gt;&lt;/authors&gt;&lt;/contributors&gt;&lt;titles&gt;&lt;title&gt;The vexed question of market stewardship in the public sector: examining equity and the social contract through the Australian national disability insurance scheme&lt;/title&gt;&lt;secondary-title&gt;Social Policy &amp;amp; Administration&lt;/secondary-title&gt;&lt;/titles&gt;&lt;periodical&gt;&lt;full-title&gt;Social Policy &amp;amp; Administration&lt;/full-title&gt;&lt;/periodical&gt;&lt;pages&gt;387-407&lt;/pages&gt;&lt;volume&gt;52&lt;/volume&gt;&lt;number&gt;1&lt;/number&gt;&lt;dates&gt;&lt;year&gt;2018&lt;/year&gt;&lt;/dates&gt;&lt;urls&gt;&lt;/urls&gt;&lt;/record&gt;&lt;/Cite&gt;&lt;/EndNote&gt;</w:instrText>
      </w:r>
      <w:r w:rsidR="002D37DC" w:rsidRPr="009A1C8E">
        <w:rPr>
          <w:color w:val="000000" w:themeColor="text1"/>
        </w:rPr>
        <w:fldChar w:fldCharType="separate"/>
      </w:r>
      <w:r w:rsidR="005D588A" w:rsidRPr="009A1C8E">
        <w:rPr>
          <w:noProof/>
          <w:color w:val="000000" w:themeColor="text1"/>
        </w:rPr>
        <w:t>(8)</w:t>
      </w:r>
      <w:r w:rsidR="002D37DC" w:rsidRPr="009A1C8E">
        <w:rPr>
          <w:color w:val="000000" w:themeColor="text1"/>
        </w:rPr>
        <w:fldChar w:fldCharType="end"/>
      </w:r>
      <w:r w:rsidRPr="009A1C8E">
        <w:rPr>
          <w:color w:val="000000" w:themeColor="text1"/>
        </w:rPr>
        <w:t xml:space="preserve">, a strategic and active approach to addressing market gaps is required to ensure </w:t>
      </w:r>
      <w:r w:rsidRPr="009A1C8E">
        <w:t xml:space="preserve">meaningful choice and control for people with disability. NDS recommends a staged approach to deregulation, which trials price deregulation in specific geographical sites or service types. Greater transparency of market information is also </w:t>
      </w:r>
      <w:proofErr w:type="gramStart"/>
      <w:r w:rsidRPr="009A1C8E">
        <w:t>key</w:t>
      </w:r>
      <w:proofErr w:type="gramEnd"/>
      <w:r w:rsidRPr="009A1C8E">
        <w:t xml:space="preserve"> </w:t>
      </w:r>
      <w:r w:rsidRPr="009A1C8E">
        <w:rPr>
          <w:color w:val="000000" w:themeColor="text1"/>
        </w:rPr>
        <w:t xml:space="preserve">to the establishment of an effective </w:t>
      </w:r>
      <w:r w:rsidR="0081480C" w:rsidRPr="009A1C8E">
        <w:rPr>
          <w:color w:val="000000" w:themeColor="text1"/>
        </w:rPr>
        <w:t>marketplace</w:t>
      </w:r>
      <w:r w:rsidRPr="009A1C8E">
        <w:rPr>
          <w:color w:val="000000" w:themeColor="text1"/>
        </w:rPr>
        <w:t xml:space="preserve">, enabling evidence-based planning to meet market needs. </w:t>
      </w:r>
      <w:r w:rsidR="00C65A50" w:rsidRPr="009A1C8E">
        <w:t xml:space="preserve">Dickinson et al. </w:t>
      </w:r>
      <w:r w:rsidR="002D37DC" w:rsidRPr="009A1C8E">
        <w:fldChar w:fldCharType="begin"/>
      </w:r>
      <w:r w:rsidR="004C3D69" w:rsidRPr="009A1C8E">
        <w:instrText xml:space="preserve"> ADDIN EN.CITE &lt;EndNote&gt;&lt;Cite&gt;&lt;Author&gt;Dickinson&lt;/Author&gt;&lt;Year&gt;2018&lt;/Year&gt;&lt;RecNum&gt;271&lt;/RecNum&gt;&lt;DisplayText&gt;(23)&lt;/DisplayText&gt;&lt;record&gt;&lt;rec-number&gt;271&lt;/rec-number&gt;&lt;foreign-keys&gt;&lt;key app="EN" db-id="dtafe02tlezsd7ef59c5s9fdse5ze52xw2ta" timestamp="1554379370"&gt;271&lt;/key&gt;&lt;/foreign-keys&gt;&lt;ref-type name="Report"&gt;27&lt;/ref-type&gt;&lt;contributors&gt;&lt;authors&gt;&lt;author&gt;Dickinson, Helen&lt;/author&gt;&lt;author&gt;Carey, Gemma&lt;/author&gt;&lt;author&gt;Olney, Sue&lt;/author&gt;&lt;/authors&gt;&lt;/contributors&gt;&lt;titles&gt;&lt;title&gt;Submission to the Joint Standing Committee on the NDIS&lt;/title&gt;&lt;/titles&gt;&lt;dates&gt;&lt;year&gt;2018&lt;/year&gt;&lt;/dates&gt;&lt;publisher&gt;University of New South Wales&lt;/publisher&gt;&lt;urls&gt;&lt;/urls&gt;&lt;/record&gt;&lt;/Cite&gt;&lt;/EndNote&gt;</w:instrText>
      </w:r>
      <w:r w:rsidR="002D37DC" w:rsidRPr="009A1C8E">
        <w:fldChar w:fldCharType="separate"/>
      </w:r>
      <w:r w:rsidR="004C3D69" w:rsidRPr="009A1C8E">
        <w:rPr>
          <w:noProof/>
        </w:rPr>
        <w:t>(23)</w:t>
      </w:r>
      <w:r w:rsidR="002D37DC" w:rsidRPr="009A1C8E">
        <w:fldChar w:fldCharType="end"/>
      </w:r>
      <w:r w:rsidRPr="009A1C8E">
        <w:t xml:space="preserve"> recommends the following levers to address market risks to ensure a diverse range of providers and prevent neglect of people with disability in thin markets:</w:t>
      </w:r>
    </w:p>
    <w:p w:rsidR="008B18D4" w:rsidRPr="009A1C8E" w:rsidRDefault="008B18D4" w:rsidP="00A14F68">
      <w:pPr>
        <w:pStyle w:val="ListParagraph"/>
        <w:numPr>
          <w:ilvl w:val="1"/>
          <w:numId w:val="35"/>
        </w:numPr>
        <w:spacing w:before="120" w:after="120" w:line="276" w:lineRule="auto"/>
      </w:pPr>
      <w:r w:rsidRPr="009A1C8E">
        <w:t>Incentives for regional/rural and niche providers to enter and remain in market;</w:t>
      </w:r>
    </w:p>
    <w:p w:rsidR="008B18D4" w:rsidRPr="009A1C8E" w:rsidRDefault="008B18D4" w:rsidP="00A14F68">
      <w:pPr>
        <w:pStyle w:val="ListParagraph"/>
        <w:numPr>
          <w:ilvl w:val="1"/>
          <w:numId w:val="35"/>
        </w:numPr>
        <w:spacing w:before="120" w:after="120" w:line="276" w:lineRule="auto"/>
      </w:pPr>
      <w:r w:rsidRPr="009A1C8E">
        <w:t>A system of soft checks to identify supports that providers in thin markets may require to remain viable and in business; and</w:t>
      </w:r>
    </w:p>
    <w:p w:rsidR="008B18D4" w:rsidRPr="009A1C8E" w:rsidRDefault="008B18D4" w:rsidP="00A14F68">
      <w:pPr>
        <w:pStyle w:val="ListParagraph"/>
        <w:numPr>
          <w:ilvl w:val="1"/>
          <w:numId w:val="35"/>
        </w:numPr>
        <w:spacing w:before="120" w:after="120" w:line="276" w:lineRule="auto"/>
      </w:pPr>
      <w:r w:rsidRPr="009A1C8E">
        <w:t>Use of seed funding or grants for types of service provision identified as thin markets.</w:t>
      </w:r>
    </w:p>
    <w:p w:rsidR="008B18D4" w:rsidRPr="009A1C8E" w:rsidRDefault="008B18D4" w:rsidP="00830706">
      <w:pPr>
        <w:pStyle w:val="Heading2"/>
      </w:pPr>
      <w:bookmarkStart w:id="46" w:name="_Toc7614951"/>
      <w:r w:rsidRPr="009A1C8E">
        <w:t>5.2 Provider financial viability</w:t>
      </w:r>
      <w:bookmarkEnd w:id="46"/>
    </w:p>
    <w:p w:rsidR="008B18D4" w:rsidRPr="009A1C8E" w:rsidRDefault="008B18D4" w:rsidP="00A14F68">
      <w:pPr>
        <w:spacing w:before="120" w:after="120" w:line="276" w:lineRule="auto"/>
      </w:pPr>
      <w:r w:rsidRPr="009A1C8E">
        <w:t xml:space="preserve">The </w:t>
      </w:r>
      <w:r w:rsidR="00455302" w:rsidRPr="009A1C8E">
        <w:rPr>
          <w:b/>
        </w:rPr>
        <w:t>fragile</w:t>
      </w:r>
      <w:r w:rsidR="00455302" w:rsidRPr="009A1C8E">
        <w:t xml:space="preserve"> </w:t>
      </w:r>
      <w:r w:rsidRPr="009A1C8E">
        <w:rPr>
          <w:b/>
        </w:rPr>
        <w:t xml:space="preserve">financial </w:t>
      </w:r>
      <w:r w:rsidR="00455302" w:rsidRPr="009A1C8E">
        <w:rPr>
          <w:b/>
        </w:rPr>
        <w:t>position</w:t>
      </w:r>
      <w:r w:rsidR="006278AA" w:rsidRPr="009A1C8E">
        <w:rPr>
          <w:b/>
        </w:rPr>
        <w:t xml:space="preserve"> </w:t>
      </w:r>
      <w:r w:rsidRPr="009A1C8E">
        <w:rPr>
          <w:b/>
        </w:rPr>
        <w:t>of disability service providers</w:t>
      </w:r>
      <w:r w:rsidRPr="009A1C8E">
        <w:t xml:space="preserve"> is a real threat to the success of the NDIS. This analysis shows that across Victoria:</w:t>
      </w:r>
    </w:p>
    <w:p w:rsidR="008B18D4" w:rsidRPr="009A1C8E" w:rsidRDefault="008B18D4" w:rsidP="00A14F68">
      <w:pPr>
        <w:pStyle w:val="ListParagraph"/>
        <w:numPr>
          <w:ilvl w:val="0"/>
          <w:numId w:val="12"/>
        </w:numPr>
        <w:spacing w:before="120" w:after="120" w:line="276" w:lineRule="auto"/>
      </w:pPr>
      <w:r w:rsidRPr="009A1C8E">
        <w:t>Only 46% of providers made a surplus in the financial year ending 30 June 2018;</w:t>
      </w:r>
    </w:p>
    <w:p w:rsidR="008B18D4" w:rsidRPr="009A1C8E" w:rsidRDefault="008B18D4" w:rsidP="00A14F68">
      <w:pPr>
        <w:pStyle w:val="ListParagraph"/>
        <w:numPr>
          <w:ilvl w:val="0"/>
          <w:numId w:val="12"/>
        </w:numPr>
        <w:spacing w:before="120" w:after="120" w:line="276" w:lineRule="auto"/>
      </w:pPr>
      <w:r w:rsidRPr="009A1C8E">
        <w:t>In this current financial year, even fewer providers expect to make a profit (43%);</w:t>
      </w:r>
    </w:p>
    <w:p w:rsidR="008B18D4" w:rsidRPr="009A1C8E" w:rsidRDefault="008B18D4" w:rsidP="00A14F68">
      <w:pPr>
        <w:pStyle w:val="ListParagraph"/>
        <w:numPr>
          <w:ilvl w:val="0"/>
          <w:numId w:val="12"/>
        </w:numPr>
        <w:spacing w:before="120" w:after="120" w:line="276" w:lineRule="auto"/>
      </w:pPr>
      <w:r w:rsidRPr="009A1C8E">
        <w:t>37% expect labour costs to grow faster than the growth in service volumes; and</w:t>
      </w:r>
    </w:p>
    <w:p w:rsidR="008B18D4" w:rsidRPr="009A1C8E" w:rsidRDefault="008B18D4" w:rsidP="00A14F68">
      <w:pPr>
        <w:pStyle w:val="ListParagraph"/>
        <w:numPr>
          <w:ilvl w:val="0"/>
          <w:numId w:val="12"/>
        </w:numPr>
        <w:spacing w:before="120" w:after="120" w:line="276" w:lineRule="auto"/>
      </w:pPr>
      <w:r w:rsidRPr="009A1C8E">
        <w:t>Over half (52%) expect administration expenses will grow faster than growth in service volumes.</w:t>
      </w:r>
    </w:p>
    <w:p w:rsidR="008B18D4" w:rsidRPr="009A1C8E" w:rsidRDefault="008B18D4" w:rsidP="00A14F68">
      <w:pPr>
        <w:spacing w:before="120" w:after="120" w:line="276" w:lineRule="auto"/>
      </w:pPr>
      <w:r w:rsidRPr="009A1C8E">
        <w:t xml:space="preserve">While just under half of providers either made or expect to make a surplus, this needs to be considered in light of the delayed roll out. </w:t>
      </w:r>
      <w:r w:rsidRPr="009A1C8E">
        <w:rPr>
          <w:color w:val="000000" w:themeColor="text1"/>
        </w:rPr>
        <w:t xml:space="preserve">The phasing of transition did not meet the bilateral agreement, and therefore </w:t>
      </w:r>
      <w:r w:rsidRPr="009A1C8E">
        <w:rPr>
          <w:b/>
          <w:color w:val="000000" w:themeColor="text1"/>
        </w:rPr>
        <w:t>providers making a profit were still likely to be in receipt of State Government block funding</w:t>
      </w:r>
      <w:r w:rsidRPr="009A1C8E">
        <w:rPr>
          <w:color w:val="000000" w:themeColor="text1"/>
        </w:rPr>
        <w:t xml:space="preserve">. As discussed in the context of pricing, financial stress hampers providers’ ability </w:t>
      </w:r>
      <w:r w:rsidRPr="009A1C8E">
        <w:t>to deliver quality services and develop their workforce, thus further increases the likelihood of ‘cherry picking’ clients and services. With financial factors cited as the main reason organisations had discussed closing, these results illustrate serious risks that providers will wind-up if current trends persist.</w:t>
      </w:r>
    </w:p>
    <w:p w:rsidR="008B18D4" w:rsidRPr="009A1C8E" w:rsidRDefault="008B18D4" w:rsidP="00A14F68">
      <w:pPr>
        <w:spacing w:before="120" w:after="120" w:line="276" w:lineRule="auto"/>
      </w:pPr>
      <w:r w:rsidRPr="009A1C8E">
        <w:t xml:space="preserve">Provider financial results are also negatively affected by inefficient and flawed NDIA processes and systems, and frequent changes to procedures, which drive </w:t>
      </w:r>
      <w:r w:rsidRPr="009A1C8E">
        <w:rPr>
          <w:b/>
        </w:rPr>
        <w:t xml:space="preserve">an </w:t>
      </w:r>
      <w:r w:rsidRPr="009A1C8E">
        <w:rPr>
          <w:b/>
        </w:rPr>
        <w:lastRenderedPageBreak/>
        <w:t>increasing administrative burden</w:t>
      </w:r>
      <w:r w:rsidRPr="009A1C8E">
        <w:t xml:space="preserve"> for providers. At the provider level, back-office functions are not funded, leaving providers unable to invest in </w:t>
      </w:r>
      <w:r w:rsidR="005A0060" w:rsidRPr="009A1C8E">
        <w:t>i</w:t>
      </w:r>
      <w:r w:rsidR="003E3CDB" w:rsidRPr="009A1C8E">
        <w:t xml:space="preserve">nformation and </w:t>
      </w:r>
      <w:r w:rsidR="005A0060" w:rsidRPr="009A1C8E">
        <w:t>c</w:t>
      </w:r>
      <w:r w:rsidR="003E3CDB" w:rsidRPr="009A1C8E">
        <w:t xml:space="preserve">ommunications </w:t>
      </w:r>
      <w:r w:rsidR="005A0060" w:rsidRPr="009A1C8E">
        <w:t>t</w:t>
      </w:r>
      <w:r w:rsidR="003E3CDB" w:rsidRPr="009A1C8E">
        <w:t>echnology (</w:t>
      </w:r>
      <w:r w:rsidRPr="009A1C8E">
        <w:t>ICT</w:t>
      </w:r>
      <w:r w:rsidR="003E3CDB" w:rsidRPr="009A1C8E">
        <w:t>)</w:t>
      </w:r>
      <w:r w:rsidRPr="009A1C8E">
        <w:t xml:space="preserve"> capability to automate business processes and reduce administrative errors. Similarly, the slight increase in borrowings to acquire or build assets may reflect the withdrawal of State Government grants for buildings and fleet purchases under the NDIS. Finally, NDIS pricing and the unfunded costs of corporate/back-office functions curtail providers’ ability to invest in innovation and growth, further limiting their ability to be sustainable post NDIS implementation. NDS recommends reviewing and removing unnecessary NDIA red tape as an essential step towards getting the NDIS on track </w:t>
      </w:r>
      <w:r w:rsidR="002D37DC" w:rsidRPr="009A1C8E">
        <w:fldChar w:fldCharType="begin"/>
      </w:r>
      <w:r w:rsidR="004C3D69" w:rsidRPr="009A1C8E">
        <w:instrText xml:space="preserve"> ADDIN EN.CITE &lt;EndNote&gt;&lt;Cite&gt;&lt;Author&gt;National Disability Services&lt;/Author&gt;&lt;Year&gt;2019&lt;/Year&gt;&lt;RecNum&gt;272&lt;/RecNum&gt;&lt;DisplayText&gt;(24)&lt;/DisplayText&gt;&lt;record&gt;&lt;rec-number&gt;272&lt;/rec-number&gt;&lt;foreign-keys&gt;&lt;key app="EN" db-id="dtafe02tlezsd7ef59c5s9fdse5ze52xw2ta" timestamp="1554379536"&gt;272&lt;/key&gt;&lt;/foreign-keys&gt;&lt;ref-type name="Report"&gt;27&lt;/ref-type&gt;&lt;contributors&gt;&lt;authors&gt;&lt;author&gt;National Disability Services,&lt;/author&gt;&lt;/authors&gt;&lt;/contributors&gt;&lt;titles&gt;&lt;title&gt;Deliver the Promise: Get the NDIS on Track NDS Election Platform&lt;/title&gt;&lt;/titles&gt;&lt;dates&gt;&lt;year&gt;2019&lt;/year&gt;&lt;/dates&gt;&lt;urls&gt;&lt;/urls&gt;&lt;/record&gt;&lt;/Cite&gt;&lt;/EndNote&gt;</w:instrText>
      </w:r>
      <w:r w:rsidR="002D37DC" w:rsidRPr="009A1C8E">
        <w:fldChar w:fldCharType="separate"/>
      </w:r>
      <w:r w:rsidR="004C3D69" w:rsidRPr="009A1C8E">
        <w:rPr>
          <w:noProof/>
        </w:rPr>
        <w:t>(24)</w:t>
      </w:r>
      <w:r w:rsidR="002D37DC" w:rsidRPr="009A1C8E">
        <w:fldChar w:fldCharType="end"/>
      </w:r>
      <w:r w:rsidRPr="009A1C8E">
        <w:t>.</w:t>
      </w:r>
    </w:p>
    <w:p w:rsidR="008B18D4" w:rsidRPr="009A1C8E" w:rsidRDefault="008B18D4" w:rsidP="00A14F68">
      <w:pPr>
        <w:spacing w:before="120" w:after="120" w:line="276" w:lineRule="auto"/>
      </w:pPr>
      <w:r w:rsidRPr="009A1C8E">
        <w:t xml:space="preserve">These findings also clearly point to </w:t>
      </w:r>
      <w:r w:rsidRPr="009A1C8E">
        <w:rPr>
          <w:b/>
        </w:rPr>
        <w:t>greater risks materialising for regional providers</w:t>
      </w:r>
      <w:r w:rsidRPr="009A1C8E">
        <w:t xml:space="preserve"> – who, compared with </w:t>
      </w:r>
      <w:r w:rsidR="00541632" w:rsidRPr="009A1C8E">
        <w:t>metro</w:t>
      </w:r>
      <w:r w:rsidRPr="009A1C8E">
        <w:t xml:space="preserve"> and state-wide organisations, are more likely to:</w:t>
      </w:r>
    </w:p>
    <w:p w:rsidR="008B18D4" w:rsidRPr="009A1C8E" w:rsidRDefault="008B18D4" w:rsidP="00A14F68">
      <w:pPr>
        <w:pStyle w:val="ListParagraph"/>
        <w:numPr>
          <w:ilvl w:val="0"/>
          <w:numId w:val="13"/>
        </w:numPr>
        <w:spacing w:before="120" w:after="120" w:line="276" w:lineRule="auto"/>
      </w:pPr>
      <w:r w:rsidRPr="009A1C8E">
        <w:t>Have made a loss in the last financial year (ending 30 June 2018);</w:t>
      </w:r>
    </w:p>
    <w:p w:rsidR="008B18D4" w:rsidRPr="009A1C8E" w:rsidRDefault="008B18D4" w:rsidP="00A14F68">
      <w:pPr>
        <w:pStyle w:val="ListParagraph"/>
        <w:numPr>
          <w:ilvl w:val="0"/>
          <w:numId w:val="13"/>
        </w:numPr>
        <w:spacing w:before="120" w:after="120" w:line="276" w:lineRule="auto"/>
      </w:pPr>
      <w:r w:rsidRPr="009A1C8E">
        <w:t>Expect a loss in this current financial year (ending 30 June 2019);</w:t>
      </w:r>
    </w:p>
    <w:p w:rsidR="008B18D4" w:rsidRPr="009A1C8E" w:rsidRDefault="008B18D4" w:rsidP="00A14F68">
      <w:pPr>
        <w:pStyle w:val="ListParagraph"/>
        <w:numPr>
          <w:ilvl w:val="0"/>
          <w:numId w:val="13"/>
        </w:numPr>
        <w:spacing w:before="120" w:after="120" w:line="276" w:lineRule="auto"/>
      </w:pPr>
      <w:r w:rsidRPr="009A1C8E">
        <w:t>Expect a reduction in financial reserves;</w:t>
      </w:r>
    </w:p>
    <w:p w:rsidR="008B18D4" w:rsidRPr="009A1C8E" w:rsidRDefault="008B18D4" w:rsidP="00A14F68">
      <w:pPr>
        <w:pStyle w:val="ListParagraph"/>
        <w:numPr>
          <w:ilvl w:val="0"/>
          <w:numId w:val="13"/>
        </w:numPr>
        <w:spacing w:before="120" w:after="120" w:line="276" w:lineRule="auto"/>
      </w:pPr>
      <w:r w:rsidRPr="009A1C8E">
        <w:t>Expect a negative change in working capital;</w:t>
      </w:r>
    </w:p>
    <w:p w:rsidR="008B18D4" w:rsidRPr="009A1C8E" w:rsidRDefault="008B18D4" w:rsidP="00A14F68">
      <w:pPr>
        <w:pStyle w:val="ListParagraph"/>
        <w:numPr>
          <w:ilvl w:val="0"/>
          <w:numId w:val="13"/>
        </w:numPr>
        <w:spacing w:before="120" w:after="120" w:line="276" w:lineRule="auto"/>
      </w:pPr>
      <w:r w:rsidRPr="009A1C8E">
        <w:t>Expect greater increases in borrowings to acquire or build assets; and/or</w:t>
      </w:r>
    </w:p>
    <w:p w:rsidR="008B18D4" w:rsidRPr="009A1C8E" w:rsidRDefault="008B18D4" w:rsidP="00A14F68">
      <w:pPr>
        <w:pStyle w:val="ListParagraph"/>
        <w:numPr>
          <w:ilvl w:val="0"/>
          <w:numId w:val="13"/>
        </w:numPr>
        <w:spacing w:before="120" w:after="120" w:line="276" w:lineRule="auto"/>
      </w:pPr>
      <w:r w:rsidRPr="009A1C8E">
        <w:t>Expect that labour and administration costs will grow faster than service volumes.</w:t>
      </w:r>
    </w:p>
    <w:p w:rsidR="008B18D4" w:rsidRPr="009A1C8E" w:rsidRDefault="008B18D4" w:rsidP="00A14F68">
      <w:pPr>
        <w:spacing w:before="120" w:after="120" w:line="276" w:lineRule="auto"/>
      </w:pPr>
      <w:r w:rsidRPr="009A1C8E">
        <w:t>While we do not have a complete picture of each individual organisation’s financial situation and intentions, the data analysed suggests that regional organisations may:</w:t>
      </w:r>
    </w:p>
    <w:p w:rsidR="008B18D4" w:rsidRPr="009A1C8E" w:rsidRDefault="008B18D4" w:rsidP="00A14F68">
      <w:pPr>
        <w:pStyle w:val="ListParagraph"/>
        <w:numPr>
          <w:ilvl w:val="0"/>
          <w:numId w:val="14"/>
        </w:numPr>
        <w:spacing w:before="120" w:after="120" w:line="276" w:lineRule="auto"/>
      </w:pPr>
      <w:r w:rsidRPr="009A1C8E">
        <w:t>Draw on their reserves to remain viable (however it is not known what these reserves are being used for);</w:t>
      </w:r>
    </w:p>
    <w:p w:rsidR="008B18D4" w:rsidRPr="009A1C8E" w:rsidRDefault="008B18D4" w:rsidP="00A14F68">
      <w:pPr>
        <w:pStyle w:val="ListParagraph"/>
        <w:numPr>
          <w:ilvl w:val="0"/>
          <w:numId w:val="14"/>
        </w:numPr>
        <w:spacing w:before="120" w:after="120" w:line="276" w:lineRule="auto"/>
      </w:pPr>
      <w:r w:rsidRPr="009A1C8E">
        <w:t>Be at risk of trading insolvent, with negative changes in working capital suggesting they are less likely to fully cover short-term liabilities; and</w:t>
      </w:r>
    </w:p>
    <w:p w:rsidR="008B18D4" w:rsidRPr="009A1C8E" w:rsidRDefault="008B18D4" w:rsidP="00A14F68">
      <w:pPr>
        <w:pStyle w:val="ListParagraph"/>
        <w:numPr>
          <w:ilvl w:val="0"/>
          <w:numId w:val="14"/>
        </w:numPr>
        <w:spacing w:before="120" w:after="120" w:line="276" w:lineRule="auto"/>
      </w:pPr>
      <w:r w:rsidRPr="009A1C8E">
        <w:t>Be unable to acquire or build assets from their profits alone.</w:t>
      </w:r>
    </w:p>
    <w:p w:rsidR="008B18D4" w:rsidRPr="009A1C8E" w:rsidRDefault="008B18D4" w:rsidP="00A14F68">
      <w:pPr>
        <w:spacing w:before="120" w:after="120" w:line="276" w:lineRule="auto"/>
      </w:pPr>
      <w:r w:rsidRPr="009A1C8E">
        <w:t xml:space="preserve">Regional organisations face unique challenges, which may be driving these distinctly increased risks. Firstly, profit and loss results may be impacted by the difficulty </w:t>
      </w:r>
      <w:r w:rsidRPr="009A1C8E">
        <w:rPr>
          <w:color w:val="000000" w:themeColor="text1"/>
        </w:rPr>
        <w:t xml:space="preserve">in attracting new clients across large distances and a compounding effect of lean NDIS travel and transport </w:t>
      </w:r>
      <w:r w:rsidRPr="009A1C8E">
        <w:t>prices. Secondly, labour and administration expenses are likely to be driven by scale and geographic density.</w:t>
      </w:r>
    </w:p>
    <w:p w:rsidR="008B18D4" w:rsidRPr="009A1C8E" w:rsidRDefault="008B18D4" w:rsidP="00A14F68">
      <w:pPr>
        <w:spacing w:before="120" w:after="120" w:line="276" w:lineRule="auto"/>
      </w:pPr>
      <w:r w:rsidRPr="009A1C8E">
        <w:t xml:space="preserve">While it appears that all organisations need access to </w:t>
      </w:r>
      <w:r w:rsidRPr="009A1C8E">
        <w:rPr>
          <w:b/>
        </w:rPr>
        <w:t>some form of practical support with financial management, a specific focus is needed on regional organisations</w:t>
      </w:r>
      <w:r w:rsidRPr="009A1C8E">
        <w:t xml:space="preserve"> to enhance their financial viability and sustainability. Regional organisations recognise they need to improve capabilities in costing and pricing</w:t>
      </w:r>
      <w:r w:rsidR="00217C9B" w:rsidRPr="009A1C8E">
        <w:t>,</w:t>
      </w:r>
      <w:r w:rsidRPr="009A1C8E">
        <w:t xml:space="preserve"> and financial processes and controls. Tailored business support through the DSS</w:t>
      </w:r>
      <w:r w:rsidR="00F05CEB" w:rsidRPr="009A1C8E">
        <w:t>’</w:t>
      </w:r>
      <w:r w:rsidRPr="009A1C8E">
        <w:t xml:space="preserve"> Boosting the Local Care </w:t>
      </w:r>
      <w:r w:rsidRPr="009A1C8E">
        <w:lastRenderedPageBreak/>
        <w:t xml:space="preserve">Workforce Program </w:t>
      </w:r>
      <w:r w:rsidR="00F05CEB" w:rsidRPr="009A1C8E">
        <w:t>–</w:t>
      </w:r>
      <w:r w:rsidRPr="009A1C8E">
        <w:t xml:space="preserve"> Transition Assistance Funding is a positive step, enabling providers to purchase professional services (such as business advice and software upgrades) to grow their business and workforce capability </w:t>
      </w:r>
      <w:r w:rsidR="002D37DC" w:rsidRPr="009A1C8E">
        <w:fldChar w:fldCharType="begin"/>
      </w:r>
      <w:r w:rsidR="005D588A" w:rsidRPr="009A1C8E">
        <w:instrText xml:space="preserve"> ADDIN EN.CITE &lt;EndNote&gt;&lt;Cite&gt;&lt;Author&gt;Commonwealth Department of Social Services&lt;/Author&gt;&lt;Year&gt;2019&lt;/Year&gt;&lt;RecNum&gt;266&lt;/RecNum&gt;&lt;DisplayText&gt;(7)&lt;/DisplayText&gt;&lt;record&gt;&lt;rec-number&gt;266&lt;/rec-number&gt;&lt;foreign-keys&gt;&lt;key app="EN" db-id="dtafe02tlezsd7ef59c5s9fdse5ze52xw2ta" timestamp="1554377722"&gt;266&lt;/key&gt;&lt;/foreign-keys&gt;&lt;ref-type name="Report"&gt;27&lt;/ref-type&gt;&lt;contributors&gt;&lt;authors&gt;&lt;author&gt;Commonwealth Department of Social Services,&lt;/author&gt;&lt;/authors&gt;&lt;/contributors&gt;&lt;titles&gt;&lt;title&gt;Growing the NDIS Market and Workforce&lt;/title&gt;&lt;/titles&gt;&lt;dates&gt;&lt;year&gt;2019&lt;/year&gt;&lt;/dates&gt;&lt;urls&gt;&lt;/urls&gt;&lt;/record&gt;&lt;/Cite&gt;&lt;/EndNote&gt;</w:instrText>
      </w:r>
      <w:r w:rsidR="002D37DC" w:rsidRPr="009A1C8E">
        <w:fldChar w:fldCharType="separate"/>
      </w:r>
      <w:r w:rsidR="005D588A" w:rsidRPr="009A1C8E">
        <w:rPr>
          <w:noProof/>
        </w:rPr>
        <w:t>(7)</w:t>
      </w:r>
      <w:r w:rsidR="002D37DC" w:rsidRPr="009A1C8E">
        <w:fldChar w:fldCharType="end"/>
      </w:r>
      <w:r w:rsidRPr="009A1C8E">
        <w:t>. However, further sector development support must also focus on supporting providers to drive operational productivity and back</w:t>
      </w:r>
      <w:r w:rsidRPr="009A1C8E">
        <w:noBreakHyphen/>
      </w:r>
      <w:proofErr w:type="spellStart"/>
      <w:r w:rsidRPr="009A1C8E">
        <w:t>office</w:t>
      </w:r>
      <w:proofErr w:type="spellEnd"/>
      <w:r w:rsidRPr="009A1C8E">
        <w:t xml:space="preserve"> efficiency to help manage costs and reduce corporate overheads, particularly prioritising regional and smaller organisations.</w:t>
      </w:r>
    </w:p>
    <w:p w:rsidR="008B18D4" w:rsidRPr="009A1C8E" w:rsidRDefault="008B18D4" w:rsidP="00830706">
      <w:pPr>
        <w:pStyle w:val="Heading2"/>
      </w:pPr>
      <w:bookmarkStart w:id="47" w:name="_Toc7614952"/>
      <w:r w:rsidRPr="009A1C8E">
        <w:t>5.3 Workforce sustainability challenges</w:t>
      </w:r>
      <w:bookmarkEnd w:id="47"/>
    </w:p>
    <w:p w:rsidR="008B18D4" w:rsidRPr="009A1C8E" w:rsidRDefault="008B18D4" w:rsidP="00A14F68">
      <w:pPr>
        <w:spacing w:before="120" w:after="120" w:line="276" w:lineRule="auto"/>
      </w:pPr>
      <w:r w:rsidRPr="009A1C8E">
        <w:t>Providers with a stable workforce that delivers high-quality, customer-</w:t>
      </w:r>
      <w:r w:rsidR="0053533A" w:rsidRPr="009A1C8E">
        <w:t>focussed</w:t>
      </w:r>
      <w:r w:rsidRPr="009A1C8E">
        <w:t xml:space="preserve"> services will have a competitive advantage under the NDIS. Current data however suggests that </w:t>
      </w:r>
      <w:r w:rsidRPr="009A1C8E">
        <w:rPr>
          <w:b/>
        </w:rPr>
        <w:t>a stable and sufficient disability workforce is yet to be achieved</w:t>
      </w:r>
      <w:r w:rsidRPr="009A1C8E">
        <w:t>, with clear supply and sustainability risks materialising as a result of:</w:t>
      </w:r>
    </w:p>
    <w:p w:rsidR="008B18D4" w:rsidRPr="009A1C8E" w:rsidRDefault="008B18D4" w:rsidP="00A14F68">
      <w:pPr>
        <w:pStyle w:val="ListParagraph"/>
        <w:numPr>
          <w:ilvl w:val="0"/>
          <w:numId w:val="15"/>
        </w:numPr>
        <w:spacing w:before="120" w:after="120" w:line="276" w:lineRule="auto"/>
      </w:pPr>
      <w:r w:rsidRPr="009A1C8E">
        <w:t>A largely aging workforce (</w:t>
      </w:r>
      <w:r w:rsidR="00636097" w:rsidRPr="009A1C8E">
        <w:t xml:space="preserve">nationally </w:t>
      </w:r>
      <w:r w:rsidRPr="009A1C8E">
        <w:t>45% aged 45 years and above);</w:t>
      </w:r>
    </w:p>
    <w:p w:rsidR="008B18D4" w:rsidRPr="009A1C8E" w:rsidRDefault="008B18D4" w:rsidP="00A14F68">
      <w:pPr>
        <w:pStyle w:val="ListParagraph"/>
        <w:numPr>
          <w:ilvl w:val="0"/>
          <w:numId w:val="15"/>
        </w:numPr>
        <w:spacing w:before="120" w:after="120" w:line="276" w:lineRule="auto"/>
      </w:pPr>
      <w:r w:rsidRPr="009A1C8E">
        <w:t>A predominately casual workforce (4</w:t>
      </w:r>
      <w:r w:rsidR="00636097" w:rsidRPr="009A1C8E">
        <w:t>3</w:t>
      </w:r>
      <w:r w:rsidRPr="009A1C8E">
        <w:t>%</w:t>
      </w:r>
      <w:r w:rsidR="00636097" w:rsidRPr="009A1C8E">
        <w:t xml:space="preserve"> in Victoria and nationally</w:t>
      </w:r>
      <w:r w:rsidRPr="009A1C8E">
        <w:t>); and</w:t>
      </w:r>
    </w:p>
    <w:p w:rsidR="008B18D4" w:rsidRPr="009A1C8E" w:rsidRDefault="008B18D4" w:rsidP="00A14F68">
      <w:pPr>
        <w:pStyle w:val="ListParagraph"/>
        <w:numPr>
          <w:ilvl w:val="0"/>
          <w:numId w:val="15"/>
        </w:numPr>
        <w:spacing w:before="120" w:after="120" w:line="276" w:lineRule="auto"/>
      </w:pPr>
      <w:r w:rsidRPr="009A1C8E">
        <w:t>High turnover rates of casual staff (7%</w:t>
      </w:r>
      <w:r w:rsidR="00636097" w:rsidRPr="009A1C8E">
        <w:t xml:space="preserve"> in Victoria and nationally</w:t>
      </w:r>
      <w:r w:rsidRPr="009A1C8E">
        <w:t>).</w:t>
      </w:r>
    </w:p>
    <w:p w:rsidR="008B18D4" w:rsidRPr="009A1C8E" w:rsidRDefault="008B18D4" w:rsidP="00A14F68">
      <w:pPr>
        <w:spacing w:before="120" w:after="120" w:line="276" w:lineRule="auto"/>
        <w:rPr>
          <w:color w:val="000000" w:themeColor="text1"/>
        </w:rPr>
      </w:pPr>
      <w:r w:rsidRPr="009A1C8E">
        <w:rPr>
          <w:b/>
        </w:rPr>
        <w:t>The disability workforce is older than the national average</w:t>
      </w:r>
      <w:r w:rsidR="00217C9B" w:rsidRPr="009A1C8E">
        <w:rPr>
          <w:b/>
        </w:rPr>
        <w:t xml:space="preserve"> </w:t>
      </w:r>
      <w:r w:rsidR="00FA1E59" w:rsidRPr="009A1C8E">
        <w:t>–</w:t>
      </w:r>
      <w:r w:rsidRPr="009A1C8E">
        <w:t xml:space="preserve"> 3</w:t>
      </w:r>
      <w:r w:rsidR="008031DC" w:rsidRPr="009A1C8E">
        <w:t>4</w:t>
      </w:r>
      <w:r w:rsidRPr="009A1C8E">
        <w:t xml:space="preserve">% of the Australian labour force is aged </w:t>
      </w:r>
      <w:r w:rsidR="00D00B11" w:rsidRPr="009A1C8E">
        <w:t xml:space="preserve">over </w:t>
      </w:r>
      <w:r w:rsidRPr="009A1C8E">
        <w:t>45 years</w:t>
      </w:r>
      <w:r w:rsidR="00D00B11" w:rsidRPr="009A1C8E">
        <w:t xml:space="preserve"> </w:t>
      </w:r>
      <w:r w:rsidR="002D37DC" w:rsidRPr="009A1C8E">
        <w:fldChar w:fldCharType="begin"/>
      </w:r>
      <w:r w:rsidR="00AD1823" w:rsidRPr="009A1C8E">
        <w:instrText xml:space="preserve"> ADDIN EN.CITE &lt;EndNote&gt;&lt;Cite&gt;&lt;Author&gt;National Disability Services&lt;/Author&gt;&lt;RecNum&gt;273&lt;/RecNum&gt;&lt;DisplayText&gt;(25)&lt;/DisplayText&gt;&lt;record&gt;&lt;rec-number&gt;273&lt;/rec-number&gt;&lt;foreign-keys&gt;&lt;key app="EN" db-id="dtafe02tlezsd7ef59c5s9fdse5ze52xw2ta" timestamp="1554379941"&gt;273&lt;/key&gt;&lt;/foreign-keys&gt;&lt;ref-type name="Report"&gt;27&lt;/ref-type&gt;&lt;contributors&gt;&lt;authors&gt;&lt;author&gt;National Disability Services,&lt;/author&gt;&lt;/authors&gt;&lt;/contributors&gt;&lt;titles&gt;&lt;title&gt;Australian Disability Workforce Report July 2018&lt;/title&gt;&lt;/titles&gt;&lt;dates&gt;&lt;/dates&gt;&lt;urls&gt;&lt;/urls&gt;&lt;/record&gt;&lt;/Cite&gt;&lt;/EndNote&gt;</w:instrText>
      </w:r>
      <w:r w:rsidR="002D37DC" w:rsidRPr="009A1C8E">
        <w:fldChar w:fldCharType="separate"/>
      </w:r>
      <w:r w:rsidR="004C3D69" w:rsidRPr="009A1C8E">
        <w:rPr>
          <w:noProof/>
        </w:rPr>
        <w:t>(25)</w:t>
      </w:r>
      <w:r w:rsidR="002D37DC" w:rsidRPr="009A1C8E">
        <w:fldChar w:fldCharType="end"/>
      </w:r>
      <w:r w:rsidR="0080203A" w:rsidRPr="009A1C8E">
        <w:t>, compare</w:t>
      </w:r>
      <w:r w:rsidRPr="009A1C8E">
        <w:t xml:space="preserve">d with 45% </w:t>
      </w:r>
      <w:r w:rsidR="0080203A" w:rsidRPr="009A1C8E">
        <w:t xml:space="preserve">aged 45 years or above </w:t>
      </w:r>
      <w:r w:rsidRPr="009A1C8E">
        <w:t>in the disability sector. In Australia, 46% of women retirees had retired from the labour force by the age of 55</w:t>
      </w:r>
      <w:r w:rsidR="00D1017D" w:rsidRPr="009A1C8E">
        <w:t xml:space="preserve"> </w:t>
      </w:r>
      <w:r w:rsidR="002D37DC" w:rsidRPr="009A1C8E">
        <w:fldChar w:fldCharType="begin"/>
      </w:r>
      <w:r w:rsidR="004C3D69" w:rsidRPr="009A1C8E">
        <w:instrText xml:space="preserve"> ADDIN EN.CITE &lt;EndNote&gt;&lt;Cite&gt;&lt;Author&gt;Australian Bureau of Statistics&lt;/Author&gt;&lt;Year&gt;2017&lt;/Year&gt;&lt;RecNum&gt;274&lt;/RecNum&gt;&lt;DisplayText&gt;(26)&lt;/DisplayText&gt;&lt;record&gt;&lt;rec-number&gt;274&lt;/rec-number&gt;&lt;foreign-keys&gt;&lt;key app="EN" db-id="dtafe02tlezsd7ef59c5s9fdse5ze52xw2ta" timestamp="1554380225"&gt;274&lt;/key&gt;&lt;/foreign-keys&gt;&lt;ref-type name="Catalog"&gt;8&lt;/ref-type&gt;&lt;contributors&gt;&lt;authors&gt;&lt;author&gt;Australian Bureau of Statistics,&lt;/author&gt;&lt;/authors&gt;&lt;/contributors&gt;&lt;titles&gt;&lt;title&gt;Retirement and Retirement Intentions - 6238.0&lt;/title&gt;&lt;/titles&gt;&lt;dates&gt;&lt;year&gt;2017&lt;/year&gt;&lt;/dates&gt;&lt;urls&gt;&lt;/urls&gt;&lt;/record&gt;&lt;/Cite&gt;&lt;/EndNote&gt;</w:instrText>
      </w:r>
      <w:r w:rsidR="002D37DC" w:rsidRPr="009A1C8E">
        <w:fldChar w:fldCharType="separate"/>
      </w:r>
      <w:r w:rsidR="004C3D69" w:rsidRPr="009A1C8E">
        <w:rPr>
          <w:noProof/>
        </w:rPr>
        <w:t>(26)</w:t>
      </w:r>
      <w:r w:rsidR="002D37DC" w:rsidRPr="009A1C8E">
        <w:fldChar w:fldCharType="end"/>
      </w:r>
      <w:r w:rsidR="00FA1E59" w:rsidRPr="009A1C8E">
        <w:t>.</w:t>
      </w:r>
      <w:r w:rsidRPr="009A1C8E">
        <w:t xml:space="preserve"> </w:t>
      </w:r>
      <w:r w:rsidR="00FA1E59" w:rsidRPr="009A1C8E">
        <w:t>A</w:t>
      </w:r>
      <w:r w:rsidRPr="009A1C8E">
        <w:t xml:space="preserve"> significant proportion of the disability sector’s workforce is therefore close to retirement. During this critical period of NDIS transition and market development, losing long-term, committed staff and expertise will negatively impact organisations. A projected </w:t>
      </w:r>
      <w:r w:rsidRPr="009A1C8E">
        <w:rPr>
          <w:color w:val="000000" w:themeColor="text1"/>
        </w:rPr>
        <w:t xml:space="preserve">18% growth in full-time equivalent (FTE) workers is required to meet the needs of NDIS participants </w:t>
      </w:r>
      <w:r w:rsidR="002D37DC" w:rsidRPr="009A1C8E">
        <w:rPr>
          <w:color w:val="000000" w:themeColor="text1"/>
        </w:rPr>
        <w:fldChar w:fldCharType="begin"/>
      </w:r>
      <w:r w:rsidR="00905905" w:rsidRPr="009A1C8E">
        <w:rPr>
          <w:color w:val="000000" w:themeColor="text1"/>
        </w:rPr>
        <w:instrText xml:space="preserve"> ADDIN EN.CITE &lt;EndNote&gt;&lt;Cite&gt;&lt;Author&gt;Productivity Commission&lt;/Author&gt;&lt;Year&gt;2017&lt;/Year&gt;&lt;RecNum&gt;254&lt;/RecNum&gt;&lt;DisplayText&gt;(4)&lt;/DisplayText&gt;&lt;record&gt;&lt;rec-number&gt;254&lt;/rec-number&gt;&lt;foreign-keys&gt;&lt;key app="EN" db-id="dtafe02tlezsd7ef59c5s9fdse5ze52xw2ta" timestamp="1554298100"&gt;254&lt;/key&gt;&lt;/foreign-keys&gt;&lt;ref-type name="Report"&gt;27&lt;/ref-type&gt;&lt;contributors&gt;&lt;authors&gt;&lt;author&gt;Productivity Commission,&lt;/author&gt;&lt;/authors&gt;&lt;/contributors&gt;&lt;titles&gt;&lt;title&gt;National Disability Insurance Scheme (NDIS) Costs&lt;/title&gt;&lt;secondary-title&gt;Study report&lt;/secondary-title&gt;&lt;/titles&gt;&lt;dates&gt;&lt;year&gt;2017&lt;/year&gt;&lt;/dates&gt;&lt;publisher&gt;Canberra&lt;/publisher&gt;&lt;urls&gt;&lt;/urls&gt;&lt;/record&gt;&lt;/Cite&gt;&lt;/EndNote&gt;</w:instrText>
      </w:r>
      <w:r w:rsidR="002D37DC" w:rsidRPr="009A1C8E">
        <w:rPr>
          <w:color w:val="000000" w:themeColor="text1"/>
        </w:rPr>
        <w:fldChar w:fldCharType="separate"/>
      </w:r>
      <w:r w:rsidR="00905905" w:rsidRPr="009A1C8E">
        <w:rPr>
          <w:noProof/>
          <w:color w:val="000000" w:themeColor="text1"/>
        </w:rPr>
        <w:t>(4)</w:t>
      </w:r>
      <w:r w:rsidR="002D37DC" w:rsidRPr="009A1C8E">
        <w:rPr>
          <w:color w:val="000000" w:themeColor="text1"/>
        </w:rPr>
        <w:fldChar w:fldCharType="end"/>
      </w:r>
      <w:r w:rsidR="00603505" w:rsidRPr="009A1C8E">
        <w:rPr>
          <w:color w:val="000000" w:themeColor="text1"/>
        </w:rPr>
        <w:t xml:space="preserve">. </w:t>
      </w:r>
      <w:r w:rsidRPr="009A1C8E">
        <w:rPr>
          <w:color w:val="000000" w:themeColor="text1"/>
        </w:rPr>
        <w:t>Long-term supply</w:t>
      </w:r>
      <w:r w:rsidRPr="009A1C8E">
        <w:rPr>
          <w:color w:val="000000" w:themeColor="text1"/>
        </w:rPr>
        <w:noBreakHyphen/>
        <w:t xml:space="preserve">side investment is necessary to meet the growing local demand for workers. It is recognised that Governments are working to raise awareness of disability sector roles, improve perceptions and promote job opportunities (particularly through </w:t>
      </w:r>
      <w:r w:rsidR="00217C9B" w:rsidRPr="009A1C8E">
        <w:rPr>
          <w:color w:val="000000" w:themeColor="text1"/>
        </w:rPr>
        <w:t>v</w:t>
      </w:r>
      <w:r w:rsidRPr="009A1C8E">
        <w:rPr>
          <w:color w:val="000000" w:themeColor="text1"/>
        </w:rPr>
        <w:t>o</w:t>
      </w:r>
      <w:r w:rsidR="00217C9B" w:rsidRPr="009A1C8E">
        <w:rPr>
          <w:color w:val="000000" w:themeColor="text1"/>
        </w:rPr>
        <w:t>cational education and t</w:t>
      </w:r>
      <w:r w:rsidRPr="009A1C8E">
        <w:rPr>
          <w:color w:val="000000" w:themeColor="text1"/>
        </w:rPr>
        <w:t xml:space="preserve">raining pathways) </w:t>
      </w:r>
      <w:r w:rsidR="002D37DC" w:rsidRPr="009A1C8E">
        <w:rPr>
          <w:color w:val="000000" w:themeColor="text1"/>
        </w:rPr>
        <w:fldChar w:fldCharType="begin"/>
      </w:r>
      <w:r w:rsidR="005D588A" w:rsidRPr="009A1C8E">
        <w:rPr>
          <w:color w:val="000000" w:themeColor="text1"/>
        </w:rPr>
        <w:instrText xml:space="preserve"> ADDIN EN.CITE &lt;EndNote&gt;&lt;Cite&gt;&lt;Author&gt;Commonwealth Department of Social Services&lt;/Author&gt;&lt;Year&gt;2019&lt;/Year&gt;&lt;RecNum&gt;266&lt;/RecNum&gt;&lt;DisplayText&gt;(7)&lt;/DisplayText&gt;&lt;record&gt;&lt;rec-number&gt;266&lt;/rec-number&gt;&lt;foreign-keys&gt;&lt;key app="EN" db-id="dtafe02tlezsd7ef59c5s9fdse5ze52xw2ta" timestamp="1554377722"&gt;266&lt;/key&gt;&lt;/foreign-keys&gt;&lt;ref-type name="Report"&gt;27&lt;/ref-type&gt;&lt;contributors&gt;&lt;authors&gt;&lt;author&gt;Commonwealth Department of Social Services,&lt;/author&gt;&lt;/authors&gt;&lt;/contributors&gt;&lt;titles&gt;&lt;title&gt;Growing the NDIS Market and Workforce&lt;/title&gt;&lt;/titles&gt;&lt;dates&gt;&lt;year&gt;2019&lt;/year&gt;&lt;/dates&gt;&lt;urls&gt;&lt;/urls&gt;&lt;/record&gt;&lt;/Cite&gt;&lt;/EndNote&gt;</w:instrText>
      </w:r>
      <w:r w:rsidR="002D37DC" w:rsidRPr="009A1C8E">
        <w:rPr>
          <w:color w:val="000000" w:themeColor="text1"/>
        </w:rPr>
        <w:fldChar w:fldCharType="separate"/>
      </w:r>
      <w:r w:rsidR="005D588A" w:rsidRPr="009A1C8E">
        <w:rPr>
          <w:noProof/>
          <w:color w:val="000000" w:themeColor="text1"/>
        </w:rPr>
        <w:t>(7)</w:t>
      </w:r>
      <w:r w:rsidR="002D37DC" w:rsidRPr="009A1C8E">
        <w:rPr>
          <w:color w:val="000000" w:themeColor="text1"/>
        </w:rPr>
        <w:fldChar w:fldCharType="end"/>
      </w:r>
      <w:r w:rsidRPr="009A1C8E">
        <w:rPr>
          <w:color w:val="000000" w:themeColor="text1"/>
        </w:rPr>
        <w:t>. However, further investment could include:</w:t>
      </w:r>
    </w:p>
    <w:p w:rsidR="008B18D4" w:rsidRPr="009A1C8E" w:rsidRDefault="008B18D4" w:rsidP="00A14F68">
      <w:pPr>
        <w:pStyle w:val="ListParagraph"/>
        <w:numPr>
          <w:ilvl w:val="0"/>
          <w:numId w:val="23"/>
        </w:numPr>
        <w:spacing w:before="120" w:after="120" w:line="276" w:lineRule="auto"/>
      </w:pPr>
      <w:r w:rsidRPr="009A1C8E">
        <w:t>Government funding for university places and scholarships to attract new graduates into the sector; and</w:t>
      </w:r>
    </w:p>
    <w:p w:rsidR="008B18D4" w:rsidRPr="009A1C8E" w:rsidRDefault="008B18D4" w:rsidP="00A14F68">
      <w:pPr>
        <w:pStyle w:val="ListParagraph"/>
        <w:numPr>
          <w:ilvl w:val="0"/>
          <w:numId w:val="23"/>
        </w:numPr>
        <w:spacing w:before="120" w:after="120" w:line="276" w:lineRule="auto"/>
      </w:pPr>
      <w:r w:rsidRPr="009A1C8E">
        <w:t>Greater funding for NDS’ workforce attraction initiatives</w:t>
      </w:r>
      <w:r w:rsidR="00030F90" w:rsidRPr="009A1C8E">
        <w:t>,</w:t>
      </w:r>
      <w:r w:rsidRPr="009A1C8E">
        <w:t xml:space="preserve"> such as </w:t>
      </w:r>
      <w:proofErr w:type="spellStart"/>
      <w:r w:rsidRPr="009A1C8E">
        <w:t>projectABLE</w:t>
      </w:r>
      <w:proofErr w:type="spellEnd"/>
      <w:r w:rsidRPr="009A1C8E">
        <w:t>, to extend the reach of these successful programs.</w:t>
      </w:r>
    </w:p>
    <w:p w:rsidR="008B18D4" w:rsidRPr="009A1C8E" w:rsidRDefault="008B18D4" w:rsidP="00A14F68">
      <w:pPr>
        <w:spacing w:before="120" w:after="120" w:line="276" w:lineRule="auto"/>
      </w:pPr>
      <w:r w:rsidRPr="009A1C8E">
        <w:t xml:space="preserve">The Victorian </w:t>
      </w:r>
      <w:r w:rsidRPr="009A1C8E">
        <w:rPr>
          <w:b/>
        </w:rPr>
        <w:t>disability sector’s workforce is highly casual, with a casual turnover rate of 7%</w:t>
      </w:r>
      <w:r w:rsidRPr="009A1C8E">
        <w:t xml:space="preserve"> per quarter. This is concerning, given that 5.5% of people employed in the </w:t>
      </w:r>
      <w:r w:rsidRPr="009A1C8E">
        <w:lastRenderedPageBreak/>
        <w:t>health care and social assistance industry in February 2018 had changed employer or business in the last 12 months</w:t>
      </w:r>
      <w:r w:rsidRPr="00E116BB">
        <w:rPr>
          <w:rStyle w:val="FootnoteReference"/>
          <w:rFonts w:cs="Arial"/>
          <w:sz w:val="28"/>
        </w:rPr>
        <w:footnoteReference w:id="2"/>
      </w:r>
      <w:r w:rsidR="00BD3A50" w:rsidRPr="009A1C8E">
        <w:t xml:space="preserve"> </w:t>
      </w:r>
      <w:r w:rsidR="002D37DC" w:rsidRPr="009A1C8E">
        <w:fldChar w:fldCharType="begin"/>
      </w:r>
      <w:r w:rsidR="004C3D69" w:rsidRPr="009A1C8E">
        <w:instrText xml:space="preserve"> ADDIN EN.CITE &lt;EndNote&gt;&lt;Cite&gt;&lt;Author&gt;Australian Bureau of Statistics&lt;/Author&gt;&lt;Year&gt;2018&lt;/Year&gt;&lt;RecNum&gt;275&lt;/RecNum&gt;&lt;DisplayText&gt;(27)&lt;/DisplayText&gt;&lt;record&gt;&lt;rec-number&gt;275&lt;/rec-number&gt;&lt;foreign-keys&gt;&lt;key app="EN" db-id="dtafe02tlezsd7ef59c5s9fdse5ze52xw2ta" timestamp="1554380543"&gt;275&lt;/key&gt;&lt;/foreign-keys&gt;&lt;ref-type name="Catalog"&gt;8&lt;/ref-type&gt;&lt;contributors&gt;&lt;authors&gt;&lt;author&gt;Australian Bureau of Statistics,&lt;/author&gt;&lt;/authors&gt;&lt;/contributors&gt;&lt;titles&gt;&lt;title&gt;Participation, Job Search and Mobility - 6226.0&lt;/title&gt;&lt;/titles&gt;&lt;dates&gt;&lt;year&gt;2018&lt;/year&gt;&lt;/dates&gt;&lt;urls&gt;&lt;/urls&gt;&lt;/record&gt;&lt;/Cite&gt;&lt;/EndNote&gt;</w:instrText>
      </w:r>
      <w:r w:rsidR="002D37DC" w:rsidRPr="009A1C8E">
        <w:fldChar w:fldCharType="separate"/>
      </w:r>
      <w:r w:rsidR="004C3D69" w:rsidRPr="009A1C8E">
        <w:rPr>
          <w:noProof/>
        </w:rPr>
        <w:t>(27)</w:t>
      </w:r>
      <w:r w:rsidR="002D37DC" w:rsidRPr="009A1C8E">
        <w:fldChar w:fldCharType="end"/>
      </w:r>
      <w:r w:rsidRPr="009A1C8E">
        <w:t>. While quarterly and annual turnover rates are not exactly comparable, this is based on proportions and still provides a rough benchmark</w:t>
      </w:r>
      <w:r w:rsidRPr="009A1C8E" w:rsidDel="00766695">
        <w:t xml:space="preserve"> </w:t>
      </w:r>
      <w:r w:rsidRPr="009A1C8E">
        <w:t>– and the 4% quarterly turnover rate for permanent disability sector staff</w:t>
      </w:r>
      <w:r w:rsidR="00A432C1" w:rsidRPr="009A1C8E">
        <w:t xml:space="preserve"> in Victoria</w:t>
      </w:r>
      <w:r w:rsidRPr="009A1C8E">
        <w:t xml:space="preserve"> is considerably lower than the casual rate. High casual turnover rates have significant implications </w:t>
      </w:r>
      <w:r w:rsidR="00FA1E59" w:rsidRPr="009A1C8E">
        <w:t>for</w:t>
      </w:r>
      <w:r w:rsidRPr="009A1C8E">
        <w:t xml:space="preserve"> the quality of support for people with disability. In particular, </w:t>
      </w:r>
      <w:r w:rsidR="00FA1E59" w:rsidRPr="009A1C8E">
        <w:t>it</w:t>
      </w:r>
      <w:r w:rsidRPr="009A1C8E">
        <w:t xml:space="preserve"> disrupts continuity and leaves participants less satisfied with the service, having an overall impact on their quality of life </w:t>
      </w:r>
      <w:r w:rsidR="002D37DC" w:rsidRPr="009A1C8E">
        <w:fldChar w:fldCharType="begin"/>
      </w:r>
      <w:r w:rsidR="004C3D69" w:rsidRPr="009A1C8E">
        <w:instrText xml:space="preserve"> ADDIN EN.CITE &lt;EndNote&gt;&lt;Cite&gt;&lt;Author&gt;Petry&lt;/Author&gt;&lt;Year&gt;2005&lt;/Year&gt;&lt;RecNum&gt;277&lt;/RecNum&gt;&lt;DisplayText&gt;(28, 29)&lt;/DisplayText&gt;&lt;record&gt;&lt;rec-number&gt;277&lt;/rec-number&gt;&lt;foreign-keys&gt;&lt;key app="EN" db-id="dtafe02tlezsd7ef59c5s9fdse5ze52xw2ta" timestamp="1554381001"&gt;277&lt;/key&gt;&lt;/foreign-keys&gt;&lt;ref-type name="Journal Article"&gt;17&lt;/ref-type&gt;&lt;contributors&gt;&lt;authors&gt;&lt;author&gt;Petry, Katja&lt;/author&gt;&lt;author&gt;Maes, Bea&lt;/author&gt;&lt;author&gt;Vlaskamp, Carla&lt;/author&gt;&lt;/authors&gt;&lt;/contributors&gt;&lt;titles&gt;&lt;title&gt;Domains of quality of life of people with profound multiple disabilities: The perspective of parents and direct support staff&lt;/title&gt;&lt;secondary-title&gt;Journal of Applied Research in Intellectual Disabilities&lt;/secondary-title&gt;&lt;/titles&gt;&lt;periodical&gt;&lt;full-title&gt;Journal of Applied Research in Intellectual Disabilities&lt;/full-title&gt;&lt;/periodical&gt;&lt;pages&gt;35-46&lt;/pages&gt;&lt;volume&gt;18&lt;/volume&gt;&lt;number&gt;1&lt;/number&gt;&lt;dates&gt;&lt;year&gt;2005&lt;/year&gt;&lt;/dates&gt;&lt;isbn&gt;1360-2322&lt;/isbn&gt;&lt;urls&gt;&lt;/urls&gt;&lt;/record&gt;&lt;/Cite&gt;&lt;Cite&gt;&lt;Author&gt;National Disability Services&lt;/Author&gt;&lt;Year&gt;2015&lt;/Year&gt;&lt;RecNum&gt;276&lt;/RecNum&gt;&lt;record&gt;&lt;rec-number&gt;276&lt;/rec-number&gt;&lt;foreign-keys&gt;&lt;key app="EN" db-id="dtafe02tlezsd7ef59c5s9fdse5ze52xw2ta" timestamp="1554380744"&gt;276&lt;/key&gt;&lt;/foreign-keys&gt;&lt;ref-type name="Journal Article"&gt;17&lt;/ref-type&gt;&lt;contributors&gt;&lt;authors&gt;&lt;author&gt;National Disability Services,&lt;/author&gt;&lt;/authors&gt;&lt;/contributors&gt;&lt;titles&gt;&lt;title&gt;A guide to employing a flexible workforce in a person-centred environment&lt;/title&gt;&lt;/titles&gt;&lt;dates&gt;&lt;year&gt;2015&lt;/year&gt;&lt;/dates&gt;&lt;urls&gt;&lt;/urls&gt;&lt;/record&gt;&lt;/Cite&gt;&lt;/EndNote&gt;</w:instrText>
      </w:r>
      <w:r w:rsidR="002D37DC" w:rsidRPr="009A1C8E">
        <w:fldChar w:fldCharType="separate"/>
      </w:r>
      <w:r w:rsidR="004C3D69" w:rsidRPr="009A1C8E">
        <w:rPr>
          <w:noProof/>
        </w:rPr>
        <w:t>(28, 29)</w:t>
      </w:r>
      <w:r w:rsidR="002D37DC" w:rsidRPr="009A1C8E">
        <w:fldChar w:fldCharType="end"/>
      </w:r>
      <w:r w:rsidRPr="009A1C8E">
        <w:t xml:space="preserve">. Providers also face an additional financial burden associated with casual recruitment and training costs </w:t>
      </w:r>
      <w:r w:rsidR="002D37DC" w:rsidRPr="009A1C8E">
        <w:fldChar w:fldCharType="begin"/>
      </w:r>
      <w:r w:rsidR="00AD1823" w:rsidRPr="009A1C8E">
        <w:instrText xml:space="preserve"> ADDIN EN.CITE &lt;EndNote&gt;&lt;Cite&gt;&lt;Author&gt;National Disability Services&lt;/Author&gt;&lt;RecNum&gt;273&lt;/RecNum&gt;&lt;DisplayText&gt;(25)&lt;/DisplayText&gt;&lt;record&gt;&lt;rec-number&gt;273&lt;/rec-number&gt;&lt;foreign-keys&gt;&lt;key app="EN" db-id="dtafe02tlezsd7ef59c5s9fdse5ze52xw2ta" timestamp="1554379941"&gt;273&lt;/key&gt;&lt;/foreign-keys&gt;&lt;ref-type name="Report"&gt;27&lt;/ref-type&gt;&lt;contributors&gt;&lt;authors&gt;&lt;author&gt;National Disability Services,&lt;/author&gt;&lt;/authors&gt;&lt;/contributors&gt;&lt;titles&gt;&lt;title&gt;Australian Disability Workforce Report July 2018&lt;/title&gt;&lt;/titles&gt;&lt;dates&gt;&lt;/dates&gt;&lt;urls&gt;&lt;/urls&gt;&lt;/record&gt;&lt;/Cite&gt;&lt;/EndNote&gt;</w:instrText>
      </w:r>
      <w:r w:rsidR="002D37DC" w:rsidRPr="009A1C8E">
        <w:fldChar w:fldCharType="separate"/>
      </w:r>
      <w:r w:rsidR="004C3D69" w:rsidRPr="009A1C8E">
        <w:rPr>
          <w:noProof/>
        </w:rPr>
        <w:t>(25)</w:t>
      </w:r>
      <w:r w:rsidR="002D37DC" w:rsidRPr="009A1C8E">
        <w:fldChar w:fldCharType="end"/>
      </w:r>
      <w:r w:rsidRPr="009A1C8E">
        <w:t xml:space="preserve">, as well as higher loading costs, less hours of engagement, </w:t>
      </w:r>
      <w:r w:rsidR="00090481" w:rsidRPr="009A1C8E">
        <w:t xml:space="preserve">longer term </w:t>
      </w:r>
      <w:r w:rsidRPr="009A1C8E">
        <w:t xml:space="preserve">industrial risks and costs, and lower levels of employee commitment </w:t>
      </w:r>
      <w:r w:rsidR="002D37DC" w:rsidRPr="009A1C8E">
        <w:fldChar w:fldCharType="begin"/>
      </w:r>
      <w:r w:rsidR="004C3D69" w:rsidRPr="009A1C8E">
        <w:instrText xml:space="preserve"> ADDIN EN.CITE &lt;EndNote&gt;&lt;Cite&gt;&lt;Author&gt;National Disability Services&lt;/Author&gt;&lt;Year&gt;2015&lt;/Year&gt;&lt;RecNum&gt;276&lt;/RecNum&gt;&lt;DisplayText&gt;(29)&lt;/DisplayText&gt;&lt;record&gt;&lt;rec-number&gt;276&lt;/rec-number&gt;&lt;foreign-keys&gt;&lt;key app="EN" db-id="dtafe02tlezsd7ef59c5s9fdse5ze52xw2ta" timestamp="1554380744"&gt;276&lt;/key&gt;&lt;/foreign-keys&gt;&lt;ref-type name="Journal Article"&gt;17&lt;/ref-type&gt;&lt;contributors&gt;&lt;authors&gt;&lt;author&gt;National Disability Services,&lt;/author&gt;&lt;/authors&gt;&lt;/contributors&gt;&lt;titles&gt;&lt;title&gt;A guide to employing a flexible workforce in a person-centred environment&lt;/title&gt;&lt;/titles&gt;&lt;dates&gt;&lt;year&gt;2015&lt;/year&gt;&lt;/dates&gt;&lt;urls&gt;&lt;/urls&gt;&lt;/record&gt;&lt;/Cite&gt;&lt;/EndNote&gt;</w:instrText>
      </w:r>
      <w:r w:rsidR="002D37DC" w:rsidRPr="009A1C8E">
        <w:fldChar w:fldCharType="separate"/>
      </w:r>
      <w:r w:rsidR="004C3D69" w:rsidRPr="009A1C8E">
        <w:rPr>
          <w:noProof/>
        </w:rPr>
        <w:t>(29)</w:t>
      </w:r>
      <w:r w:rsidR="002D37DC" w:rsidRPr="009A1C8E">
        <w:fldChar w:fldCharType="end"/>
      </w:r>
      <w:r w:rsidRPr="009A1C8E">
        <w:t xml:space="preserve">. It is harder to engage casual staff in training and team meetings and ensure high-quality performance </w:t>
      </w:r>
      <w:r w:rsidR="002D37DC" w:rsidRPr="009A1C8E">
        <w:fldChar w:fldCharType="begin"/>
      </w:r>
      <w:r w:rsidR="004C3D69" w:rsidRPr="009A1C8E">
        <w:instrText xml:space="preserve"> ADDIN EN.CITE &lt;EndNote&gt;&lt;Cite&gt;&lt;Author&gt;National Disability Services&lt;/Author&gt;&lt;Year&gt;2015&lt;/Year&gt;&lt;RecNum&gt;276&lt;/RecNum&gt;&lt;DisplayText&gt;(29)&lt;/DisplayText&gt;&lt;record&gt;&lt;rec-number&gt;276&lt;/rec-number&gt;&lt;foreign-keys&gt;&lt;key app="EN" db-id="dtafe02tlezsd7ef59c5s9fdse5ze52xw2ta" timestamp="1554380744"&gt;276&lt;/key&gt;&lt;/foreign-keys&gt;&lt;ref-type name="Journal Article"&gt;17&lt;/ref-type&gt;&lt;contributors&gt;&lt;authors&gt;&lt;author&gt;National Disability Services,&lt;/author&gt;&lt;/authors&gt;&lt;/contributors&gt;&lt;titles&gt;&lt;title&gt;A guide to employing a flexible workforce in a person-centred environment&lt;/title&gt;&lt;/titles&gt;&lt;dates&gt;&lt;year&gt;2015&lt;/year&gt;&lt;/dates&gt;&lt;urls&gt;&lt;/urls&gt;&lt;/record&gt;&lt;/Cite&gt;&lt;/EndNote&gt;</w:instrText>
      </w:r>
      <w:r w:rsidR="002D37DC" w:rsidRPr="009A1C8E">
        <w:fldChar w:fldCharType="separate"/>
      </w:r>
      <w:r w:rsidR="004C3D69" w:rsidRPr="009A1C8E">
        <w:rPr>
          <w:noProof/>
        </w:rPr>
        <w:t>(29)</w:t>
      </w:r>
      <w:r w:rsidR="002D37DC" w:rsidRPr="009A1C8E">
        <w:fldChar w:fldCharType="end"/>
      </w:r>
      <w:r w:rsidRPr="009A1C8E">
        <w:t xml:space="preserve">. On the other hand, permanent staffing offers a range of benefits from increased employee engagement and commitment to supporting the retention of skilled staff </w:t>
      </w:r>
      <w:r w:rsidR="002D37DC" w:rsidRPr="009A1C8E">
        <w:fldChar w:fldCharType="begin"/>
      </w:r>
      <w:r w:rsidR="004C3D69" w:rsidRPr="009A1C8E">
        <w:instrText xml:space="preserve"> ADDIN EN.CITE &lt;EndNote&gt;&lt;Cite&gt;&lt;Author&gt;National Disability Services&lt;/Author&gt;&lt;Year&gt;2015&lt;/Year&gt;&lt;RecNum&gt;276&lt;/RecNum&gt;&lt;DisplayText&gt;(29)&lt;/DisplayText&gt;&lt;record&gt;&lt;rec-number&gt;276&lt;/rec-number&gt;&lt;foreign-keys&gt;&lt;key app="EN" db-id="dtafe02tlezsd7ef59c5s9fdse5ze52xw2ta" timestamp="1554380744"&gt;276&lt;/key&gt;&lt;/foreign-keys&gt;&lt;ref-type name="Journal Article"&gt;17&lt;/ref-type&gt;&lt;contributors&gt;&lt;authors&gt;&lt;author&gt;National Disability Services,&lt;/author&gt;&lt;/authors&gt;&lt;/contributors&gt;&lt;titles&gt;&lt;title&gt;A guide to employing a flexible workforce in a person-centred environment&lt;/title&gt;&lt;/titles&gt;&lt;dates&gt;&lt;year&gt;2015&lt;/year&gt;&lt;/dates&gt;&lt;urls&gt;&lt;/urls&gt;&lt;/record&gt;&lt;/Cite&gt;&lt;/EndNote&gt;</w:instrText>
      </w:r>
      <w:r w:rsidR="002D37DC" w:rsidRPr="009A1C8E">
        <w:fldChar w:fldCharType="separate"/>
      </w:r>
      <w:r w:rsidR="004C3D69" w:rsidRPr="009A1C8E">
        <w:rPr>
          <w:noProof/>
        </w:rPr>
        <w:t>(29)</w:t>
      </w:r>
      <w:r w:rsidR="002D37DC" w:rsidRPr="009A1C8E">
        <w:fldChar w:fldCharType="end"/>
      </w:r>
      <w:r w:rsidRPr="009A1C8E">
        <w:t>. This impacts the sustainability of an organisation, as participants can exercise choice and shift to a provider that effectively meets and responds to their needs.</w:t>
      </w:r>
    </w:p>
    <w:p w:rsidR="008B18D4" w:rsidRPr="009A1C8E" w:rsidRDefault="008B18D4" w:rsidP="00A14F68">
      <w:pPr>
        <w:spacing w:before="120" w:after="120" w:line="276" w:lineRule="auto"/>
      </w:pPr>
      <w:r w:rsidRPr="009A1C8E">
        <w:rPr>
          <w:b/>
        </w:rPr>
        <w:t>Providers are also unable to effectively recruit and retain certain occupations</w:t>
      </w:r>
      <w:r w:rsidRPr="009A1C8E">
        <w:t>, which presents risks of thin markets for particular services. This data analysis suggests that:</w:t>
      </w:r>
    </w:p>
    <w:p w:rsidR="008B18D4" w:rsidRPr="009A1C8E" w:rsidRDefault="008B18D4" w:rsidP="00A14F68">
      <w:pPr>
        <w:pStyle w:val="ListParagraph"/>
        <w:numPr>
          <w:ilvl w:val="0"/>
          <w:numId w:val="16"/>
        </w:numPr>
        <w:spacing w:before="120" w:after="120" w:line="276" w:lineRule="auto"/>
      </w:pPr>
      <w:r w:rsidRPr="009A1C8E">
        <w:t>Recruiting psychologists, occupational therapists and speech therapists appears to be difficult  in Victoria and nationally;</w:t>
      </w:r>
    </w:p>
    <w:p w:rsidR="008B18D4" w:rsidRPr="009A1C8E" w:rsidRDefault="008B18D4" w:rsidP="00A14F68">
      <w:pPr>
        <w:pStyle w:val="ListParagraph"/>
        <w:numPr>
          <w:ilvl w:val="0"/>
          <w:numId w:val="16"/>
        </w:numPr>
        <w:spacing w:before="120" w:after="120" w:line="276" w:lineRule="auto"/>
      </w:pPr>
      <w:r w:rsidRPr="009A1C8E">
        <w:t xml:space="preserve">Recruiting non-therapist occupations such as disability support workers and </w:t>
      </w:r>
      <w:r w:rsidR="00516FD7" w:rsidRPr="009A1C8E">
        <w:t>s</w:t>
      </w:r>
      <w:r w:rsidR="00AC6BE6" w:rsidRPr="009A1C8E">
        <w:t>upport coordinator</w:t>
      </w:r>
      <w:r w:rsidRPr="009A1C8E">
        <w:t>s, however, appears to be more challenging in Victoria compared to nationally;</w:t>
      </w:r>
    </w:p>
    <w:p w:rsidR="008B18D4" w:rsidRPr="009A1C8E" w:rsidRDefault="008B18D4" w:rsidP="00A14F68">
      <w:pPr>
        <w:pStyle w:val="ListParagraph"/>
        <w:numPr>
          <w:ilvl w:val="0"/>
          <w:numId w:val="16"/>
        </w:numPr>
        <w:spacing w:before="120" w:after="120" w:line="276" w:lineRule="auto"/>
      </w:pPr>
      <w:r w:rsidRPr="009A1C8E">
        <w:t>Retaining psychologists and speech therapists presents a significant issue among Victoria and national respondents; and</w:t>
      </w:r>
    </w:p>
    <w:p w:rsidR="00413420" w:rsidRPr="009A1C8E" w:rsidRDefault="008B18D4" w:rsidP="00A14F68">
      <w:pPr>
        <w:pStyle w:val="ListParagraph"/>
        <w:numPr>
          <w:ilvl w:val="0"/>
          <w:numId w:val="16"/>
        </w:numPr>
        <w:spacing w:before="120" w:after="120" w:line="276" w:lineRule="auto"/>
      </w:pPr>
      <w:r w:rsidRPr="009A1C8E">
        <w:t xml:space="preserve">Retaining non-therapist occupations such as disability support workers, </w:t>
      </w:r>
      <w:r w:rsidR="00516FD7" w:rsidRPr="009A1C8E">
        <w:t>s</w:t>
      </w:r>
      <w:r w:rsidR="00AC6BE6" w:rsidRPr="009A1C8E">
        <w:t>upport coordinator</w:t>
      </w:r>
      <w:r w:rsidRPr="009A1C8E">
        <w:t>s and managers/supervisors of disability support workers appears to be a greater challenge in Victoria than nationally.</w:t>
      </w:r>
    </w:p>
    <w:p w:rsidR="00413420" w:rsidRPr="009A1C8E" w:rsidRDefault="00413420" w:rsidP="00A14F68">
      <w:pPr>
        <w:spacing w:before="120" w:after="120" w:line="276" w:lineRule="auto"/>
      </w:pPr>
      <w:r w:rsidRPr="009A1C8E">
        <w:t>The delayed release of the ‘</w:t>
      </w:r>
      <w:r w:rsidR="00516FD7" w:rsidRPr="009A1C8E">
        <w:t>Team of Practice G</w:t>
      </w:r>
      <w:r w:rsidRPr="009A1C8E">
        <w:t xml:space="preserve">uidance for </w:t>
      </w:r>
      <w:r w:rsidR="00516FD7" w:rsidRPr="009A1C8E">
        <w:t>Support C</w:t>
      </w:r>
      <w:r w:rsidR="00AC6BE6" w:rsidRPr="009A1C8E">
        <w:t>oordinator</w:t>
      </w:r>
      <w:r w:rsidRPr="009A1C8E">
        <w:t>s’ by the NDIA Intermediaries is currently adding further pressure on the workforce and the delivery of these supports.</w:t>
      </w:r>
    </w:p>
    <w:p w:rsidR="008B18D4" w:rsidRPr="009A1C8E" w:rsidRDefault="008B18D4" w:rsidP="00A14F68">
      <w:pPr>
        <w:spacing w:before="120" w:after="120" w:line="276" w:lineRule="auto"/>
      </w:pPr>
      <w:r w:rsidRPr="009A1C8E">
        <w:lastRenderedPageBreak/>
        <w:t>At the geographical group level, it appears that in Victoria:</w:t>
      </w:r>
    </w:p>
    <w:p w:rsidR="008B18D4" w:rsidRPr="009A1C8E" w:rsidRDefault="008B18D4" w:rsidP="00A14F68">
      <w:pPr>
        <w:pStyle w:val="ListParagraph"/>
        <w:numPr>
          <w:ilvl w:val="0"/>
          <w:numId w:val="16"/>
        </w:numPr>
        <w:spacing w:before="120" w:after="120" w:line="276" w:lineRule="auto"/>
      </w:pPr>
      <w:r w:rsidRPr="009A1C8E">
        <w:t xml:space="preserve">Recruiting and retaining non-therapist occupations was more challenging in </w:t>
      </w:r>
      <w:r w:rsidR="007C35B5" w:rsidRPr="009A1C8E">
        <w:t>regional organisations, whereas</w:t>
      </w:r>
    </w:p>
    <w:p w:rsidR="008B18D4" w:rsidRPr="009A1C8E" w:rsidRDefault="008B18D4" w:rsidP="00A14F68">
      <w:pPr>
        <w:pStyle w:val="ListParagraph"/>
        <w:numPr>
          <w:ilvl w:val="0"/>
          <w:numId w:val="16"/>
        </w:numPr>
        <w:spacing w:before="120" w:after="120" w:line="276" w:lineRule="auto"/>
      </w:pPr>
      <w:r w:rsidRPr="009A1C8E">
        <w:t>Recruiting and retaining therapists was more difficult among metro respondents.</w:t>
      </w:r>
    </w:p>
    <w:p w:rsidR="008B18D4" w:rsidRPr="009A1C8E" w:rsidRDefault="008B18D4" w:rsidP="00A14F68">
      <w:pPr>
        <w:spacing w:before="120" w:after="120" w:line="276" w:lineRule="auto"/>
      </w:pPr>
      <w:r w:rsidRPr="009A1C8E">
        <w:t xml:space="preserve">The small sample size of the geographical group data compromises external validity, therefore it is not suggested that emerging thin markets are identified based on this data alone. Nevertheless, despite the very real risks and Government concerns about the sector’s ability to scale up according to participants’ needs, </w:t>
      </w:r>
      <w:r w:rsidRPr="009A1C8E">
        <w:rPr>
          <w:b/>
        </w:rPr>
        <w:t>there is no publicly funded disability workforce data collection</w:t>
      </w:r>
      <w:r w:rsidRPr="009A1C8E">
        <w:t xml:space="preserve"> process. The Australian Bureau of Statistics (ABS) continues to merge data on disability workers with other classifications, which obstructs any chance of obtaining regular labour force analysis. In order to appropriately monitor workforce factors influencing thin markets, there needs to be:</w:t>
      </w:r>
    </w:p>
    <w:p w:rsidR="008B18D4" w:rsidRPr="009A1C8E" w:rsidRDefault="008B18D4" w:rsidP="00A14F68">
      <w:pPr>
        <w:pStyle w:val="ListParagraph"/>
        <w:numPr>
          <w:ilvl w:val="0"/>
          <w:numId w:val="17"/>
        </w:numPr>
        <w:spacing w:before="120" w:after="120" w:line="276" w:lineRule="auto"/>
      </w:pPr>
      <w:r w:rsidRPr="009A1C8E">
        <w:t>Funding to maintain NDS’ regular Workforce Wizard data collection and analysis, which fills major gaps in disability workforce data and provides insight into workforce market development;</w:t>
      </w:r>
    </w:p>
    <w:p w:rsidR="008B18D4" w:rsidRPr="009A1C8E" w:rsidRDefault="008B18D4" w:rsidP="00A14F68">
      <w:pPr>
        <w:pStyle w:val="ListParagraph"/>
        <w:numPr>
          <w:ilvl w:val="0"/>
          <w:numId w:val="17"/>
        </w:numPr>
        <w:spacing w:before="120" w:after="120" w:line="276" w:lineRule="auto"/>
      </w:pPr>
      <w:r w:rsidRPr="009A1C8E">
        <w:t>Publication of additional market data including information about areas of unmet need, so providers can effectively plan and develop their workforce; and</w:t>
      </w:r>
    </w:p>
    <w:p w:rsidR="008B18D4" w:rsidRPr="009A1C8E" w:rsidRDefault="008B18D4" w:rsidP="00A14F68">
      <w:pPr>
        <w:pStyle w:val="ListParagraph"/>
        <w:numPr>
          <w:ilvl w:val="0"/>
          <w:numId w:val="17"/>
        </w:numPr>
        <w:spacing w:before="120" w:after="120" w:line="276" w:lineRule="auto"/>
      </w:pPr>
      <w:r w:rsidRPr="009A1C8E">
        <w:t xml:space="preserve">Funding for the regular ongoing collection of detailed disability workforce information, by a statutory authority (such as ABS or Australian Institute of Health </w:t>
      </w:r>
      <w:r w:rsidR="002F0BCF" w:rsidRPr="009A1C8E">
        <w:t>and</w:t>
      </w:r>
      <w:r w:rsidRPr="009A1C8E">
        <w:t xml:space="preserve"> Welfare).</w:t>
      </w:r>
    </w:p>
    <w:p w:rsidR="008B18D4" w:rsidRPr="009A1C8E" w:rsidRDefault="008B18D4" w:rsidP="00A14F68">
      <w:pPr>
        <w:spacing w:before="120" w:after="120" w:line="276" w:lineRule="auto"/>
      </w:pPr>
      <w:r w:rsidRPr="009A1C8E">
        <w:t xml:space="preserve">NDS welcomes the recently released NDIS </w:t>
      </w:r>
      <w:r w:rsidR="009526E0" w:rsidRPr="009A1C8E">
        <w:t>D</w:t>
      </w:r>
      <w:r w:rsidRPr="009A1C8E">
        <w:t xml:space="preserve">emand </w:t>
      </w:r>
      <w:r w:rsidR="009526E0" w:rsidRPr="009A1C8E">
        <w:t>M</w:t>
      </w:r>
      <w:r w:rsidRPr="009A1C8E">
        <w:t xml:space="preserve">ap </w:t>
      </w:r>
      <w:r w:rsidR="00FB0E17" w:rsidRPr="009A1C8E">
        <w:t xml:space="preserve">as </w:t>
      </w:r>
      <w:r w:rsidRPr="009A1C8E">
        <w:t xml:space="preserve">an important source of up-to-date market information that can support providers with business and workforce planning </w:t>
      </w:r>
      <w:r w:rsidR="002D37DC" w:rsidRPr="009A1C8E">
        <w:fldChar w:fldCharType="begin"/>
      </w:r>
      <w:r w:rsidR="005D588A" w:rsidRPr="009A1C8E">
        <w:instrText xml:space="preserve"> ADDIN EN.CITE &lt;EndNote&gt;&lt;Cite&gt;&lt;Author&gt;Commonwealth Department of Social Services&lt;/Author&gt;&lt;Year&gt;2019&lt;/Year&gt;&lt;RecNum&gt;266&lt;/RecNum&gt;&lt;DisplayText&gt;(7)&lt;/DisplayText&gt;&lt;record&gt;&lt;rec-number&gt;266&lt;/rec-number&gt;&lt;foreign-keys&gt;&lt;key app="EN" db-id="dtafe02tlezsd7ef59c5s9fdse5ze52xw2ta" timestamp="1554377722"&gt;266&lt;/key&gt;&lt;/foreign-keys&gt;&lt;ref-type name="Report"&gt;27&lt;/ref-type&gt;&lt;contributors&gt;&lt;authors&gt;&lt;author&gt;Commonwealth Department of Social Services,&lt;/author&gt;&lt;/authors&gt;&lt;/contributors&gt;&lt;titles&gt;&lt;title&gt;Growing the NDIS Market and Workforce&lt;/title&gt;&lt;/titles&gt;&lt;dates&gt;&lt;year&gt;2019&lt;/year&gt;&lt;/dates&gt;&lt;urls&gt;&lt;/urls&gt;&lt;/record&gt;&lt;/Cite&gt;&lt;/EndNote&gt;</w:instrText>
      </w:r>
      <w:r w:rsidR="002D37DC" w:rsidRPr="009A1C8E">
        <w:fldChar w:fldCharType="separate"/>
      </w:r>
      <w:r w:rsidR="005D588A" w:rsidRPr="009A1C8E">
        <w:rPr>
          <w:noProof/>
        </w:rPr>
        <w:t>(7)</w:t>
      </w:r>
      <w:r w:rsidR="002D37DC" w:rsidRPr="009A1C8E">
        <w:fldChar w:fldCharType="end"/>
      </w:r>
      <w:r w:rsidRPr="009A1C8E">
        <w:t>.</w:t>
      </w:r>
      <w:r w:rsidR="002D4C74" w:rsidRPr="009A1C8E">
        <w:t xml:space="preserve"> However, this </w:t>
      </w:r>
      <w:r w:rsidR="00FB0E17" w:rsidRPr="009A1C8E">
        <w:t xml:space="preserve">does not describe </w:t>
      </w:r>
      <w:r w:rsidR="002D4C74" w:rsidRPr="009A1C8E">
        <w:t>the current environment</w:t>
      </w:r>
      <w:r w:rsidR="00FB0E17" w:rsidRPr="009A1C8E">
        <w:t xml:space="preserve"> – i</w:t>
      </w:r>
      <w:r w:rsidR="002D4C74" w:rsidRPr="009A1C8E">
        <w:t>t is</w:t>
      </w:r>
      <w:r w:rsidR="00FB0E17" w:rsidRPr="009A1C8E">
        <w:t>,</w:t>
      </w:r>
      <w:r w:rsidR="002D4C74" w:rsidRPr="009A1C8E">
        <w:t xml:space="preserve"> rather</w:t>
      </w:r>
      <w:r w:rsidR="00FB0E17" w:rsidRPr="009A1C8E">
        <w:t>,</w:t>
      </w:r>
      <w:r w:rsidR="002D4C74" w:rsidRPr="009A1C8E">
        <w:t xml:space="preserve"> a</w:t>
      </w:r>
      <w:r w:rsidR="00030F90" w:rsidRPr="009A1C8E">
        <w:t xml:space="preserve"> </w:t>
      </w:r>
      <w:r w:rsidR="005F0076" w:rsidRPr="009A1C8E">
        <w:t xml:space="preserve">forecast of the NDIS </w:t>
      </w:r>
      <w:r w:rsidR="00303FD9" w:rsidRPr="009A1C8E">
        <w:t xml:space="preserve">market </w:t>
      </w:r>
      <w:r w:rsidR="005F0076" w:rsidRPr="009A1C8E">
        <w:t>once it is fully developed</w:t>
      </w:r>
      <w:r w:rsidR="002D4C74" w:rsidRPr="009A1C8E">
        <w:t xml:space="preserve"> (expected to be by</w:t>
      </w:r>
      <w:r w:rsidR="005F0076" w:rsidRPr="009A1C8E">
        <w:t xml:space="preserve"> 2023</w:t>
      </w:r>
      <w:r w:rsidR="002D4C74" w:rsidRPr="009A1C8E">
        <w:t>)</w:t>
      </w:r>
      <w:r w:rsidR="00FB0E17" w:rsidRPr="009A1C8E">
        <w:t>. Therefore a significant data gap remains</w:t>
      </w:r>
      <w:r w:rsidR="002D4C74" w:rsidRPr="009A1C8E">
        <w:t>.</w:t>
      </w:r>
    </w:p>
    <w:p w:rsidR="008B18D4" w:rsidRPr="009A1C8E" w:rsidRDefault="008B18D4" w:rsidP="00A14F68">
      <w:pPr>
        <w:spacing w:before="120" w:after="120" w:line="276" w:lineRule="auto"/>
      </w:pPr>
      <w:r w:rsidRPr="009A1C8E">
        <w:rPr>
          <w:b/>
        </w:rPr>
        <w:t xml:space="preserve">Low NDIS prices are further compromising providers’ ability to employ and </w:t>
      </w:r>
      <w:proofErr w:type="spellStart"/>
      <w:r w:rsidRPr="009A1C8E">
        <w:rPr>
          <w:b/>
        </w:rPr>
        <w:t>upskill</w:t>
      </w:r>
      <w:proofErr w:type="spellEnd"/>
      <w:r w:rsidRPr="009A1C8E">
        <w:rPr>
          <w:b/>
        </w:rPr>
        <w:t xml:space="preserve"> permanent staff</w:t>
      </w:r>
      <w:r w:rsidR="00A2594F" w:rsidRPr="009A1C8E">
        <w:rPr>
          <w:b/>
        </w:rPr>
        <w:t xml:space="preserve">, </w:t>
      </w:r>
      <w:r w:rsidR="00A2594F" w:rsidRPr="009A1C8E">
        <w:t>and</w:t>
      </w:r>
      <w:r w:rsidR="00A2594F" w:rsidRPr="009A1C8E">
        <w:rPr>
          <w:b/>
        </w:rPr>
        <w:t xml:space="preserve"> </w:t>
      </w:r>
      <w:r w:rsidRPr="009A1C8E">
        <w:t>discourag</w:t>
      </w:r>
      <w:r w:rsidR="00A2594F" w:rsidRPr="009A1C8E">
        <w:t>ing</w:t>
      </w:r>
      <w:r w:rsidRPr="009A1C8E">
        <w:t xml:space="preserve"> the sector to create jobs that would alleviate professional shortages (such as allied health assistants and peer workers) </w:t>
      </w:r>
      <w:r w:rsidR="002D37DC" w:rsidRPr="009A1C8E">
        <w:fldChar w:fldCharType="begin"/>
      </w:r>
      <w:r w:rsidR="004C3D69" w:rsidRPr="009A1C8E">
        <w:instrText xml:space="preserve"> ADDIN EN.CITE &lt;EndNote&gt;&lt;Cite&gt;&lt;Author&gt;National Disability Services&lt;/Author&gt;&lt;Year&gt;2017&lt;/Year&gt;&lt;RecNum&gt;278&lt;/RecNum&gt;&lt;DisplayText&gt;(30)&lt;/DisplayText&gt;&lt;record&gt;&lt;rec-number&gt;278&lt;/rec-number&gt;&lt;foreign-keys&gt;&lt;key app="EN" db-id="dtafe02tlezsd7ef59c5s9fdse5ze52xw2ta" timestamp="1554381382"&gt;278&lt;/key&gt;&lt;/foreign-keys&gt;&lt;ref-type name="Report"&gt;27&lt;/ref-type&gt;&lt;contributors&gt;&lt;authors&gt;&lt;author&gt;National Disability Services,&lt;/author&gt;&lt;/authors&gt;&lt;/contributors&gt;&lt;titles&gt;&lt;title&gt;NDIS Costs: Submission to the Productivity Commission&lt;/title&gt;&lt;/titles&gt;&lt;dates&gt;&lt;year&gt;2017&lt;/year&gt;&lt;/dates&gt;&lt;urls&gt;&lt;/urls&gt;&lt;/record&gt;&lt;/Cite&gt;&lt;/EndNote&gt;</w:instrText>
      </w:r>
      <w:r w:rsidR="002D37DC" w:rsidRPr="009A1C8E">
        <w:fldChar w:fldCharType="separate"/>
      </w:r>
      <w:r w:rsidR="004C3D69" w:rsidRPr="009A1C8E">
        <w:rPr>
          <w:noProof/>
        </w:rPr>
        <w:t>(30)</w:t>
      </w:r>
      <w:r w:rsidR="002D37DC" w:rsidRPr="009A1C8E">
        <w:fldChar w:fldCharType="end"/>
      </w:r>
      <w:r w:rsidRPr="009A1C8E">
        <w:t xml:space="preserve">. </w:t>
      </w:r>
      <w:r w:rsidR="00EF4097" w:rsidRPr="009A1C8E">
        <w:t>Recent price announcements notwithstanding,</w:t>
      </w:r>
      <w:r w:rsidRPr="009A1C8E">
        <w:t xml:space="preserve"> the following sector development initiatives will help mitigate the emergence of market gaps:</w:t>
      </w:r>
    </w:p>
    <w:p w:rsidR="008B18D4" w:rsidRPr="009A1C8E" w:rsidRDefault="008B18D4" w:rsidP="00A14F68">
      <w:pPr>
        <w:pStyle w:val="ListParagraph"/>
        <w:numPr>
          <w:ilvl w:val="0"/>
          <w:numId w:val="18"/>
        </w:numPr>
        <w:spacing w:before="120" w:after="120" w:line="276" w:lineRule="auto"/>
      </w:pPr>
      <w:r w:rsidRPr="009A1C8E">
        <w:t>Development of a funded, portable training entitlement for disability support workers to acquire specialised skills and qualifications and develop their career.</w:t>
      </w:r>
    </w:p>
    <w:p w:rsidR="008B18D4" w:rsidRPr="009A1C8E" w:rsidRDefault="008B18D4" w:rsidP="00A14F68">
      <w:pPr>
        <w:pStyle w:val="ListParagraph"/>
        <w:numPr>
          <w:ilvl w:val="0"/>
          <w:numId w:val="18"/>
        </w:numPr>
        <w:spacing w:before="120" w:after="120" w:line="276" w:lineRule="auto"/>
      </w:pPr>
      <w:r w:rsidRPr="009A1C8E">
        <w:t>Support for providers to implement innovative workforce models and more flexible industrial frameworks. This could enable organisations to balance short</w:t>
      </w:r>
      <w:r w:rsidRPr="009A1C8E">
        <w:noBreakHyphen/>
        <w:t xml:space="preserve"> </w:t>
      </w:r>
      <w:r w:rsidRPr="009A1C8E">
        <w:lastRenderedPageBreak/>
        <w:t>and long-term objectives, whilst improving staff utilisation levels and cost efficiency, and further engaging, supporting and retaining staff.</w:t>
      </w:r>
    </w:p>
    <w:p w:rsidR="008B18D4" w:rsidRPr="009A1C8E" w:rsidRDefault="008B18D4" w:rsidP="00A14F68">
      <w:pPr>
        <w:pStyle w:val="ListParagraph"/>
        <w:numPr>
          <w:ilvl w:val="0"/>
          <w:numId w:val="18"/>
        </w:numPr>
        <w:spacing w:before="120" w:after="120" w:line="276" w:lineRule="auto"/>
      </w:pPr>
      <w:r w:rsidRPr="009A1C8E">
        <w:t>Providing affordable and timely training/development resources for staff and leaders to strengthen the workforce.</w:t>
      </w:r>
    </w:p>
    <w:p w:rsidR="008B18D4" w:rsidRPr="009A1C8E" w:rsidRDefault="008B18D4" w:rsidP="00A14F68">
      <w:pPr>
        <w:spacing w:before="120" w:after="120" w:line="276" w:lineRule="auto"/>
      </w:pPr>
      <w:r w:rsidRPr="009A1C8E">
        <w:t>Whilst overall the</w:t>
      </w:r>
      <w:r w:rsidRPr="009A1C8E">
        <w:rPr>
          <w:color w:val="000000" w:themeColor="text1"/>
        </w:rPr>
        <w:t xml:space="preserve"> recently released NDIS Market and Workforce Strategy </w:t>
      </w:r>
      <w:r w:rsidR="002D37DC" w:rsidRPr="009A1C8E">
        <w:fldChar w:fldCharType="begin"/>
      </w:r>
      <w:r w:rsidR="005D588A" w:rsidRPr="009A1C8E">
        <w:instrText xml:space="preserve"> ADDIN EN.CITE &lt;EndNote&gt;&lt;Cite&gt;&lt;Author&gt;Commonwealth Department of Social Services&lt;/Author&gt;&lt;Year&gt;2019&lt;/Year&gt;&lt;RecNum&gt;266&lt;/RecNum&gt;&lt;DisplayText&gt;(7)&lt;/DisplayText&gt;&lt;record&gt;&lt;rec-number&gt;266&lt;/rec-number&gt;&lt;foreign-keys&gt;&lt;key app="EN" db-id="dtafe02tlezsd7ef59c5s9fdse5ze52xw2ta" timestamp="1554377722"&gt;266&lt;/key&gt;&lt;/foreign-keys&gt;&lt;ref-type name="Report"&gt;27&lt;/ref-type&gt;&lt;contributors&gt;&lt;authors&gt;&lt;author&gt;Commonwealth Department of Social Services,&lt;/author&gt;&lt;/authors&gt;&lt;/contributors&gt;&lt;titles&gt;&lt;title&gt;Growing the NDIS Market and Workforce&lt;/title&gt;&lt;/titles&gt;&lt;dates&gt;&lt;year&gt;2019&lt;/year&gt;&lt;/dates&gt;&lt;urls&gt;&lt;/urls&gt;&lt;/record&gt;&lt;/Cite&gt;&lt;/EndNote&gt;</w:instrText>
      </w:r>
      <w:r w:rsidR="002D37DC" w:rsidRPr="002D37DC">
        <w:rPr>
          <w:color w:val="000000" w:themeColor="text1"/>
        </w:rPr>
        <w:fldChar w:fldCharType="separate"/>
      </w:r>
      <w:r w:rsidR="005D588A" w:rsidRPr="009A1C8E">
        <w:rPr>
          <w:noProof/>
          <w:color w:val="000000" w:themeColor="text1"/>
        </w:rPr>
        <w:t>(7)</w:t>
      </w:r>
      <w:r w:rsidR="002D37DC" w:rsidRPr="009A1C8E">
        <w:fldChar w:fldCharType="end"/>
      </w:r>
      <w:r w:rsidRPr="009A1C8E">
        <w:rPr>
          <w:color w:val="000000" w:themeColor="text1"/>
        </w:rPr>
        <w:t xml:space="preserve"> does not meet NDS’ expectations, </w:t>
      </w:r>
      <w:r w:rsidRPr="009A1C8E">
        <w:t xml:space="preserve">NDS supports the development of </w:t>
      </w:r>
      <w:r w:rsidRPr="009A1C8E">
        <w:rPr>
          <w:b/>
          <w:bCs/>
        </w:rPr>
        <w:t>an NDIS Capability Framework</w:t>
      </w:r>
      <w:r w:rsidRPr="009A1C8E">
        <w:t xml:space="preserve"> to grow a skilled</w:t>
      </w:r>
      <w:r w:rsidR="00D10FD5" w:rsidRPr="009A1C8E">
        <w:t>,</w:t>
      </w:r>
      <w:r w:rsidRPr="009A1C8E">
        <w:t xml:space="preserve"> capable and motivated workforce. NDS, however, must be centrally involved in the development. NDS has a well-established Disability Workforce Capability Framework </w:t>
      </w:r>
      <w:r w:rsidR="002D37DC" w:rsidRPr="009A1C8E">
        <w:fldChar w:fldCharType="begin"/>
      </w:r>
      <w:r w:rsidR="004C3D69" w:rsidRPr="009A1C8E">
        <w:instrText xml:space="preserve"> ADDIN EN.CITE &lt;EndNote&gt;&lt;Cite&gt;&lt;Author&gt;National Disability Services&lt;/Author&gt;&lt;RecNum&gt;279&lt;/RecNum&gt;&lt;DisplayText&gt;(31)&lt;/DisplayText&gt;&lt;record&gt;&lt;rec-number&gt;279&lt;/rec-number&gt;&lt;foreign-keys&gt;&lt;key app="EN" db-id="dtafe02tlezsd7ef59c5s9fdse5ze52xw2ta" timestamp="1554381671"&gt;279&lt;/key&gt;&lt;/foreign-keys&gt;&lt;ref-type name="Web Page"&gt;12&lt;/ref-type&gt;&lt;contributors&gt;&lt;authors&gt;&lt;author&gt;National Disability Services,&lt;/author&gt;&lt;/authors&gt;&lt;/contributors&gt;&lt;titles&gt;&lt;title&gt;Workforce Capability Framework&lt;/title&gt;&lt;/titles&gt;&lt;dates&gt;&lt;/dates&gt;&lt;urls&gt;&lt;related-urls&gt;&lt;url&gt;https://www.carecareers.com.au/page/workforce-capability-framework-resources&lt;/url&gt;&lt;/related-urls&gt;&lt;/urls&gt;&lt;/record&gt;&lt;/Cite&gt;&lt;/EndNote&gt;</w:instrText>
      </w:r>
      <w:r w:rsidR="002D37DC" w:rsidRPr="009A1C8E">
        <w:fldChar w:fldCharType="separate"/>
      </w:r>
      <w:r w:rsidR="004C3D69" w:rsidRPr="009A1C8E">
        <w:rPr>
          <w:noProof/>
        </w:rPr>
        <w:t>(31)</w:t>
      </w:r>
      <w:r w:rsidR="002D37DC" w:rsidRPr="009A1C8E">
        <w:fldChar w:fldCharType="end"/>
      </w:r>
      <w:r w:rsidRPr="009A1C8E">
        <w:t xml:space="preserve"> </w:t>
      </w:r>
      <w:r w:rsidR="001734CE" w:rsidRPr="009A1C8E">
        <w:t>that defines</w:t>
      </w:r>
      <w:r w:rsidRPr="009A1C8E">
        <w:t xml:space="preserve"> the skills, knowledge and capabilities required by common job roles across the disability sector. Person-centred people management resources are also available to support the framework’s practical application </w:t>
      </w:r>
      <w:r w:rsidR="002D37DC" w:rsidRPr="009A1C8E">
        <w:fldChar w:fldCharType="begin"/>
      </w:r>
      <w:r w:rsidR="004C3D69" w:rsidRPr="009A1C8E">
        <w:instrText xml:space="preserve"> ADDIN EN.CITE &lt;EndNote&gt;&lt;Cite&gt;&lt;Author&gt;National Disability Services&lt;/Author&gt;&lt;RecNum&gt;280&lt;/RecNum&gt;&lt;DisplayText&gt;(32)&lt;/DisplayText&gt;&lt;record&gt;&lt;rec-number&gt;280&lt;/rec-number&gt;&lt;foreign-keys&gt;&lt;key app="EN" db-id="dtafe02tlezsd7ef59c5s9fdse5ze52xw2ta" timestamp="1554381743"&gt;280&lt;/key&gt;&lt;/foreign-keys&gt;&lt;ref-type name="Web Page"&gt;12&lt;/ref-type&gt;&lt;contributors&gt;&lt;authors&gt;&lt;author&gt;National Disability Services,&lt;/author&gt;&lt;/authors&gt;&lt;/contributors&gt;&lt;titles&gt;&lt;title&gt;Person-Centred People Management Resources&lt;/title&gt;&lt;/titles&gt;&lt;dates&gt;&lt;/dates&gt;&lt;urls&gt;&lt;related-urls&gt;&lt;url&gt;https://www.carecareers.com.au/page/person-centred-people-management-resources&lt;/url&gt;&lt;/related-urls&gt;&lt;/urls&gt;&lt;/record&gt;&lt;/Cite&gt;&lt;/EndNote&gt;</w:instrText>
      </w:r>
      <w:r w:rsidR="002D37DC" w:rsidRPr="009A1C8E">
        <w:fldChar w:fldCharType="separate"/>
      </w:r>
      <w:r w:rsidR="004C3D69" w:rsidRPr="009A1C8E">
        <w:rPr>
          <w:noProof/>
        </w:rPr>
        <w:t>(32)</w:t>
      </w:r>
      <w:r w:rsidR="002D37DC" w:rsidRPr="009A1C8E">
        <w:fldChar w:fldCharType="end"/>
      </w:r>
      <w:r w:rsidRPr="009A1C8E">
        <w:t>. The NDIS Capability Framework must draw on this material and NDS’ extensive workforce development tools and resources, and further consider how a national framework will be implemented and tailored to deliver the capabilities needed at a local level.</w:t>
      </w:r>
    </w:p>
    <w:p w:rsidR="008B18D4" w:rsidRPr="009A1C8E" w:rsidRDefault="008B18D4" w:rsidP="00A14F68">
      <w:pPr>
        <w:spacing w:before="120" w:after="120" w:line="276" w:lineRule="auto"/>
        <w:rPr>
          <w:color w:val="000000" w:themeColor="text1"/>
        </w:rPr>
      </w:pPr>
      <w:r w:rsidRPr="009A1C8E">
        <w:t>The ability to recruit, retain and develop a flexible workforce is a major success factor for organisations under the NDIS. Whilst workers are unavailable, rationed or unskilled,</w:t>
      </w:r>
      <w:r w:rsidRPr="009A1C8E" w:rsidDel="00806059">
        <w:t xml:space="preserve"> </w:t>
      </w:r>
      <w:r w:rsidRPr="009A1C8E">
        <w:t>the notion of consumer choice and control will have limited value.</w:t>
      </w:r>
    </w:p>
    <w:p w:rsidR="008B18D4" w:rsidRPr="009A1C8E" w:rsidRDefault="008B18D4" w:rsidP="00830706">
      <w:pPr>
        <w:pStyle w:val="Heading2"/>
      </w:pPr>
      <w:bookmarkStart w:id="48" w:name="_Toc7614953"/>
      <w:r w:rsidRPr="009A1C8E">
        <w:t>5.4 Discontinuing services</w:t>
      </w:r>
      <w:bookmarkEnd w:id="48"/>
    </w:p>
    <w:p w:rsidR="008B18D4" w:rsidRPr="009A1C8E" w:rsidRDefault="008B18D4" w:rsidP="00A14F68">
      <w:pPr>
        <w:spacing w:before="120" w:after="120" w:line="276" w:lineRule="auto"/>
      </w:pPr>
      <w:r w:rsidRPr="009A1C8E">
        <w:t xml:space="preserve">Data analysed in this report points to risks of thin markets emerging for certain services. Providers may be inclined to ‘cherry pick’ services or participants most likely to generate surplus. Unfortunately, given the small number of responses to certain AMS questions, services at risk cannot be concretely identified. The Victorian findings do, however, suggest that </w:t>
      </w:r>
      <w:r w:rsidRPr="009A1C8E">
        <w:rPr>
          <w:b/>
        </w:rPr>
        <w:t>people with disability may be at risk of not receiving home modifications and AT</w:t>
      </w:r>
      <w:r w:rsidR="00EF63A0" w:rsidRPr="009A1C8E">
        <w:rPr>
          <w:b/>
        </w:rPr>
        <w:t xml:space="preserve"> services</w:t>
      </w:r>
      <w:r w:rsidRPr="009A1C8E">
        <w:rPr>
          <w:b/>
        </w:rPr>
        <w:t>, transport supports, community participation supports, and high intensity/1:1 supports.</w:t>
      </w:r>
    </w:p>
    <w:p w:rsidR="008B18D4" w:rsidRPr="005657C4" w:rsidRDefault="008B18D4" w:rsidP="00A14F68">
      <w:pPr>
        <w:pStyle w:val="ListParagraph"/>
        <w:spacing w:before="120" w:after="120" w:line="276" w:lineRule="auto"/>
        <w:ind w:left="0"/>
        <w:rPr>
          <w:b/>
        </w:rPr>
      </w:pPr>
      <w:r w:rsidRPr="005657C4">
        <w:rPr>
          <w:b/>
        </w:rPr>
        <w:t>Home modifications and AT services are at risk:</w:t>
      </w:r>
    </w:p>
    <w:p w:rsidR="008B18D4" w:rsidRPr="009A1C8E" w:rsidRDefault="008B18D4" w:rsidP="00A14F68">
      <w:pPr>
        <w:pStyle w:val="ListParagraph"/>
        <w:numPr>
          <w:ilvl w:val="0"/>
          <w:numId w:val="20"/>
        </w:numPr>
        <w:spacing w:before="120" w:after="120" w:line="276" w:lineRule="auto"/>
      </w:pPr>
      <w:r w:rsidRPr="009A1C8E">
        <w:t>Providers delivered less hours of these services in 2017-2018 compared to the previous year;</w:t>
      </w:r>
      <w:r w:rsidR="00413420" w:rsidRPr="009A1C8E">
        <w:t xml:space="preserve"> and</w:t>
      </w:r>
    </w:p>
    <w:p w:rsidR="008B18D4" w:rsidRPr="009A1C8E" w:rsidRDefault="008B18D4" w:rsidP="00A14F68">
      <w:pPr>
        <w:pStyle w:val="ListParagraph"/>
        <w:numPr>
          <w:ilvl w:val="0"/>
          <w:numId w:val="20"/>
        </w:numPr>
        <w:spacing w:before="120" w:after="120" w:line="276" w:lineRule="auto"/>
      </w:pPr>
      <w:r w:rsidRPr="009A1C8E">
        <w:t>Providers plan on further reducing or stopping these services</w:t>
      </w:r>
      <w:r w:rsidR="00413420" w:rsidRPr="009A1C8E">
        <w:t>.</w:t>
      </w:r>
    </w:p>
    <w:p w:rsidR="008B18D4" w:rsidRPr="009A1C8E" w:rsidRDefault="008B18D4" w:rsidP="00A14F68">
      <w:pPr>
        <w:spacing w:before="120" w:after="120" w:line="276" w:lineRule="auto"/>
      </w:pPr>
      <w:r w:rsidRPr="009A1C8E">
        <w:t xml:space="preserve">NDS is aware of structural problems with getting AT and home modification services into plans, as well as the significant delays with AT approvals and the excessive administrative burden for providers. This is likely driving providers’ recent reduction in hours of service delivered, and their plans to further reduce or stop these services. NDS welcomes the results of the Assistive Technology and Home Modifications Redesign </w:t>
      </w:r>
      <w:r w:rsidRPr="009A1C8E">
        <w:lastRenderedPageBreak/>
        <w:t>Project, as without new arrangements there is a serious risk that people with disability will continue to face unacceptable delays and will be unable to achieve their goals without necessary AT and home modifications.</w:t>
      </w:r>
    </w:p>
    <w:p w:rsidR="008B18D4" w:rsidRPr="005657C4" w:rsidRDefault="008B18D4" w:rsidP="00A14F68">
      <w:pPr>
        <w:spacing w:before="120" w:after="120" w:line="276" w:lineRule="auto"/>
        <w:rPr>
          <w:b/>
        </w:rPr>
      </w:pPr>
      <w:r w:rsidRPr="005657C4">
        <w:rPr>
          <w:b/>
        </w:rPr>
        <w:t>Assistance with travel and transport is at risk:</w:t>
      </w:r>
    </w:p>
    <w:p w:rsidR="008B18D4" w:rsidRPr="009A1C8E" w:rsidRDefault="008B18D4" w:rsidP="00A14F68">
      <w:pPr>
        <w:pStyle w:val="ListParagraph"/>
        <w:numPr>
          <w:ilvl w:val="0"/>
          <w:numId w:val="20"/>
        </w:numPr>
        <w:spacing w:before="120" w:after="120" w:line="276" w:lineRule="auto"/>
      </w:pPr>
      <w:r w:rsidRPr="009A1C8E">
        <w:t>Providers plan on stopping or reducing these services;</w:t>
      </w:r>
    </w:p>
    <w:p w:rsidR="008B18D4" w:rsidRPr="009A1C8E" w:rsidRDefault="008B18D4" w:rsidP="00A14F68">
      <w:pPr>
        <w:pStyle w:val="ListParagraph"/>
        <w:numPr>
          <w:ilvl w:val="0"/>
          <w:numId w:val="20"/>
        </w:numPr>
        <w:spacing w:before="120" w:after="120" w:line="276" w:lineRule="auto"/>
      </w:pPr>
      <w:r w:rsidRPr="009A1C8E">
        <w:t>Eighty-three percent of providers are making a loss providing transport services; and</w:t>
      </w:r>
    </w:p>
    <w:p w:rsidR="008B18D4" w:rsidRPr="009A1C8E" w:rsidRDefault="008B18D4" w:rsidP="00A14F68">
      <w:pPr>
        <w:pStyle w:val="ListParagraph"/>
        <w:numPr>
          <w:ilvl w:val="0"/>
          <w:numId w:val="20"/>
        </w:numPr>
        <w:spacing w:before="120" w:after="120" w:line="276" w:lineRule="auto"/>
      </w:pPr>
      <w:r w:rsidRPr="009A1C8E">
        <w:t>Twenty-one percent plan to decrease the size of their fleet.</w:t>
      </w:r>
    </w:p>
    <w:p w:rsidR="00CD658D" w:rsidRPr="009A1C8E" w:rsidRDefault="00CD658D" w:rsidP="00A14F68">
      <w:pPr>
        <w:spacing w:before="120" w:after="120" w:line="276" w:lineRule="auto"/>
      </w:pPr>
      <w:r w:rsidRPr="009A1C8E">
        <w:t>Transport and travel have</w:t>
      </w:r>
      <w:r w:rsidR="000764AC" w:rsidRPr="009A1C8E">
        <w:t xml:space="preserve"> a unique role in facilitating service provision, and therefore have the ability </w:t>
      </w:r>
      <w:r w:rsidR="001D2F7E" w:rsidRPr="009A1C8E">
        <w:t xml:space="preserve">to </w:t>
      </w:r>
      <w:r w:rsidR="000764AC" w:rsidRPr="009A1C8E">
        <w:t>ameliorate thin markets if funded and administered properly.</w:t>
      </w:r>
    </w:p>
    <w:p w:rsidR="008B18D4" w:rsidRPr="009A1C8E" w:rsidRDefault="008B18D4" w:rsidP="00A14F68">
      <w:pPr>
        <w:spacing w:before="120" w:after="120" w:line="276" w:lineRule="auto"/>
      </w:pPr>
      <w:r w:rsidRPr="009A1C8E">
        <w:t>The following factors may explain why providers are making a deficit</w:t>
      </w:r>
      <w:r w:rsidR="00434A04" w:rsidRPr="009A1C8E">
        <w:t xml:space="preserve"> and</w:t>
      </w:r>
      <w:r w:rsidRPr="009A1C8E">
        <w:t xml:space="preserve"> therefore intend to stop or reduce provision:</w:t>
      </w:r>
    </w:p>
    <w:p w:rsidR="00974FB1" w:rsidRPr="009A1C8E" w:rsidRDefault="00974FB1" w:rsidP="00A14F68">
      <w:pPr>
        <w:pStyle w:val="ListParagraph"/>
        <w:numPr>
          <w:ilvl w:val="0"/>
          <w:numId w:val="11"/>
        </w:numPr>
        <w:spacing w:before="120" w:after="120" w:line="276" w:lineRule="auto"/>
      </w:pPr>
      <w:r w:rsidRPr="009A1C8E">
        <w:t>The insufficient allocation of transport funds in participant plans;</w:t>
      </w:r>
    </w:p>
    <w:p w:rsidR="008B18D4" w:rsidRPr="009A1C8E" w:rsidRDefault="008B18D4" w:rsidP="00A14F68">
      <w:pPr>
        <w:pStyle w:val="ListParagraph"/>
        <w:numPr>
          <w:ilvl w:val="0"/>
          <w:numId w:val="11"/>
        </w:numPr>
        <w:spacing w:before="120" w:after="120" w:line="276" w:lineRule="auto"/>
      </w:pPr>
      <w:r w:rsidRPr="009A1C8E">
        <w:t>A shift from block funding, where providers could cross-subsidise services to maintain their transport services;</w:t>
      </w:r>
    </w:p>
    <w:p w:rsidR="008B18D4" w:rsidRPr="009A1C8E" w:rsidRDefault="008B18D4" w:rsidP="00A14F68">
      <w:pPr>
        <w:pStyle w:val="ListParagraph"/>
        <w:numPr>
          <w:ilvl w:val="0"/>
          <w:numId w:val="11"/>
        </w:numPr>
        <w:spacing w:before="120" w:after="120" w:line="276" w:lineRule="auto"/>
      </w:pPr>
      <w:r w:rsidRPr="009A1C8E">
        <w:t>The uncertainty of Home and Community Care Program for Young People funding, which enabled community transport providers to deliver transport at highly subsidised rates;</w:t>
      </w:r>
      <w:r w:rsidR="00974FB1" w:rsidRPr="009A1C8E">
        <w:t xml:space="preserve"> and</w:t>
      </w:r>
    </w:p>
    <w:p w:rsidR="008B18D4" w:rsidRPr="009A1C8E" w:rsidRDefault="008B18D4" w:rsidP="00A14F68">
      <w:pPr>
        <w:pStyle w:val="ListParagraph"/>
        <w:numPr>
          <w:ilvl w:val="0"/>
          <w:numId w:val="11"/>
        </w:numPr>
        <w:spacing w:before="120" w:after="120" w:line="276" w:lineRule="auto"/>
      </w:pPr>
      <w:r w:rsidRPr="009A1C8E">
        <w:t>The complex NDIS</w:t>
      </w:r>
      <w:r w:rsidR="00413420" w:rsidRPr="009A1C8E">
        <w:t xml:space="preserve"> participant</w:t>
      </w:r>
      <w:r w:rsidRPr="009A1C8E">
        <w:t xml:space="preserve"> transport and</w:t>
      </w:r>
      <w:r w:rsidR="00413420" w:rsidRPr="009A1C8E">
        <w:t xml:space="preserve"> provider</w:t>
      </w:r>
      <w:r w:rsidRPr="009A1C8E">
        <w:t xml:space="preserve"> travel policies</w:t>
      </w:r>
      <w:r w:rsidR="00002299" w:rsidRPr="009A1C8E">
        <w:t xml:space="preserve"> </w:t>
      </w:r>
      <w:r w:rsidR="002D37DC" w:rsidRPr="009A1C8E">
        <w:fldChar w:fldCharType="begin"/>
      </w:r>
      <w:r w:rsidR="004C3D69" w:rsidRPr="009A1C8E">
        <w:instrText xml:space="preserve"> ADDIN EN.CITE &lt;EndNote&gt;&lt;Cite&gt;&lt;Author&gt;National Disability Services&lt;/Author&gt;&lt;Year&gt;2018&lt;/Year&gt;&lt;RecNum&gt;265&lt;/RecNum&gt;&lt;DisplayText&gt;(17, 33)&lt;/DisplayText&gt;&lt;record&gt;&lt;rec-number&gt;265&lt;/rec-number&gt;&lt;foreign-keys&gt;&lt;key app="EN" db-id="dtafe02tlezsd7ef59c5s9fdse5ze52xw2ta" timestamp="1554321730"&gt;265&lt;/key&gt;&lt;/foreign-keys&gt;&lt;ref-type name="Report"&gt;27&lt;/ref-type&gt;&lt;contributors&gt;&lt;authors&gt;&lt;author&gt;National Disability Services,&lt;/author&gt;&lt;/authors&gt;&lt;/contributors&gt;&lt;titles&gt;&lt;title&gt;Disability Transport in Victoria&lt;/title&gt;&lt;/titles&gt;&lt;dates&gt;&lt;year&gt;2018&lt;/year&gt;&lt;/dates&gt;&lt;urls&gt;&lt;/urls&gt;&lt;/record&gt;&lt;/Cite&gt;&lt;Cite&gt;&lt;Author&gt;National Disability Services&lt;/Author&gt;&lt;Year&gt;2018&lt;/Year&gt;&lt;RecNum&gt;281&lt;/RecNum&gt;&lt;record&gt;&lt;rec-number&gt;281&lt;/rec-number&gt;&lt;foreign-keys&gt;&lt;key app="EN" db-id="dtafe02tlezsd7ef59c5s9fdse5ze52xw2ta" timestamp="1554381896"&gt;281&lt;/key&gt;&lt;/foreign-keys&gt;&lt;ref-type name="Journal Article"&gt;17&lt;/ref-type&gt;&lt;contributors&gt;&lt;authors&gt;&lt;author&gt;National Disability Services,&lt;/author&gt;&lt;/authors&gt;&lt;/contributors&gt;&lt;titles&gt;&lt;title&gt;NDIS Essential Issues: Getting transport on track&lt;/title&gt;&lt;/titles&gt;&lt;dates&gt;&lt;year&gt;2018&lt;/year&gt;&lt;/dates&gt;&lt;urls&gt;&lt;/urls&gt;&lt;/record&gt;&lt;/Cite&gt;&lt;/EndNote&gt;</w:instrText>
      </w:r>
      <w:r w:rsidR="002D37DC" w:rsidRPr="009A1C8E">
        <w:fldChar w:fldCharType="separate"/>
      </w:r>
      <w:r w:rsidR="004C3D69" w:rsidRPr="009A1C8E">
        <w:rPr>
          <w:noProof/>
        </w:rPr>
        <w:t>(17, 33)</w:t>
      </w:r>
      <w:r w:rsidR="002D37DC" w:rsidRPr="009A1C8E">
        <w:fldChar w:fldCharType="end"/>
      </w:r>
      <w:r w:rsidRPr="009A1C8E">
        <w:t>.</w:t>
      </w:r>
    </w:p>
    <w:p w:rsidR="008B18D4" w:rsidRPr="009A1C8E" w:rsidRDefault="008B18D4" w:rsidP="00A14F68">
      <w:pPr>
        <w:spacing w:before="120" w:after="120" w:line="276" w:lineRule="auto"/>
      </w:pPr>
      <w:r w:rsidRPr="009A1C8E">
        <w:t xml:space="preserve">Assistance with travel and transport is also fundamental to community participation by people with disability. In its paper on disability transport in Victoria </w:t>
      </w:r>
      <w:r w:rsidR="002D37DC" w:rsidRPr="009A1C8E">
        <w:fldChar w:fldCharType="begin"/>
      </w:r>
      <w:r w:rsidR="004C3D69" w:rsidRPr="009A1C8E">
        <w:instrText xml:space="preserve"> ADDIN EN.CITE &lt;EndNote&gt;&lt;Cite&gt;&lt;Author&gt;National Disability Services&lt;/Author&gt;&lt;Year&gt;2018&lt;/Year&gt;&lt;RecNum&gt;265&lt;/RecNum&gt;&lt;DisplayText&gt;(17)&lt;/DisplayText&gt;&lt;record&gt;&lt;rec-number&gt;265&lt;/rec-number&gt;&lt;foreign-keys&gt;&lt;key app="EN" db-id="dtafe02tlezsd7ef59c5s9fdse5ze52xw2ta" timestamp="1554321730"&gt;265&lt;/key&gt;&lt;/foreign-keys&gt;&lt;ref-type name="Report"&gt;27&lt;/ref-type&gt;&lt;contributors&gt;&lt;authors&gt;&lt;author&gt;National Disability Services,&lt;/author&gt;&lt;/authors&gt;&lt;/contributors&gt;&lt;titles&gt;&lt;title&gt;Disability Transport in Victoria&lt;/title&gt;&lt;/titles&gt;&lt;dates&gt;&lt;year&gt;2018&lt;/year&gt;&lt;/dates&gt;&lt;urls&gt;&lt;/urls&gt;&lt;/record&gt;&lt;/Cite&gt;&lt;/EndNote&gt;</w:instrText>
      </w:r>
      <w:r w:rsidR="002D37DC" w:rsidRPr="009A1C8E">
        <w:fldChar w:fldCharType="separate"/>
      </w:r>
      <w:r w:rsidR="004C3D69" w:rsidRPr="009A1C8E">
        <w:rPr>
          <w:noProof/>
        </w:rPr>
        <w:t>(17)</w:t>
      </w:r>
      <w:r w:rsidR="002D37DC" w:rsidRPr="009A1C8E">
        <w:fldChar w:fldCharType="end"/>
      </w:r>
      <w:r w:rsidRPr="009A1C8E">
        <w:t>, NDS recommends the following strategies to mitigate risks of thin markets and ensure people with disability have access to community, social and economic opportunities:</w:t>
      </w:r>
    </w:p>
    <w:p w:rsidR="008B18D4" w:rsidRPr="009A1C8E" w:rsidRDefault="008B18D4" w:rsidP="00A14F68">
      <w:pPr>
        <w:pStyle w:val="ListParagraph"/>
        <w:numPr>
          <w:ilvl w:val="0"/>
          <w:numId w:val="21"/>
        </w:numPr>
        <w:spacing w:before="120" w:after="120" w:line="276" w:lineRule="auto"/>
      </w:pPr>
      <w:r w:rsidRPr="009A1C8E">
        <w:t>Adjustment of NDIS transport prices to meet the cost of service provision, via the Bilateral Agreements;</w:t>
      </w:r>
    </w:p>
    <w:p w:rsidR="00CF6ACC" w:rsidRPr="009A1C8E" w:rsidRDefault="008B18D4" w:rsidP="00A14F68">
      <w:pPr>
        <w:pStyle w:val="ListParagraph"/>
        <w:numPr>
          <w:ilvl w:val="0"/>
          <w:numId w:val="21"/>
        </w:numPr>
        <w:spacing w:before="120" w:after="120" w:line="276" w:lineRule="auto"/>
      </w:pPr>
      <w:r w:rsidRPr="009A1C8E">
        <w:t xml:space="preserve">Investment in a Victorian community transport strategy and accessible public transport infrastructure; </w:t>
      </w:r>
    </w:p>
    <w:p w:rsidR="00481E27" w:rsidRPr="009A1C8E" w:rsidRDefault="00481E27" w:rsidP="00A14F68">
      <w:pPr>
        <w:pStyle w:val="ListParagraph"/>
        <w:numPr>
          <w:ilvl w:val="0"/>
          <w:numId w:val="21"/>
        </w:numPr>
        <w:spacing w:before="120" w:after="120" w:line="276" w:lineRule="auto"/>
      </w:pPr>
      <w:r w:rsidRPr="009A1C8E">
        <w:t>Ensuring NDIS participant transport funding allocations a</w:t>
      </w:r>
      <w:r w:rsidR="007C35B5" w:rsidRPr="009A1C8E">
        <w:t>re sufficient;</w:t>
      </w:r>
    </w:p>
    <w:p w:rsidR="008B18D4" w:rsidRPr="009A1C8E" w:rsidRDefault="00CF6ACC" w:rsidP="00A14F68">
      <w:pPr>
        <w:pStyle w:val="ListParagraph"/>
        <w:numPr>
          <w:ilvl w:val="0"/>
          <w:numId w:val="21"/>
        </w:numPr>
        <w:spacing w:before="120" w:after="120" w:line="276" w:lineRule="auto"/>
      </w:pPr>
      <w:r w:rsidRPr="009A1C8E">
        <w:t xml:space="preserve">Confirming the eligibility of NDIS participants in the Multi-Purpose Taxi Program, beyond June 30 2019; </w:t>
      </w:r>
      <w:r w:rsidR="008B18D4" w:rsidRPr="009A1C8E">
        <w:t>and</w:t>
      </w:r>
    </w:p>
    <w:p w:rsidR="008B18D4" w:rsidRPr="009A1C8E" w:rsidRDefault="008B18D4" w:rsidP="00A14F68">
      <w:pPr>
        <w:pStyle w:val="ListParagraph"/>
        <w:numPr>
          <w:ilvl w:val="0"/>
          <w:numId w:val="21"/>
        </w:numPr>
        <w:spacing w:before="120" w:after="120" w:line="276" w:lineRule="auto"/>
      </w:pPr>
      <w:r w:rsidRPr="009A1C8E">
        <w:t>Piloting development of innovative fleet management models and use of transport technology.</w:t>
      </w:r>
    </w:p>
    <w:p w:rsidR="008B18D4" w:rsidRPr="009A1C8E" w:rsidRDefault="008B18D4" w:rsidP="00A14F68">
      <w:pPr>
        <w:spacing w:before="120" w:after="120" w:line="276" w:lineRule="auto"/>
      </w:pPr>
      <w:r w:rsidRPr="009A1C8E">
        <w:t xml:space="preserve">On the other hand, </w:t>
      </w:r>
      <w:r w:rsidRPr="005657C4">
        <w:rPr>
          <w:b/>
        </w:rPr>
        <w:t xml:space="preserve">provider travel is impacting the ability of organisations to meet requests from participants living far away, particularly in regional and rural </w:t>
      </w:r>
      <w:r w:rsidRPr="005657C4">
        <w:rPr>
          <w:b/>
        </w:rPr>
        <w:lastRenderedPageBreak/>
        <w:t>locations.</w:t>
      </w:r>
      <w:r w:rsidRPr="009A1C8E">
        <w:t xml:space="preserve"> </w:t>
      </w:r>
      <w:proofErr w:type="gramStart"/>
      <w:r w:rsidRPr="009A1C8E">
        <w:t>Services for participants in these hard-to-reach areas is</w:t>
      </w:r>
      <w:proofErr w:type="gramEnd"/>
      <w:r w:rsidRPr="009A1C8E">
        <w:t xml:space="preserve"> hardly viable under the existing travel pricing arrangements. At a regional level, we have already observed significant financial viability risks, workforce challenges and a greater likelihood of organisational closure. The impact of pricing and workforce availability further exacerbate the risk of thin regional markets. To effectively mitigate this risk, NDS supports the strategies in the Market Enablement Framework, particularly “working with providers to identify incentives to deliver supports, for example use of remote travel provisions across a number of participants in a similar location”. Strategies need to be developed, as worker travel is fundamental in supporting participant goals across diverse settings.</w:t>
      </w:r>
    </w:p>
    <w:p w:rsidR="008B18D4" w:rsidRPr="00E43D9D" w:rsidRDefault="008B18D4" w:rsidP="005E0829">
      <w:pPr>
        <w:spacing w:line="259" w:lineRule="auto"/>
        <w:rPr>
          <w:b/>
        </w:rPr>
      </w:pPr>
      <w:r w:rsidRPr="00E43D9D">
        <w:rPr>
          <w:b/>
        </w:rPr>
        <w:t>Community-based day services are at risk:</w:t>
      </w:r>
    </w:p>
    <w:p w:rsidR="008B18D4" w:rsidRPr="009A1C8E" w:rsidRDefault="008B18D4" w:rsidP="00A14F68">
      <w:pPr>
        <w:pStyle w:val="ListParagraph"/>
        <w:numPr>
          <w:ilvl w:val="0"/>
          <w:numId w:val="20"/>
        </w:numPr>
        <w:spacing w:before="120" w:after="120" w:line="276" w:lineRule="auto"/>
      </w:pPr>
      <w:r w:rsidRPr="009A1C8E">
        <w:t>Just under half of providers (40%) delivering community and centre-based activities report that more activities are being held in the centre;</w:t>
      </w:r>
    </w:p>
    <w:p w:rsidR="008B18D4" w:rsidRPr="009A1C8E" w:rsidRDefault="008B18D4" w:rsidP="00A14F68">
      <w:pPr>
        <w:pStyle w:val="ListParagraph"/>
        <w:numPr>
          <w:ilvl w:val="0"/>
          <w:numId w:val="20"/>
        </w:numPr>
        <w:spacing w:before="120" w:after="120" w:line="276" w:lineRule="auto"/>
      </w:pPr>
      <w:r w:rsidRPr="009A1C8E">
        <w:t xml:space="preserve">Pricing changes have </w:t>
      </w:r>
      <w:r w:rsidR="00434A04" w:rsidRPr="009A1C8E">
        <w:t>contributed to</w:t>
      </w:r>
      <w:r w:rsidRPr="009A1C8E">
        <w:t xml:space="preserve"> </w:t>
      </w:r>
      <w:r w:rsidR="00D25C2F" w:rsidRPr="009A1C8E">
        <w:t xml:space="preserve">31% of </w:t>
      </w:r>
      <w:r w:rsidRPr="009A1C8E">
        <w:t>providers having fewer resources available to organise community participation opportunities</w:t>
      </w:r>
      <w:r w:rsidR="00434A04" w:rsidRPr="009A1C8E">
        <w:t>,</w:t>
      </w:r>
      <w:r w:rsidRPr="009A1C8E">
        <w:t xml:space="preserve"> and </w:t>
      </w:r>
      <w:r w:rsidR="00D25C2F" w:rsidRPr="009A1C8E">
        <w:t xml:space="preserve">14% of providers </w:t>
      </w:r>
      <w:r w:rsidRPr="009A1C8E">
        <w:t>considering ceasing operation</w:t>
      </w:r>
      <w:r w:rsidR="00DF6523" w:rsidRPr="009A1C8E">
        <w:t xml:space="preserve"> of non-centre-based activities</w:t>
      </w:r>
      <w:r w:rsidRPr="009A1C8E">
        <w:t>.</w:t>
      </w:r>
    </w:p>
    <w:p w:rsidR="00EE58E9" w:rsidRPr="009A1C8E" w:rsidRDefault="008B18D4" w:rsidP="00A14F68">
      <w:pPr>
        <w:spacing w:before="120" w:after="120" w:line="276" w:lineRule="auto"/>
        <w:rPr>
          <w:b/>
        </w:rPr>
      </w:pPr>
      <w:r w:rsidRPr="009A1C8E">
        <w:t>NDIS Price Guide changes from 1 July 2018 have significantly constrained the viability of community-based day services. Pricing encourages providers to deliver supports in larger groups and provide centre-based supports as opposed to community-based activities. NDS is pleased to see that the base limit for attendant care and community participation will be increased up to 15.4% from 1 July 2019. These price increases are long-awaited and necessary to ensure people with disability have access to the high</w:t>
      </w:r>
      <w:r w:rsidRPr="009A1C8E">
        <w:noBreakHyphen/>
      </w:r>
      <w:proofErr w:type="spellStart"/>
      <w:r w:rsidRPr="009A1C8E">
        <w:t>quality</w:t>
      </w:r>
      <w:proofErr w:type="spellEnd"/>
      <w:r w:rsidRPr="009A1C8E">
        <w:t xml:space="preserve"> innovative services required to support their engagement in community, social and recreational activities. Despite the price increases, however, providers will continue to face labour intensive administrative processes and workforce challenges which further limit the delivery of flexible, person-centred supports.</w:t>
      </w:r>
    </w:p>
    <w:p w:rsidR="008B18D4" w:rsidRPr="00E43D9D" w:rsidRDefault="008B18D4" w:rsidP="00A14F68">
      <w:pPr>
        <w:spacing w:before="120" w:after="120" w:line="276" w:lineRule="auto"/>
        <w:rPr>
          <w:b/>
        </w:rPr>
      </w:pPr>
      <w:r w:rsidRPr="00E43D9D">
        <w:rPr>
          <w:b/>
        </w:rPr>
        <w:t>1:1 and high intensity supports are at risk:</w:t>
      </w:r>
    </w:p>
    <w:p w:rsidR="008B18D4" w:rsidRPr="009A1C8E" w:rsidRDefault="008B18D4" w:rsidP="00A14F68">
      <w:pPr>
        <w:spacing w:before="120" w:after="120" w:line="276" w:lineRule="auto"/>
      </w:pPr>
      <w:r w:rsidRPr="009A1C8E">
        <w:t>Lean pricing is forcing providers to decline new requests for high intensity daily personal activities and 1:1 community and centre-based supports. Services for NDIS participants with complex support needs are also particularly at risk, as:</w:t>
      </w:r>
    </w:p>
    <w:p w:rsidR="008B18D4" w:rsidRPr="009A1C8E" w:rsidRDefault="008B18D4" w:rsidP="00A14F68">
      <w:pPr>
        <w:pStyle w:val="ListParagraph"/>
        <w:numPr>
          <w:ilvl w:val="0"/>
          <w:numId w:val="36"/>
        </w:numPr>
        <w:spacing w:before="120" w:after="120" w:line="276" w:lineRule="auto"/>
      </w:pPr>
      <w:r w:rsidRPr="009A1C8E">
        <w:t>Providers plan to stop or reduce high intensity daily personal activities;</w:t>
      </w:r>
    </w:p>
    <w:p w:rsidR="008B18D4" w:rsidRPr="009A1C8E" w:rsidRDefault="008B18D4" w:rsidP="00A14F68">
      <w:pPr>
        <w:pStyle w:val="ListParagraph"/>
        <w:numPr>
          <w:ilvl w:val="0"/>
          <w:numId w:val="36"/>
        </w:numPr>
        <w:spacing w:before="120" w:after="120" w:line="276" w:lineRule="auto"/>
      </w:pPr>
      <w:r w:rsidRPr="009A1C8E">
        <w:t>Providers have received requests from participants with high needs and clients with behaviours of concern that have they been unable to provide; and</w:t>
      </w:r>
    </w:p>
    <w:p w:rsidR="008B18D4" w:rsidRPr="009A1C8E" w:rsidRDefault="008B18D4" w:rsidP="00A14F68">
      <w:pPr>
        <w:pStyle w:val="ListParagraph"/>
        <w:numPr>
          <w:ilvl w:val="0"/>
          <w:numId w:val="20"/>
        </w:numPr>
        <w:spacing w:before="120" w:after="120" w:line="276" w:lineRule="auto"/>
      </w:pPr>
      <w:r w:rsidRPr="009A1C8E">
        <w:t>As noted above, day service providers:</w:t>
      </w:r>
    </w:p>
    <w:p w:rsidR="008B18D4" w:rsidRPr="009A1C8E" w:rsidRDefault="008B18D4" w:rsidP="00A14F68">
      <w:pPr>
        <w:pStyle w:val="ListParagraph"/>
        <w:numPr>
          <w:ilvl w:val="1"/>
          <w:numId w:val="20"/>
        </w:numPr>
        <w:spacing w:before="120" w:after="120" w:line="276" w:lineRule="auto"/>
      </w:pPr>
      <w:r w:rsidRPr="009A1C8E">
        <w:t>Plan to exit people with high support needs from their day services;</w:t>
      </w:r>
    </w:p>
    <w:p w:rsidR="008B18D4" w:rsidRPr="009A1C8E" w:rsidRDefault="008B18D4" w:rsidP="00A14F68">
      <w:pPr>
        <w:pStyle w:val="ListParagraph"/>
        <w:numPr>
          <w:ilvl w:val="1"/>
          <w:numId w:val="20"/>
        </w:numPr>
        <w:spacing w:before="120" w:after="120" w:line="276" w:lineRule="auto"/>
      </w:pPr>
      <w:r w:rsidRPr="009A1C8E">
        <w:lastRenderedPageBreak/>
        <w:t>Anticipate that exited participants (and those they have been unable to service) will not have their needs met by other providers and will go without service (30%);</w:t>
      </w:r>
    </w:p>
    <w:p w:rsidR="008B18D4" w:rsidRPr="009A1C8E" w:rsidRDefault="008B18D4" w:rsidP="00A14F68">
      <w:pPr>
        <w:pStyle w:val="ListParagraph"/>
        <w:numPr>
          <w:ilvl w:val="1"/>
          <w:numId w:val="20"/>
        </w:numPr>
        <w:spacing w:before="120" w:after="120" w:line="276" w:lineRule="auto"/>
      </w:pPr>
      <w:r w:rsidRPr="009A1C8E">
        <w:t>Have not accepted new participants with complex needs in 2019 (39%) and 24% are unable to do so; and</w:t>
      </w:r>
    </w:p>
    <w:p w:rsidR="008B18D4" w:rsidRPr="009A1C8E" w:rsidRDefault="008B18D4" w:rsidP="00A14F68">
      <w:pPr>
        <w:pStyle w:val="ListParagraph"/>
        <w:numPr>
          <w:ilvl w:val="1"/>
          <w:numId w:val="20"/>
        </w:numPr>
        <w:spacing w:before="120" w:after="120" w:line="276" w:lineRule="auto"/>
      </w:pPr>
      <w:r w:rsidRPr="009A1C8E">
        <w:t>Are supporting people with complex support needs in groups rather than on an individual basis.</w:t>
      </w:r>
    </w:p>
    <w:p w:rsidR="008B18D4" w:rsidRPr="009A1C8E" w:rsidRDefault="008B18D4" w:rsidP="00A14F68">
      <w:pPr>
        <w:spacing w:before="120" w:after="120" w:line="276" w:lineRule="auto"/>
      </w:pPr>
      <w:r w:rsidRPr="009A1C8E">
        <w:t xml:space="preserve">The Joint Standing Committee </w:t>
      </w:r>
      <w:r w:rsidR="002D37DC" w:rsidRPr="009A1C8E">
        <w:fldChar w:fldCharType="begin"/>
      </w:r>
      <w:r w:rsidR="004C3D69" w:rsidRPr="009A1C8E">
        <w:instrText xml:space="preserve"> ADDIN EN.CITE &lt;EndNote&gt;&lt;Cite&gt;&lt;Author&gt;Joint Standing Committee on the National Disability Insurance Scheme&lt;/Author&gt;&lt;Year&gt;2018&lt;/Year&gt;&lt;RecNum&gt;269&lt;/RecNum&gt;&lt;DisplayText&gt;(21)&lt;/DisplayText&gt;&lt;record&gt;&lt;rec-number&gt;269&lt;/rec-number&gt;&lt;foreign-keys&gt;&lt;key app="EN" db-id="dtafe02tlezsd7ef59c5s9fdse5ze52xw2ta" timestamp="1554379062"&gt;269&lt;/key&gt;&lt;/foreign-keys&gt;&lt;ref-type name="Report"&gt;27&lt;/ref-type&gt;&lt;contributors&gt;&lt;authors&gt;&lt;author&gt;Joint Standing Committee on the National Disability Insurance Scheme,&lt;/author&gt;&lt;/authors&gt;&lt;/contributors&gt;&lt;titles&gt;&lt;title&gt;Market readiness for provision of services under the NDIS&lt;/title&gt;&lt;/titles&gt;&lt;dates&gt;&lt;year&gt;2018&lt;/year&gt;&lt;/dates&gt;&lt;urls&gt;&lt;/urls&gt;&lt;/record&gt;&lt;/Cite&gt;&lt;/EndNote&gt;</w:instrText>
      </w:r>
      <w:r w:rsidR="002D37DC" w:rsidRPr="009A1C8E">
        <w:fldChar w:fldCharType="separate"/>
      </w:r>
      <w:r w:rsidR="004C3D69" w:rsidRPr="009A1C8E">
        <w:rPr>
          <w:noProof/>
        </w:rPr>
        <w:t>(21)</w:t>
      </w:r>
      <w:r w:rsidR="002D37DC" w:rsidRPr="009A1C8E">
        <w:fldChar w:fldCharType="end"/>
      </w:r>
      <w:r w:rsidRPr="009A1C8E">
        <w:t xml:space="preserve">, the Productivity Commission </w:t>
      </w:r>
      <w:r w:rsidR="002D37DC" w:rsidRPr="009A1C8E">
        <w:fldChar w:fldCharType="begin"/>
      </w:r>
      <w:r w:rsidR="004D52BE" w:rsidRPr="009A1C8E">
        <w:instrText xml:space="preserve"> ADDIN EN.CITE &lt;EndNote&gt;&lt;Cite&gt;&lt;Author&gt;Productivity Commission&lt;/Author&gt;&lt;Year&gt;2017&lt;/Year&gt;&lt;RecNum&gt;254&lt;/RecNum&gt;&lt;DisplayText&gt;(4)&lt;/DisplayText&gt;&lt;record&gt;&lt;rec-number&gt;254&lt;/rec-number&gt;&lt;foreign-keys&gt;&lt;key app="EN" db-id="dtafe02tlezsd7ef59c5s9fdse5ze52xw2ta" timestamp="1554298100"&gt;254&lt;/key&gt;&lt;/foreign-keys&gt;&lt;ref-type name="Report"&gt;27&lt;/ref-type&gt;&lt;contributors&gt;&lt;authors&gt;&lt;author&gt;Productivity Commission,&lt;/author&gt;&lt;/authors&gt;&lt;/contributors&gt;&lt;titles&gt;&lt;title&gt;National Disability Insurance Scheme (NDIS) Costs&lt;/title&gt;&lt;secondary-title&gt;Study report&lt;/secondary-title&gt;&lt;/titles&gt;&lt;dates&gt;&lt;year&gt;2017&lt;/year&gt;&lt;/dates&gt;&lt;publisher&gt;Canberra&lt;/publisher&gt;&lt;urls&gt;&lt;/urls&gt;&lt;/record&gt;&lt;/Cite&gt;&lt;/EndNote&gt;</w:instrText>
      </w:r>
      <w:r w:rsidR="002D37DC" w:rsidRPr="009A1C8E">
        <w:fldChar w:fldCharType="separate"/>
      </w:r>
      <w:r w:rsidR="004D52BE" w:rsidRPr="009A1C8E">
        <w:rPr>
          <w:noProof/>
        </w:rPr>
        <w:t>(4)</w:t>
      </w:r>
      <w:r w:rsidR="002D37DC" w:rsidRPr="009A1C8E">
        <w:fldChar w:fldCharType="end"/>
      </w:r>
      <w:r w:rsidRPr="009A1C8E">
        <w:t xml:space="preserve"> and the </w:t>
      </w:r>
      <w:proofErr w:type="spellStart"/>
      <w:r w:rsidRPr="009A1C8E">
        <w:t>McKinsey&amp;Company</w:t>
      </w:r>
      <w:proofErr w:type="spellEnd"/>
      <w:r w:rsidRPr="009A1C8E">
        <w:t xml:space="preserve"> review </w:t>
      </w:r>
      <w:r w:rsidR="002D37DC" w:rsidRPr="009A1C8E">
        <w:fldChar w:fldCharType="begin"/>
      </w:r>
      <w:r w:rsidR="004C3D69" w:rsidRPr="009A1C8E">
        <w:instrText xml:space="preserve"> ADDIN EN.CITE &lt;EndNote&gt;&lt;Cite&gt;&lt;Author&gt;McKinsey&amp;amp;Company&lt;/Author&gt;&lt;Year&gt;2018&lt;/Year&gt;&lt;RecNum&gt;270&lt;/RecNum&gt;&lt;DisplayText&gt;(22)&lt;/DisplayText&gt;&lt;record&gt;&lt;rec-number&gt;270&lt;/rec-number&gt;&lt;foreign-keys&gt;&lt;key app="EN" db-id="dtafe02tlezsd7ef59c5s9fdse5ze52xw2ta" timestamp="1554379199"&gt;270&lt;/key&gt;&lt;/foreign-keys&gt;&lt;ref-type name="Journal Article"&gt;17&lt;/ref-type&gt;&lt;contributors&gt;&lt;authors&gt;&lt;author&gt;McKinsey&amp;amp;Company&lt;/author&gt;&lt;/authors&gt;&lt;/contributors&gt;&lt;titles&gt;&lt;title&gt;Independent Pricing Review - National Disability Insurance Agency&lt;/title&gt;&lt;/titles&gt;&lt;dates&gt;&lt;year&gt;2018&lt;/year&gt;&lt;/dates&gt;&lt;urls&gt;&lt;/urls&gt;&lt;/record&gt;&lt;/Cite&gt;&lt;/EndNote&gt;</w:instrText>
      </w:r>
      <w:r w:rsidR="002D37DC" w:rsidRPr="009A1C8E">
        <w:fldChar w:fldCharType="separate"/>
      </w:r>
      <w:r w:rsidR="004C3D69" w:rsidRPr="009A1C8E">
        <w:rPr>
          <w:noProof/>
        </w:rPr>
        <w:t>(22)</w:t>
      </w:r>
      <w:r w:rsidR="002D37DC" w:rsidRPr="009A1C8E">
        <w:fldChar w:fldCharType="end"/>
      </w:r>
      <w:r w:rsidR="00F340BF" w:rsidRPr="009A1C8E">
        <w:t xml:space="preserve"> </w:t>
      </w:r>
      <w:r w:rsidRPr="009A1C8E">
        <w:t xml:space="preserve">all acknowledged that </w:t>
      </w:r>
      <w:r w:rsidRPr="009A1C8E">
        <w:rPr>
          <w:b/>
        </w:rPr>
        <w:t>people with complex, specialised needs or challenging behaviours are at significant risk of market gaps</w:t>
      </w:r>
      <w:r w:rsidRPr="009A1C8E">
        <w:t>. Despite participants with complex needs having access to large NDIS packages, providers must prioritise financial viability and therefore may ‘cherry pick’ participants with less complex needs. As the Office of the Public Advocate notes</w:t>
      </w:r>
      <w:r w:rsidR="004D2FD1" w:rsidRPr="009A1C8E">
        <w:t xml:space="preserve"> </w:t>
      </w:r>
      <w:r w:rsidR="002D37DC" w:rsidRPr="009A1C8E">
        <w:fldChar w:fldCharType="begin"/>
      </w:r>
      <w:r w:rsidR="004C3D69" w:rsidRPr="009A1C8E">
        <w:instrText xml:space="preserve"> ADDIN EN.CITE &lt;EndNote&gt;&lt;Cite&gt;&lt;Author&gt;Office of the Public Advocate&lt;/Author&gt;&lt;Year&gt;2018&lt;/Year&gt;&lt;RecNum&gt;282&lt;/RecNum&gt;&lt;DisplayText&gt;(34)&lt;/DisplayText&gt;&lt;record&gt;&lt;rec-number&gt;282&lt;/rec-number&gt;&lt;foreign-keys&gt;&lt;key app="EN" db-id="dtafe02tlezsd7ef59c5s9fdse5ze52xw2ta" timestamp="1554382094"&gt;282&lt;/key&gt;&lt;/foreign-keys&gt;&lt;ref-type name="Journal Article"&gt;17&lt;/ref-type&gt;&lt;contributors&gt;&lt;authors&gt;&lt;author&gt;Office of the Public Advocate,&lt;/author&gt;&lt;/authors&gt;&lt;/contributors&gt;&lt;titles&gt;&lt;title&gt;The illusion of ‘Choice and Control’&lt;/title&gt;&lt;/titles&gt;&lt;dates&gt;&lt;year&gt;2018&lt;/year&gt;&lt;/dates&gt;&lt;urls&gt;&lt;/urls&gt;&lt;/record&gt;&lt;/Cite&gt;&lt;/EndNote&gt;</w:instrText>
      </w:r>
      <w:r w:rsidR="002D37DC" w:rsidRPr="009A1C8E">
        <w:fldChar w:fldCharType="separate"/>
      </w:r>
      <w:r w:rsidR="004C3D69" w:rsidRPr="009A1C8E">
        <w:rPr>
          <w:noProof/>
        </w:rPr>
        <w:t>(34)</w:t>
      </w:r>
      <w:r w:rsidR="002D37DC" w:rsidRPr="009A1C8E">
        <w:fldChar w:fldCharType="end"/>
      </w:r>
      <w:r w:rsidRPr="009A1C8E">
        <w:t>, “people in this cohort are not an attractive business prospect for the private market”, particularly given the “complexity, challenges and risks involves in meeting their needs”.</w:t>
      </w:r>
    </w:p>
    <w:p w:rsidR="008B18D4" w:rsidRPr="009A1C8E" w:rsidRDefault="008B18D4" w:rsidP="00A14F68">
      <w:pPr>
        <w:spacing w:before="120" w:after="120" w:line="276" w:lineRule="auto"/>
      </w:pPr>
      <w:r w:rsidRPr="009A1C8E">
        <w:t xml:space="preserve">NDIS pricing is directly influencing these results as current prices are insufficient to ensure adequate staff training and appropriate support for participants with complex needs. NDS is pleased to see a recent increase in complexity </w:t>
      </w:r>
      <w:proofErr w:type="gramStart"/>
      <w:r w:rsidRPr="009A1C8E">
        <w:t>prices,</w:t>
      </w:r>
      <w:proofErr w:type="gramEnd"/>
      <w:r w:rsidRPr="009A1C8E">
        <w:t xml:space="preserve"> however providers continue to bear significant administrative costs and difficulties in </w:t>
      </w:r>
      <w:proofErr w:type="spellStart"/>
      <w:r w:rsidRPr="009A1C8E">
        <w:t>operationalising</w:t>
      </w:r>
      <w:proofErr w:type="spellEnd"/>
      <w:r w:rsidRPr="009A1C8E">
        <w:t xml:space="preserve"> these prices changes. The Complex Needs Support Pathway is also a positive step in facilitating better outcomes for people with complex needs, however providers will continue to ‘cherry pick’ unless appropriate incentives are in place. Internationally, the following actions have been employed to improve equity:</w:t>
      </w:r>
    </w:p>
    <w:p w:rsidR="008B18D4" w:rsidRPr="009A1C8E" w:rsidRDefault="008B18D4" w:rsidP="00A14F68">
      <w:pPr>
        <w:pStyle w:val="ListParagraph"/>
        <w:numPr>
          <w:ilvl w:val="0"/>
          <w:numId w:val="20"/>
        </w:numPr>
        <w:spacing w:before="120" w:after="120" w:line="276" w:lineRule="auto"/>
      </w:pPr>
      <w:r w:rsidRPr="009A1C8E">
        <w:t>Further subsidies for vulnerable groups;</w:t>
      </w:r>
    </w:p>
    <w:p w:rsidR="008B18D4" w:rsidRPr="009A1C8E" w:rsidRDefault="008B18D4" w:rsidP="00A14F68">
      <w:pPr>
        <w:pStyle w:val="ListParagraph"/>
        <w:numPr>
          <w:ilvl w:val="0"/>
          <w:numId w:val="20"/>
        </w:numPr>
        <w:spacing w:before="120" w:after="120" w:line="276" w:lineRule="auto"/>
      </w:pPr>
      <w:r w:rsidRPr="009A1C8E">
        <w:t xml:space="preserve">Direct payments to build up staff and expertise through increased demand; </w:t>
      </w:r>
    </w:p>
    <w:p w:rsidR="008B18D4" w:rsidRPr="009A1C8E" w:rsidRDefault="008B18D4" w:rsidP="00A14F68">
      <w:pPr>
        <w:pStyle w:val="ListParagraph"/>
        <w:numPr>
          <w:ilvl w:val="0"/>
          <w:numId w:val="20"/>
        </w:numPr>
        <w:spacing w:before="120" w:after="120" w:line="276" w:lineRule="auto"/>
      </w:pPr>
      <w:r w:rsidRPr="009A1C8E">
        <w:t>Greater funding given to people in areas of more need; and</w:t>
      </w:r>
    </w:p>
    <w:p w:rsidR="008B18D4" w:rsidRPr="009A1C8E" w:rsidRDefault="008B18D4" w:rsidP="00A14F68">
      <w:pPr>
        <w:pStyle w:val="ListParagraph"/>
        <w:numPr>
          <w:ilvl w:val="0"/>
          <w:numId w:val="20"/>
        </w:numPr>
        <w:spacing w:before="120" w:after="120" w:line="276" w:lineRule="auto"/>
      </w:pPr>
      <w:r w:rsidRPr="009A1C8E">
        <w:t>Provider of last resort arrangements</w:t>
      </w:r>
      <w:r w:rsidR="00F27463" w:rsidRPr="009A1C8E">
        <w:t xml:space="preserve"> </w:t>
      </w:r>
      <w:r w:rsidR="002D37DC" w:rsidRPr="009A1C8E">
        <w:fldChar w:fldCharType="begin"/>
      </w:r>
      <w:r w:rsidR="005D588A" w:rsidRPr="009A1C8E">
        <w:instrText xml:space="preserve"> ADDIN EN.CITE &lt;EndNote&gt;&lt;Cite&gt;&lt;Author&gt;Carey&lt;/Author&gt;&lt;Year&gt;2018&lt;/Year&gt;&lt;RecNum&gt;258&lt;/RecNum&gt;&lt;DisplayText&gt;(9)&lt;/DisplayText&gt;&lt;record&gt;&lt;rec-number&gt;258&lt;/rec-number&gt;&lt;foreign-keys&gt;&lt;key app="EN" db-id="dtafe02tlezsd7ef59c5s9fdse5ze52xw2ta" timestamp="1554302032"&gt;258&lt;/key&gt;&lt;/foreign-keys&gt;&lt;ref-type name="Report"&gt;27&lt;/ref-type&gt;&lt;contributors&gt;&lt;authors&gt;&lt;author&gt;Carey, Gemma&lt;/author&gt;&lt;author&gt;Malbon, Eleanor&lt;/author&gt;&lt;author&gt;Marjolin, Axelle&lt;/author&gt;&lt;author&gt;Reeders, Daniel&lt;/author&gt;&lt;/authors&gt;&lt;/contributors&gt;&lt;titles&gt;&lt;title&gt;National Disability Markets: Market stewardship actions for the NDIS&lt;/title&gt;&lt;/titles&gt;&lt;dates&gt;&lt;year&gt;2018&lt;/year&gt;&lt;/dates&gt;&lt;publisher&gt;Centre for Social Impact&lt;/publisher&gt;&lt;urls&gt;&lt;/urls&gt;&lt;/record&gt;&lt;/Cite&gt;&lt;/EndNote&gt;</w:instrText>
      </w:r>
      <w:r w:rsidR="002D37DC" w:rsidRPr="009A1C8E">
        <w:fldChar w:fldCharType="separate"/>
      </w:r>
      <w:r w:rsidR="005D588A" w:rsidRPr="009A1C8E">
        <w:rPr>
          <w:noProof/>
        </w:rPr>
        <w:t>(9)</w:t>
      </w:r>
      <w:r w:rsidR="002D37DC" w:rsidRPr="009A1C8E">
        <w:fldChar w:fldCharType="end"/>
      </w:r>
      <w:r w:rsidRPr="009A1C8E">
        <w:t>.</w:t>
      </w:r>
    </w:p>
    <w:p w:rsidR="008B18D4" w:rsidRPr="009A1C8E" w:rsidRDefault="008B18D4" w:rsidP="00A14F68">
      <w:pPr>
        <w:spacing w:before="120" w:after="120" w:line="276" w:lineRule="auto"/>
      </w:pPr>
      <w:r w:rsidRPr="009A1C8E">
        <w:t>This international evidence suggests the following actions would be appropriate:</w:t>
      </w:r>
    </w:p>
    <w:p w:rsidR="008B18D4" w:rsidRPr="009A1C8E" w:rsidRDefault="008B18D4" w:rsidP="00A14F68">
      <w:pPr>
        <w:pStyle w:val="ListParagraph"/>
        <w:numPr>
          <w:ilvl w:val="0"/>
          <w:numId w:val="39"/>
        </w:numPr>
        <w:spacing w:before="120" w:after="120" w:line="276" w:lineRule="auto"/>
      </w:pPr>
      <w:r w:rsidRPr="009A1C8E">
        <w:t>Continued review of NDIS prices for high intensity/complex needs supports;</w:t>
      </w:r>
    </w:p>
    <w:p w:rsidR="008B18D4" w:rsidRPr="009A1C8E" w:rsidRDefault="008B18D4" w:rsidP="00A14F68">
      <w:pPr>
        <w:pStyle w:val="ListParagraph"/>
        <w:numPr>
          <w:ilvl w:val="0"/>
          <w:numId w:val="39"/>
        </w:numPr>
        <w:spacing w:before="120" w:after="120" w:line="276" w:lineRule="auto"/>
      </w:pPr>
      <w:r w:rsidRPr="009A1C8E">
        <w:t>Funded training to support the development of a suitably skilled workforce, which also supports organisations to meet obligations mandated by the NDIS Quality and Safeguards Commission;</w:t>
      </w:r>
    </w:p>
    <w:p w:rsidR="008B18D4" w:rsidRPr="009A1C8E" w:rsidRDefault="008B18D4" w:rsidP="00A14F68">
      <w:pPr>
        <w:pStyle w:val="ListParagraph"/>
        <w:numPr>
          <w:ilvl w:val="0"/>
          <w:numId w:val="39"/>
        </w:numPr>
        <w:spacing w:before="120" w:after="120" w:line="276" w:lineRule="auto"/>
      </w:pPr>
      <w:r w:rsidRPr="009A1C8E">
        <w:t>Monitoring the outcomes of the Complex Needs Support Pathway, as this should help ensure participants receive adequate plans; and</w:t>
      </w:r>
    </w:p>
    <w:p w:rsidR="008B18D4" w:rsidRPr="009A1C8E" w:rsidRDefault="008B18D4" w:rsidP="00A14F68">
      <w:pPr>
        <w:pStyle w:val="ListParagraph"/>
        <w:numPr>
          <w:ilvl w:val="0"/>
          <w:numId w:val="39"/>
        </w:numPr>
        <w:spacing w:before="120" w:after="120" w:line="276" w:lineRule="auto"/>
      </w:pPr>
      <w:r w:rsidRPr="009A1C8E">
        <w:t>Establishing a crisis response policy and provider of last resort arrangements.</w:t>
      </w:r>
    </w:p>
    <w:p w:rsidR="008B18D4" w:rsidRPr="009A1C8E" w:rsidRDefault="008B18D4" w:rsidP="00830706">
      <w:pPr>
        <w:pStyle w:val="Heading2"/>
      </w:pPr>
      <w:bookmarkStart w:id="49" w:name="_Toc7614954"/>
      <w:r w:rsidRPr="009A1C8E">
        <w:lastRenderedPageBreak/>
        <w:t>5.5 Merger activity and winding-up</w:t>
      </w:r>
      <w:bookmarkEnd w:id="49"/>
    </w:p>
    <w:p w:rsidR="008B18D4" w:rsidRPr="009A1C8E" w:rsidRDefault="008B18D4" w:rsidP="00A14F68">
      <w:pPr>
        <w:spacing w:before="120" w:after="120" w:line="276" w:lineRule="auto"/>
      </w:pPr>
      <w:r w:rsidRPr="009A1C8E">
        <w:t xml:space="preserve">NDIS pricing, the financial viability of organisations and the </w:t>
      </w:r>
      <w:r w:rsidRPr="009A1C8E">
        <w:rPr>
          <w:color w:val="000000" w:themeColor="text1"/>
        </w:rPr>
        <w:t xml:space="preserve">availability </w:t>
      </w:r>
      <w:r w:rsidRPr="009A1C8E">
        <w:t xml:space="preserve">of a flexible workforce collectively impact organisations’ decision to merge or wind-up. The majority of Victorian organisations have not discussed merging, do not plan on undertaking a merger, or have not completed a merger. Similarly, the majority have not discussed winding-up their operations. Nevertheless, in the next two years, 38% perceive it to be </w:t>
      </w:r>
      <w:r w:rsidR="00D06A2E" w:rsidRPr="009A1C8E">
        <w:t>“</w:t>
      </w:r>
      <w:r w:rsidRPr="009A1C8E">
        <w:t>very likely or likely</w:t>
      </w:r>
      <w:r w:rsidR="00D06A2E" w:rsidRPr="009A1C8E">
        <w:t>”</w:t>
      </w:r>
      <w:r w:rsidRPr="009A1C8E">
        <w:t xml:space="preserve"> that their organisation will complete a merger, while 41% indicate that it is </w:t>
      </w:r>
      <w:r w:rsidR="00D06A2E" w:rsidRPr="009A1C8E">
        <w:t>“</w:t>
      </w:r>
      <w:r w:rsidRPr="009A1C8E">
        <w:t>very unlikely or unlikely</w:t>
      </w:r>
      <w:r w:rsidR="00D06A2E" w:rsidRPr="009A1C8E">
        <w:t>”</w:t>
      </w:r>
      <w:r w:rsidRPr="009A1C8E">
        <w:t>.</w:t>
      </w:r>
    </w:p>
    <w:p w:rsidR="008B18D4" w:rsidRPr="009A1C8E" w:rsidRDefault="008B18D4" w:rsidP="00A14F68">
      <w:pPr>
        <w:spacing w:before="120" w:after="120" w:line="276" w:lineRule="auto"/>
      </w:pPr>
      <w:r w:rsidRPr="009A1C8E">
        <w:t xml:space="preserve">A recent KPMG report </w:t>
      </w:r>
      <w:r w:rsidR="002D37DC" w:rsidRPr="009A1C8E">
        <w:fldChar w:fldCharType="begin"/>
      </w:r>
      <w:r w:rsidR="004C3D69" w:rsidRPr="009A1C8E">
        <w:instrText xml:space="preserve"> ADDIN EN.CITE &lt;EndNote&gt;&lt;Cite&gt;&lt;Author&gt;KPMG&lt;/Author&gt;&lt;Year&gt;2018&lt;/Year&gt;&lt;RecNum&gt;283&lt;/RecNum&gt;&lt;DisplayText&gt;(35)&lt;/DisplayText&gt;&lt;record&gt;&lt;rec-number&gt;283&lt;/rec-number&gt;&lt;foreign-keys&gt;&lt;key app="EN" db-id="dtafe02tlezsd7ef59c5s9fdse5ze52xw2ta" timestamp="1554382336"&gt;283&lt;/key&gt;&lt;/foreign-keys&gt;&lt;ref-type name="Journal Article"&gt;17&lt;/ref-type&gt;&lt;contributors&gt;&lt;authors&gt;&lt;author&gt;KPMG&lt;/author&gt;&lt;/authors&gt;&lt;/contributors&gt;&lt;titles&gt;&lt;title&gt;Australia’s Evolving Deals Landscape&lt;/title&gt;&lt;/titles&gt;&lt;dates&gt;&lt;year&gt;2018&lt;/year&gt;&lt;/dates&gt;&lt;urls&gt;&lt;/urls&gt;&lt;/record&gt;&lt;/Cite&gt;&lt;/EndNote&gt;</w:instrText>
      </w:r>
      <w:r w:rsidR="002D37DC" w:rsidRPr="009A1C8E">
        <w:fldChar w:fldCharType="separate"/>
      </w:r>
      <w:r w:rsidR="004C3D69" w:rsidRPr="009A1C8E">
        <w:rPr>
          <w:noProof/>
        </w:rPr>
        <w:t>(35)</w:t>
      </w:r>
      <w:r w:rsidR="002D37DC" w:rsidRPr="009A1C8E">
        <w:fldChar w:fldCharType="end"/>
      </w:r>
      <w:r w:rsidRPr="009A1C8E">
        <w:t xml:space="preserve"> found that 43% of Australian </w:t>
      </w:r>
      <w:proofErr w:type="spellStart"/>
      <w:r w:rsidRPr="009A1C8E">
        <w:t>corporates</w:t>
      </w:r>
      <w:proofErr w:type="spellEnd"/>
      <w:r w:rsidRPr="009A1C8E">
        <w:rPr>
          <w:rStyle w:val="FootnoteReference"/>
          <w:rFonts w:cs="Arial"/>
        </w:rPr>
        <w:footnoteReference w:id="3"/>
      </w:r>
      <w:r w:rsidRPr="009A1C8E">
        <w:t xml:space="preserve"> plan to undertake merger and acquisition (M&amp;A) activity in the next 12 to 24 months. These results are similar to the 38% of respondents indicating a merger is </w:t>
      </w:r>
      <w:r w:rsidR="00D06A2E" w:rsidRPr="009A1C8E">
        <w:t>“</w:t>
      </w:r>
      <w:r w:rsidRPr="009A1C8E">
        <w:t>very likely or likely</w:t>
      </w:r>
      <w:r w:rsidR="00D06A2E" w:rsidRPr="009A1C8E">
        <w:t>”</w:t>
      </w:r>
      <w:r w:rsidRPr="009A1C8E">
        <w:t xml:space="preserve">. KMPG further advances that “organic growth in the current economic environment is not sufficient to meet the growth aspirations of many boards and management teams” </w:t>
      </w:r>
      <w:r w:rsidR="002D37DC" w:rsidRPr="009A1C8E">
        <w:fldChar w:fldCharType="begin"/>
      </w:r>
      <w:r w:rsidR="004C3D69" w:rsidRPr="009A1C8E">
        <w:instrText xml:space="preserve"> ADDIN EN.CITE &lt;EndNote&gt;&lt;Cite&gt;&lt;Author&gt;KPMG&lt;/Author&gt;&lt;Year&gt;2018&lt;/Year&gt;&lt;RecNum&gt;283&lt;/RecNum&gt;&lt;DisplayText&gt;(35)&lt;/DisplayText&gt;&lt;record&gt;&lt;rec-number&gt;283&lt;/rec-number&gt;&lt;foreign-keys&gt;&lt;key app="EN" db-id="dtafe02tlezsd7ef59c5s9fdse5ze52xw2ta" timestamp="1554382336"&gt;283&lt;/key&gt;&lt;/foreign-keys&gt;&lt;ref-type name="Journal Article"&gt;17&lt;/ref-type&gt;&lt;contributors&gt;&lt;authors&gt;&lt;author&gt;KPMG&lt;/author&gt;&lt;/authors&gt;&lt;/contributors&gt;&lt;titles&gt;&lt;title&gt;Australia’s Evolving Deals Landscape&lt;/title&gt;&lt;/titles&gt;&lt;dates&gt;&lt;year&gt;2018&lt;/year&gt;&lt;/dates&gt;&lt;urls&gt;&lt;/urls&gt;&lt;/record&gt;&lt;/Cite&gt;&lt;/EndNote&gt;</w:instrText>
      </w:r>
      <w:r w:rsidR="002D37DC" w:rsidRPr="009A1C8E">
        <w:fldChar w:fldCharType="separate"/>
      </w:r>
      <w:r w:rsidR="004C3D69" w:rsidRPr="009A1C8E">
        <w:rPr>
          <w:noProof/>
        </w:rPr>
        <w:t>(35)</w:t>
      </w:r>
      <w:r w:rsidR="002D37DC" w:rsidRPr="009A1C8E">
        <w:fldChar w:fldCharType="end"/>
      </w:r>
      <w:r w:rsidRPr="009A1C8E">
        <w:t>. Compared to all sectors, the health</w:t>
      </w:r>
      <w:r w:rsidR="00D06A2E" w:rsidRPr="009A1C8E">
        <w:t>,</w:t>
      </w:r>
      <w:r w:rsidRPr="009A1C8E">
        <w:t xml:space="preserve"> aging and human services sectors were far less positive about an increase in M&amp;A activity </w:t>
      </w:r>
      <w:r w:rsidR="002D37DC" w:rsidRPr="009A1C8E">
        <w:fldChar w:fldCharType="begin"/>
      </w:r>
      <w:r w:rsidR="004C3D69" w:rsidRPr="009A1C8E">
        <w:instrText xml:space="preserve"> ADDIN EN.CITE &lt;EndNote&gt;&lt;Cite&gt;&lt;Author&gt;KPMG&lt;/Author&gt;&lt;Year&gt;2018&lt;/Year&gt;&lt;RecNum&gt;283&lt;/RecNum&gt;&lt;DisplayText&gt;(35)&lt;/DisplayText&gt;&lt;record&gt;&lt;rec-number&gt;283&lt;/rec-number&gt;&lt;foreign-keys&gt;&lt;key app="EN" db-id="dtafe02tlezsd7ef59c5s9fdse5ze52xw2ta" timestamp="1554382336"&gt;283&lt;/key&gt;&lt;/foreign-keys&gt;&lt;ref-type name="Journal Article"&gt;17&lt;/ref-type&gt;&lt;contributors&gt;&lt;authors&gt;&lt;author&gt;KPMG&lt;/author&gt;&lt;/authors&gt;&lt;/contributors&gt;&lt;titles&gt;&lt;title&gt;Australia’s Evolving Deals Landscape&lt;/title&gt;&lt;/titles&gt;&lt;dates&gt;&lt;year&gt;2018&lt;/year&gt;&lt;/dates&gt;&lt;urls&gt;&lt;/urls&gt;&lt;/record&gt;&lt;/Cite&gt;&lt;/EndNote&gt;</w:instrText>
      </w:r>
      <w:r w:rsidR="002D37DC" w:rsidRPr="009A1C8E">
        <w:fldChar w:fldCharType="separate"/>
      </w:r>
      <w:r w:rsidR="004C3D69" w:rsidRPr="009A1C8E">
        <w:rPr>
          <w:noProof/>
        </w:rPr>
        <w:t>(35)</w:t>
      </w:r>
      <w:r w:rsidR="002D37DC" w:rsidRPr="009A1C8E">
        <w:fldChar w:fldCharType="end"/>
      </w:r>
      <w:r w:rsidRPr="009A1C8E">
        <w:t>.</w:t>
      </w:r>
    </w:p>
    <w:p w:rsidR="008B18D4" w:rsidRPr="009A1C8E" w:rsidRDefault="008B18D4" w:rsidP="00A14F68">
      <w:pPr>
        <w:spacing w:before="120" w:after="120" w:line="276" w:lineRule="auto"/>
      </w:pPr>
      <w:r w:rsidRPr="009A1C8E">
        <w:t>The analysis in this report shows interesting trends around merging and discontinuing across Victoria:</w:t>
      </w:r>
    </w:p>
    <w:p w:rsidR="008B18D4" w:rsidRPr="009A1C8E" w:rsidRDefault="008B18D4" w:rsidP="00A14F68">
      <w:pPr>
        <w:pStyle w:val="ListParagraph"/>
        <w:numPr>
          <w:ilvl w:val="0"/>
          <w:numId w:val="19"/>
        </w:numPr>
        <w:spacing w:before="120" w:after="120" w:line="276" w:lineRule="auto"/>
      </w:pPr>
      <w:r w:rsidRPr="009A1C8E">
        <w:t>Larger state-wide organisations are more likely than smaller metro and regional organisations to have discussed or engaged in merger activity;</w:t>
      </w:r>
    </w:p>
    <w:p w:rsidR="008B18D4" w:rsidRPr="009A1C8E" w:rsidRDefault="008B18D4" w:rsidP="00A14F68">
      <w:pPr>
        <w:pStyle w:val="ListParagraph"/>
        <w:numPr>
          <w:ilvl w:val="0"/>
          <w:numId w:val="19"/>
        </w:numPr>
        <w:spacing w:before="120" w:after="120" w:line="276" w:lineRule="auto"/>
      </w:pPr>
      <w:r w:rsidRPr="009A1C8E">
        <w:t>Completing a merger in the next two years is likely among regional organisations and unlikely among metro organisations; and</w:t>
      </w:r>
    </w:p>
    <w:p w:rsidR="008B18D4" w:rsidRPr="009A1C8E" w:rsidRDefault="008B18D4" w:rsidP="00A14F68">
      <w:pPr>
        <w:pStyle w:val="ListParagraph"/>
        <w:numPr>
          <w:ilvl w:val="0"/>
          <w:numId w:val="19"/>
        </w:numPr>
        <w:spacing w:before="120" w:after="120" w:line="276" w:lineRule="auto"/>
      </w:pPr>
      <w:r w:rsidRPr="009A1C8E">
        <w:t>Regional and metro respondents are more likely than state</w:t>
      </w:r>
      <w:r w:rsidRPr="009A1C8E">
        <w:noBreakHyphen/>
        <w:t>wide organisations to have had discussions about winding up.</w:t>
      </w:r>
    </w:p>
    <w:p w:rsidR="008B18D4" w:rsidRPr="009A1C8E" w:rsidRDefault="008B18D4" w:rsidP="00A14F68">
      <w:pPr>
        <w:spacing w:before="120" w:after="120" w:line="276" w:lineRule="auto"/>
      </w:pPr>
      <w:r w:rsidRPr="00E43D9D">
        <w:rPr>
          <w:b/>
        </w:rPr>
        <w:t>While merger activity was generally seen as an opportunity for growth (to improve efficiency, increase the number of people serviced or broaden the range of services), the main reasons for winding-up were financial.</w:t>
      </w:r>
      <w:r w:rsidRPr="009A1C8E">
        <w:t xml:space="preserve"> The financial data already demonstrates a clear risk of thin markets emerging in regional areas – this risk is exacerbated by the considerable proportion of regional organisations discussing closure or indicating that merger is likely in the next two years. There is an opportunity to mitigate this risk by proactively supporting organisations discussing or undertaking merger or closure. Practical due diligence guides could assist providers with best </w:t>
      </w:r>
      <w:r w:rsidRPr="009A1C8E">
        <w:lastRenderedPageBreak/>
        <w:t xml:space="preserve">practice models prior to an </w:t>
      </w:r>
      <w:r w:rsidRPr="009A1C8E">
        <w:rPr>
          <w:color w:val="000000" w:themeColor="text1"/>
        </w:rPr>
        <w:t xml:space="preserve">investment or closure decision. Organisations that may be in denial and not considering or discussing merger </w:t>
      </w:r>
      <w:r w:rsidRPr="009A1C8E">
        <w:t>or closure also need to be supported, as these organisations represent an even greater risk to the market with sudden or unplanned exit. Given the different reasons why organisations merge or close, there is merit in supporting organisations to better understand their options to make informed decisions.</w:t>
      </w:r>
    </w:p>
    <w:p w:rsidR="008B18D4" w:rsidRPr="009A1C8E" w:rsidRDefault="008B18D4" w:rsidP="00A14F68">
      <w:pPr>
        <w:spacing w:before="120" w:after="120" w:line="276" w:lineRule="auto"/>
      </w:pPr>
      <w:r w:rsidRPr="00E43D9D">
        <w:rPr>
          <w:b/>
        </w:rPr>
        <w:t>While a level entry and exit in the market is normal and desirable, if other providers are unable to absorb the additional demand this will have significant implications for people with disability.</w:t>
      </w:r>
      <w:r w:rsidRPr="009A1C8E">
        <w:t xml:space="preserve"> The MEF </w:t>
      </w:r>
      <w:r w:rsidR="002D37DC" w:rsidRPr="009A1C8E">
        <w:fldChar w:fldCharType="begin"/>
      </w:r>
      <w:r w:rsidR="005D588A" w:rsidRPr="009A1C8E">
        <w:instrText xml:space="preserve"> ADDIN EN.CITE &lt;EndNote&gt;&lt;Cite&gt;&lt;Author&gt;National Disability Insurance Agency&lt;/Author&gt;&lt;Year&gt;2018&lt;/Year&gt;&lt;RecNum&gt;259&lt;/RecNum&gt;&lt;DisplayText&gt;(10)&lt;/DisplayText&gt;&lt;record&gt;&lt;rec-number&gt;259&lt;/rec-number&gt;&lt;foreign-keys&gt;&lt;key app="EN" db-id="dtafe02tlezsd7ef59c5s9fdse5ze52xw2ta" timestamp="1554302510"&gt;259&lt;/key&gt;&lt;/foreign-keys&gt;&lt;ref-type name="Report"&gt;27&lt;/ref-type&gt;&lt;contributors&gt;&lt;authors&gt;&lt;author&gt;National Disability Insurance Agency,&lt;/author&gt;&lt;/authors&gt;&lt;/contributors&gt;&lt;titles&gt;&lt;title&gt;National Disability Insurance Scheme Market Enablement Framework&lt;/title&gt;&lt;/titles&gt;&lt;dates&gt;&lt;year&gt;2018&lt;/year&gt;&lt;/dates&gt;&lt;urls&gt;&lt;/urls&gt;&lt;/record&gt;&lt;/Cite&gt;&lt;/EndNote&gt;</w:instrText>
      </w:r>
      <w:r w:rsidR="002D37DC" w:rsidRPr="009A1C8E">
        <w:fldChar w:fldCharType="separate"/>
      </w:r>
      <w:r w:rsidR="005D588A" w:rsidRPr="009A1C8E">
        <w:rPr>
          <w:noProof/>
        </w:rPr>
        <w:t>(10)</w:t>
      </w:r>
      <w:r w:rsidR="002D37DC" w:rsidRPr="009A1C8E">
        <w:fldChar w:fldCharType="end"/>
      </w:r>
      <w:r w:rsidR="007C0A50" w:rsidRPr="009A1C8E">
        <w:t xml:space="preserve"> </w:t>
      </w:r>
      <w:r w:rsidRPr="009A1C8E">
        <w:t xml:space="preserve">recognises that in most cases additional demand will be absorbed - however this report shows providers have grave doubts that participants they have had to turn away will have their needs fully met by other providers. In such cases where the market is unable to absorb additional participants, the NDIA may cooperate with local providers, community partners, </w:t>
      </w:r>
      <w:r w:rsidR="00AC6BE6" w:rsidRPr="009A1C8E">
        <w:t>support coordinator</w:t>
      </w:r>
      <w:r w:rsidRPr="009A1C8E">
        <w:t xml:space="preserve">s, and participants to support the changeover </w:t>
      </w:r>
      <w:r w:rsidR="002D37DC" w:rsidRPr="009A1C8E">
        <w:fldChar w:fldCharType="begin"/>
      </w:r>
      <w:r w:rsidR="005D588A" w:rsidRPr="009A1C8E">
        <w:instrText xml:space="preserve"> ADDIN EN.CITE &lt;EndNote&gt;&lt;Cite&gt;&lt;Author&gt;National Disability Insurance Agency&lt;/Author&gt;&lt;Year&gt;2018&lt;/Year&gt;&lt;RecNum&gt;259&lt;/RecNum&gt;&lt;DisplayText&gt;(10)&lt;/DisplayText&gt;&lt;record&gt;&lt;rec-number&gt;259&lt;/rec-number&gt;&lt;foreign-keys&gt;&lt;key app="EN" db-id="dtafe02tlezsd7ef59c5s9fdse5ze52xw2ta" timestamp="1554302510"&gt;259&lt;/key&gt;&lt;/foreign-keys&gt;&lt;ref-type name="Report"&gt;27&lt;/ref-type&gt;&lt;contributors&gt;&lt;authors&gt;&lt;author&gt;National Disability Insurance Agency,&lt;/author&gt;&lt;/authors&gt;&lt;/contributors&gt;&lt;titles&gt;&lt;title&gt;National Disability Insurance Scheme Market Enablement Framework&lt;/title&gt;&lt;/titles&gt;&lt;dates&gt;&lt;year&gt;2018&lt;/year&gt;&lt;/dates&gt;&lt;urls&gt;&lt;/urls&gt;&lt;/record&gt;&lt;/Cite&gt;&lt;/EndNote&gt;</w:instrText>
      </w:r>
      <w:r w:rsidR="002D37DC" w:rsidRPr="009A1C8E">
        <w:fldChar w:fldCharType="separate"/>
      </w:r>
      <w:r w:rsidR="005D588A" w:rsidRPr="009A1C8E">
        <w:rPr>
          <w:noProof/>
        </w:rPr>
        <w:t>(10)</w:t>
      </w:r>
      <w:r w:rsidR="002D37DC" w:rsidRPr="009A1C8E">
        <w:fldChar w:fldCharType="end"/>
      </w:r>
      <w:r w:rsidRPr="009A1C8E">
        <w:t xml:space="preserve">. Short-term commissioning of providers may also be required to ensure people with disability are not left without service </w:t>
      </w:r>
      <w:r w:rsidR="002D37DC" w:rsidRPr="009A1C8E">
        <w:fldChar w:fldCharType="begin"/>
      </w:r>
      <w:r w:rsidR="005D588A" w:rsidRPr="009A1C8E">
        <w:instrText xml:space="preserve"> ADDIN EN.CITE &lt;EndNote&gt;&lt;Cite&gt;&lt;Author&gt;National Disability Insurance Agency&lt;/Author&gt;&lt;Year&gt;2018&lt;/Year&gt;&lt;RecNum&gt;259&lt;/RecNum&gt;&lt;DisplayText&gt;(10)&lt;/DisplayText&gt;&lt;record&gt;&lt;rec-number&gt;259&lt;/rec-number&gt;&lt;foreign-keys&gt;&lt;key app="EN" db-id="dtafe02tlezsd7ef59c5s9fdse5ze52xw2ta" timestamp="1554302510"&gt;259&lt;/key&gt;&lt;/foreign-keys&gt;&lt;ref-type name="Report"&gt;27&lt;/ref-type&gt;&lt;contributors&gt;&lt;authors&gt;&lt;author&gt;National Disability Insurance Agency,&lt;/author&gt;&lt;/authors&gt;&lt;/contributors&gt;&lt;titles&gt;&lt;title&gt;National Disability Insurance Scheme Market Enablement Framework&lt;/title&gt;&lt;/titles&gt;&lt;dates&gt;&lt;year&gt;2018&lt;/year&gt;&lt;/dates&gt;&lt;urls&gt;&lt;/urls&gt;&lt;/record&gt;&lt;/Cite&gt;&lt;/EndNote&gt;</w:instrText>
      </w:r>
      <w:r w:rsidR="002D37DC" w:rsidRPr="009A1C8E">
        <w:fldChar w:fldCharType="separate"/>
      </w:r>
      <w:r w:rsidR="005D588A" w:rsidRPr="009A1C8E">
        <w:rPr>
          <w:noProof/>
        </w:rPr>
        <w:t>(10)</w:t>
      </w:r>
      <w:r w:rsidR="002D37DC" w:rsidRPr="009A1C8E">
        <w:fldChar w:fldCharType="end"/>
      </w:r>
      <w:r w:rsidRPr="009A1C8E">
        <w:t>.</w:t>
      </w:r>
    </w:p>
    <w:p w:rsidR="008B18D4" w:rsidRPr="009A1C8E" w:rsidRDefault="008B18D4" w:rsidP="00830706">
      <w:pPr>
        <w:pStyle w:val="Heading2"/>
      </w:pPr>
      <w:bookmarkStart w:id="50" w:name="_Toc7614955"/>
      <w:r w:rsidRPr="009A1C8E">
        <w:t>5.6 Provider of last resort</w:t>
      </w:r>
      <w:bookmarkEnd w:id="50"/>
    </w:p>
    <w:p w:rsidR="008B18D4" w:rsidRPr="009A1C8E" w:rsidRDefault="008B18D4" w:rsidP="00A14F68">
      <w:pPr>
        <w:spacing w:before="120" w:after="120" w:line="276" w:lineRule="auto"/>
      </w:pPr>
      <w:r w:rsidRPr="009A1C8E">
        <w:t xml:space="preserve">While the MEF is an “approach to monitoring the market, identifying potential issues, deciding whether to intervene, and if so, what type of intervention is required”, there is no mention of a provider of last resort. Emergencies will occur, whether in relation to temporary or acute assistance needs, or in circumstances where carers are unwell or injured. The Joint Standing Committee’s report on market readiness </w:t>
      </w:r>
      <w:r w:rsidR="002D37DC" w:rsidRPr="009A1C8E">
        <w:fldChar w:fldCharType="begin"/>
      </w:r>
      <w:r w:rsidR="004C3D69" w:rsidRPr="009A1C8E">
        <w:instrText xml:space="preserve"> ADDIN EN.CITE &lt;EndNote&gt;&lt;Cite&gt;&lt;Author&gt;Joint Standing Committee on the National Disability Insurance Scheme&lt;/Author&gt;&lt;Year&gt;2018&lt;/Year&gt;&lt;RecNum&gt;269&lt;/RecNum&gt;&lt;DisplayText&gt;(21)&lt;/DisplayText&gt;&lt;record&gt;&lt;rec-number&gt;269&lt;/rec-number&gt;&lt;foreign-keys&gt;&lt;key app="EN" db-id="dtafe02tlezsd7ef59c5s9fdse5ze52xw2ta" timestamp="1554379062"&gt;269&lt;/key&gt;&lt;/foreign-keys&gt;&lt;ref-type name="Report"&gt;27&lt;/ref-type&gt;&lt;contributors&gt;&lt;authors&gt;&lt;author&gt;Joint Standing Committee on the National Disability Insurance Scheme,&lt;/author&gt;&lt;/authors&gt;&lt;/contributors&gt;&lt;titles&gt;&lt;title&gt;Market readiness for provision of services under the NDIS&lt;/title&gt;&lt;/titles&gt;&lt;dates&gt;&lt;year&gt;2018&lt;/year&gt;&lt;/dates&gt;&lt;urls&gt;&lt;/urls&gt;&lt;/record&gt;&lt;/Cite&gt;&lt;/EndNote&gt;</w:instrText>
      </w:r>
      <w:r w:rsidR="002D37DC" w:rsidRPr="009A1C8E">
        <w:fldChar w:fldCharType="separate"/>
      </w:r>
      <w:r w:rsidR="004C3D69" w:rsidRPr="009A1C8E">
        <w:rPr>
          <w:noProof/>
        </w:rPr>
        <w:t>(21)</w:t>
      </w:r>
      <w:r w:rsidR="002D37DC" w:rsidRPr="009A1C8E">
        <w:fldChar w:fldCharType="end"/>
      </w:r>
      <w:r w:rsidRPr="009A1C8E">
        <w:t xml:space="preserve"> asserts the NDIA must “publicly release the outcomes of the Maintaining Critical Supports </w:t>
      </w:r>
      <w:r w:rsidR="00DF6523" w:rsidRPr="009A1C8E">
        <w:t>P</w:t>
      </w:r>
      <w:r w:rsidRPr="009A1C8E">
        <w:t xml:space="preserve">roject and its policy on provider of last resort arrangements”. NDS strongly believes that a </w:t>
      </w:r>
      <w:r w:rsidRPr="009A1C8E">
        <w:rPr>
          <w:b/>
        </w:rPr>
        <w:t>provider of last resort policy needs to also address crisis response</w:t>
      </w:r>
      <w:r w:rsidRPr="009A1C8E">
        <w:t xml:space="preserve"> and guarantee that regardless of what needs to happen, costs will be covered. Currently providers have no ability to quickly change a participant’s support and have no confidence that they will be paid in the event of a</w:t>
      </w:r>
      <w:r w:rsidR="006D4DBF" w:rsidRPr="009A1C8E">
        <w:t xml:space="preserve"> disability support</w:t>
      </w:r>
      <w:r w:rsidRPr="009A1C8E">
        <w:t xml:space="preserve"> emergency. NDS echoes the Office of Public Advocate </w:t>
      </w:r>
      <w:r w:rsidR="002D37DC" w:rsidRPr="009A1C8E">
        <w:fldChar w:fldCharType="begin"/>
      </w:r>
      <w:r w:rsidR="004C3D69" w:rsidRPr="009A1C8E">
        <w:instrText xml:space="preserve"> ADDIN EN.CITE &lt;EndNote&gt;&lt;Cite&gt;&lt;Author&gt;Office of the Public Advocate&lt;/Author&gt;&lt;Year&gt;2018&lt;/Year&gt;&lt;RecNum&gt;282&lt;/RecNum&gt;&lt;DisplayText&gt;(34)&lt;/DisplayText&gt;&lt;record&gt;&lt;rec-number&gt;282&lt;/rec-number&gt;&lt;foreign-keys&gt;&lt;key app="EN" db-id="dtafe02tlezsd7ef59c5s9fdse5ze52xw2ta" timestamp="1554382094"&gt;282&lt;/key&gt;&lt;/foreign-keys&gt;&lt;ref-type name="Journal Article"&gt;17&lt;/ref-type&gt;&lt;contributors&gt;&lt;authors&gt;&lt;author&gt;Office of the Public Advocate,&lt;/author&gt;&lt;/authors&gt;&lt;/contributors&gt;&lt;titles&gt;&lt;title&gt;The illusion of ‘Choice and Control’&lt;/title&gt;&lt;/titles&gt;&lt;dates&gt;&lt;year&gt;2018&lt;/year&gt;&lt;/dates&gt;&lt;urls&gt;&lt;/urls&gt;&lt;/record&gt;&lt;/Cite&gt;&lt;/EndNote&gt;</w:instrText>
      </w:r>
      <w:r w:rsidR="002D37DC" w:rsidRPr="009A1C8E">
        <w:fldChar w:fldCharType="separate"/>
      </w:r>
      <w:r w:rsidR="004C3D69" w:rsidRPr="009A1C8E">
        <w:rPr>
          <w:noProof/>
        </w:rPr>
        <w:t>(34)</w:t>
      </w:r>
      <w:r w:rsidR="002D37DC" w:rsidRPr="009A1C8E">
        <w:fldChar w:fldCharType="end"/>
      </w:r>
      <w:r w:rsidRPr="009A1C8E">
        <w:t xml:space="preserve"> in that the framework and policy should ensure:</w:t>
      </w:r>
    </w:p>
    <w:p w:rsidR="008B18D4" w:rsidRPr="009A1C8E" w:rsidRDefault="008B18D4" w:rsidP="00A14F68">
      <w:pPr>
        <w:pStyle w:val="ListParagraph"/>
        <w:numPr>
          <w:ilvl w:val="0"/>
          <w:numId w:val="22"/>
        </w:numPr>
        <w:spacing w:before="120" w:after="120" w:line="276" w:lineRule="auto"/>
      </w:pPr>
      <w:r w:rsidRPr="009A1C8E">
        <w:t>In situations of market failure, providers of last resort are adequately resourced;</w:t>
      </w:r>
    </w:p>
    <w:p w:rsidR="008B18D4" w:rsidRPr="009A1C8E" w:rsidRDefault="008B18D4" w:rsidP="00A14F68">
      <w:pPr>
        <w:pStyle w:val="ListParagraph"/>
        <w:numPr>
          <w:ilvl w:val="0"/>
          <w:numId w:val="22"/>
        </w:numPr>
        <w:spacing w:before="120" w:after="120" w:line="276" w:lineRule="auto"/>
      </w:pPr>
      <w:r w:rsidRPr="009A1C8E">
        <w:t>Providers of last resort have a workforce with specialised experience, skills and expertise that meet participants’ needs;</w:t>
      </w:r>
    </w:p>
    <w:p w:rsidR="008B18D4" w:rsidRPr="009A1C8E" w:rsidRDefault="008B18D4" w:rsidP="00A14F68">
      <w:pPr>
        <w:pStyle w:val="ListParagraph"/>
        <w:numPr>
          <w:ilvl w:val="0"/>
          <w:numId w:val="22"/>
        </w:numPr>
        <w:spacing w:before="120" w:after="120" w:line="276" w:lineRule="auto"/>
      </w:pPr>
      <w:r w:rsidRPr="009A1C8E">
        <w:t xml:space="preserve">Clear procedures exist to support planners, LACs and </w:t>
      </w:r>
      <w:r w:rsidR="00F41E85" w:rsidRPr="009A1C8E">
        <w:t>s</w:t>
      </w:r>
      <w:r w:rsidR="00AC6BE6" w:rsidRPr="009A1C8E">
        <w:t>upport coordinator</w:t>
      </w:r>
      <w:r w:rsidRPr="009A1C8E">
        <w:t>s in these circumstances; and</w:t>
      </w:r>
    </w:p>
    <w:p w:rsidR="008B18D4" w:rsidRPr="009A1C8E" w:rsidRDefault="008B18D4" w:rsidP="00A14F68">
      <w:pPr>
        <w:pStyle w:val="ListParagraph"/>
        <w:numPr>
          <w:ilvl w:val="0"/>
          <w:numId w:val="22"/>
        </w:numPr>
        <w:spacing w:before="120" w:after="120" w:line="276" w:lineRule="auto"/>
      </w:pPr>
      <w:r w:rsidRPr="009A1C8E">
        <w:t>Any approved supports will be provided, not just ‘critical supports’.</w:t>
      </w:r>
    </w:p>
    <w:p w:rsidR="008B18D4" w:rsidRPr="009A1C8E" w:rsidRDefault="008B18D4" w:rsidP="00A14F68">
      <w:pPr>
        <w:spacing w:before="120" w:after="120" w:line="276" w:lineRule="auto"/>
      </w:pPr>
      <w:r w:rsidRPr="009A1C8E">
        <w:lastRenderedPageBreak/>
        <w:t xml:space="preserve">Releasing further information on the Maintaining Critical Supports </w:t>
      </w:r>
      <w:r w:rsidR="00DF6523" w:rsidRPr="009A1C8E">
        <w:t>P</w:t>
      </w:r>
      <w:r w:rsidRPr="009A1C8E">
        <w:t xml:space="preserve">roject </w:t>
      </w:r>
      <w:r w:rsidR="00413420" w:rsidRPr="009A1C8E">
        <w:t xml:space="preserve">(formerly described as provider of last resort arrangements) </w:t>
      </w:r>
      <w:r w:rsidRPr="009A1C8E">
        <w:t xml:space="preserve">and the </w:t>
      </w:r>
      <w:r w:rsidR="00810A2D" w:rsidRPr="009A1C8E">
        <w:t xml:space="preserve">policy and practice responses </w:t>
      </w:r>
      <w:r w:rsidRPr="009A1C8E">
        <w:t>is critical to ensure appropriate measures are put in place, enabling participants to receive supports irrespective of market gaps.</w:t>
      </w:r>
    </w:p>
    <w:p w:rsidR="008B18D4" w:rsidRPr="009A1C8E" w:rsidRDefault="008B18D4" w:rsidP="00830706">
      <w:pPr>
        <w:pStyle w:val="Heading2"/>
      </w:pPr>
      <w:bookmarkStart w:id="51" w:name="_Toc7614956"/>
      <w:r w:rsidRPr="009A1C8E">
        <w:t>5.7 ILC</w:t>
      </w:r>
      <w:bookmarkEnd w:id="51"/>
    </w:p>
    <w:p w:rsidR="008B18D4" w:rsidRPr="009A1C8E" w:rsidRDefault="008B18D4" w:rsidP="00A14F68">
      <w:pPr>
        <w:spacing w:before="120" w:after="120" w:line="276" w:lineRule="auto"/>
      </w:pPr>
      <w:r w:rsidRPr="009A1C8E">
        <w:t>The ILC is a key ingredient in helping avoid service gaps, particularly in regional and rural areas, by connecting people with disability to their local community, services and programs. The current strategy, however, needs to be strengthened to avoid the development of thin markets.</w:t>
      </w:r>
    </w:p>
    <w:p w:rsidR="008B18D4" w:rsidRPr="009A1C8E" w:rsidRDefault="008B18D4" w:rsidP="00A14F68">
      <w:pPr>
        <w:spacing w:before="120" w:after="120" w:line="276" w:lineRule="auto"/>
      </w:pPr>
      <w:r w:rsidRPr="009A1C8E">
        <w:t xml:space="preserve">Firstly, </w:t>
      </w:r>
      <w:r w:rsidRPr="009A1C8E">
        <w:rPr>
          <w:b/>
        </w:rPr>
        <w:t>short-term ILC contracts have significant implications</w:t>
      </w:r>
      <w:r w:rsidRPr="009A1C8E">
        <w:t xml:space="preserve"> </w:t>
      </w:r>
      <w:r w:rsidR="00AB2D22" w:rsidRPr="009A1C8E">
        <w:t>for</w:t>
      </w:r>
      <w:r w:rsidR="00DF6523" w:rsidRPr="009A1C8E">
        <w:t xml:space="preserve"> </w:t>
      </w:r>
      <w:r w:rsidRPr="009A1C8E">
        <w:t xml:space="preserve">people with disability and service providers. NDS is somewhat encouraged to see a shift from short-term funding (usually 12 months) to </w:t>
      </w:r>
      <w:r w:rsidR="00090481" w:rsidRPr="009A1C8E">
        <w:t>longer term</w:t>
      </w:r>
      <w:r w:rsidR="00AB2D22" w:rsidRPr="009A1C8E">
        <w:t xml:space="preserve"> </w:t>
      </w:r>
      <w:r w:rsidRPr="009A1C8E">
        <w:t xml:space="preserve">funding arrangements that are adjusted to the needs of each program </w:t>
      </w:r>
      <w:r w:rsidR="002D37DC" w:rsidRPr="009A1C8E">
        <w:fldChar w:fldCharType="begin"/>
      </w:r>
      <w:r w:rsidR="004C3D69" w:rsidRPr="009A1C8E">
        <w:instrText xml:space="preserve"> ADDIN EN.CITE &lt;EndNote&gt;&lt;Cite&gt;&lt;Author&gt;National Disability Insurance Agency&lt;/Author&gt;&lt;Year&gt;2018&lt;/Year&gt;&lt;RecNum&gt;284&lt;/RecNum&gt;&lt;DisplayText&gt;(36)&lt;/DisplayText&gt;&lt;record&gt;&lt;rec-number&gt;284&lt;/rec-number&gt;&lt;foreign-keys&gt;&lt;key app="EN" db-id="dtafe02tlezsd7ef59c5s9fdse5ze52xw2ta" timestamp="1554382772"&gt;284&lt;/key&gt;&lt;/foreign-keys&gt;&lt;ref-type name="Report"&gt;27&lt;/ref-type&gt;&lt;contributors&gt;&lt;authors&gt;&lt;author&gt;National Disability Insurance Agency,&lt;/author&gt;&lt;/authors&gt;&lt;/contributors&gt;&lt;titles&gt;&lt;title&gt;Strengthening Information, Linkages and Capacity Building (ILC)&lt;/title&gt;&lt;/titles&gt;&lt;dates&gt;&lt;year&gt;2018&lt;/year&gt;&lt;/dates&gt;&lt;urls&gt;&lt;/urls&gt;&lt;/record&gt;&lt;/Cite&gt;&lt;/EndNote&gt;</w:instrText>
      </w:r>
      <w:r w:rsidR="002D37DC" w:rsidRPr="009A1C8E">
        <w:fldChar w:fldCharType="separate"/>
      </w:r>
      <w:r w:rsidR="004C3D69" w:rsidRPr="009A1C8E">
        <w:rPr>
          <w:noProof/>
        </w:rPr>
        <w:t>(36)</w:t>
      </w:r>
      <w:r w:rsidR="002D37DC" w:rsidRPr="009A1C8E">
        <w:fldChar w:fldCharType="end"/>
      </w:r>
      <w:r w:rsidRPr="009A1C8E">
        <w:t xml:space="preserve">. The national 2020 ILC strategy </w:t>
      </w:r>
      <w:r w:rsidR="002D37DC" w:rsidRPr="009A1C8E">
        <w:fldChar w:fldCharType="begin"/>
      </w:r>
      <w:r w:rsidR="004C3D69" w:rsidRPr="009A1C8E">
        <w:instrText xml:space="preserve"> ADDIN EN.CITE &lt;EndNote&gt;&lt;Cite&gt;&lt;Author&gt;National Disability Insurance Agency&lt;/Author&gt;&lt;Year&gt;2018&lt;/Year&gt;&lt;RecNum&gt;284&lt;/RecNum&gt;&lt;DisplayText&gt;(36)&lt;/DisplayText&gt;&lt;record&gt;&lt;rec-number&gt;284&lt;/rec-number&gt;&lt;foreign-keys&gt;&lt;key app="EN" db-id="dtafe02tlezsd7ef59c5s9fdse5ze52xw2ta" timestamp="1554382772"&gt;284&lt;/key&gt;&lt;/foreign-keys&gt;&lt;ref-type name="Report"&gt;27&lt;/ref-type&gt;&lt;contributors&gt;&lt;authors&gt;&lt;author&gt;National Disability Insurance Agency,&lt;/author&gt;&lt;/authors&gt;&lt;/contributors&gt;&lt;titles&gt;&lt;title&gt;Strengthening Information, Linkages and Capacity Building (ILC)&lt;/title&gt;&lt;/titles&gt;&lt;dates&gt;&lt;year&gt;2018&lt;/year&gt;&lt;/dates&gt;&lt;urls&gt;&lt;/urls&gt;&lt;/record&gt;&lt;/Cite&gt;&lt;/EndNote&gt;</w:instrText>
      </w:r>
      <w:r w:rsidR="002D37DC" w:rsidRPr="009A1C8E">
        <w:fldChar w:fldCharType="separate"/>
      </w:r>
      <w:r w:rsidR="004C3D69" w:rsidRPr="009A1C8E">
        <w:rPr>
          <w:noProof/>
        </w:rPr>
        <w:t>(36)</w:t>
      </w:r>
      <w:r w:rsidR="002D37DC" w:rsidRPr="009A1C8E">
        <w:fldChar w:fldCharType="end"/>
      </w:r>
      <w:r w:rsidRPr="009A1C8E">
        <w:t xml:space="preserve">, however, suggests that the grants will be mostly three-year investments. This is disappointing, given the Productivity Commission’s recommendation to set community service grants to a default of seven-years </w:t>
      </w:r>
      <w:r w:rsidR="002D37DC" w:rsidRPr="009A1C8E">
        <w:fldChar w:fldCharType="begin"/>
      </w:r>
      <w:r w:rsidR="004C3D69" w:rsidRPr="009A1C8E">
        <w:instrText xml:space="preserve"> ADDIN EN.CITE &lt;EndNote&gt;&lt;Cite&gt;&lt;Author&gt;Productivity Commission&lt;/Author&gt;&lt;Year&gt;2017&lt;/Year&gt;&lt;RecNum&gt;285&lt;/RecNum&gt;&lt;DisplayText&gt;(37)&lt;/DisplayText&gt;&lt;record&gt;&lt;rec-number&gt;285&lt;/rec-number&gt;&lt;foreign-keys&gt;&lt;key app="EN" db-id="dtafe02tlezsd7ef59c5s9fdse5ze52xw2ta" timestamp="1554382931"&gt;285&lt;/key&gt;&lt;/foreign-keys&gt;&lt;ref-type name="Report"&gt;27&lt;/ref-type&gt;&lt;contributors&gt;&lt;authors&gt;&lt;author&gt;Productivity Commission,&lt;/author&gt;&lt;/authors&gt;&lt;/contributors&gt;&lt;titles&gt;&lt;title&gt;Introducing Competition and Informed User Choice into Human Services: Reforms to Human Services&lt;/title&gt;&lt;/titles&gt;&lt;volume&gt;No. 85&lt;/volume&gt;&lt;dates&gt;&lt;year&gt;2017&lt;/year&gt;&lt;/dates&gt;&lt;urls&gt;&lt;/urls&gt;&lt;/record&gt;&lt;/Cite&gt;&lt;/EndNote&gt;</w:instrText>
      </w:r>
      <w:r w:rsidR="002D37DC" w:rsidRPr="009A1C8E">
        <w:fldChar w:fldCharType="separate"/>
      </w:r>
      <w:r w:rsidR="004C3D69" w:rsidRPr="009A1C8E">
        <w:rPr>
          <w:noProof/>
        </w:rPr>
        <w:t>(37)</w:t>
      </w:r>
      <w:r w:rsidR="002D37DC" w:rsidRPr="009A1C8E">
        <w:fldChar w:fldCharType="end"/>
      </w:r>
      <w:r w:rsidRPr="009A1C8E">
        <w:t>. This inquiry into human services reforms clearly found that short-term contacts:</w:t>
      </w:r>
    </w:p>
    <w:p w:rsidR="008B18D4" w:rsidRPr="009A1C8E" w:rsidRDefault="008B18D4" w:rsidP="00A14F68">
      <w:pPr>
        <w:pStyle w:val="ListParagraph"/>
        <w:numPr>
          <w:ilvl w:val="0"/>
          <w:numId w:val="41"/>
        </w:numPr>
        <w:spacing w:before="120" w:after="120" w:line="276" w:lineRule="auto"/>
      </w:pPr>
      <w:r w:rsidRPr="009A1C8E">
        <w:t xml:space="preserve">Impede service providers’ ability to deliver and improve services, as they are </w:t>
      </w:r>
      <w:r w:rsidR="0053533A" w:rsidRPr="009A1C8E">
        <w:t>focussed</w:t>
      </w:r>
      <w:r w:rsidRPr="009A1C8E">
        <w:t xml:space="preserve"> on </w:t>
      </w:r>
      <w:r w:rsidR="007C35B5" w:rsidRPr="009A1C8E">
        <w:t>seeking short-term funding; and</w:t>
      </w:r>
    </w:p>
    <w:p w:rsidR="008B18D4" w:rsidRPr="009A1C8E" w:rsidRDefault="008B18D4" w:rsidP="00A14F68">
      <w:pPr>
        <w:pStyle w:val="ListParagraph"/>
        <w:numPr>
          <w:ilvl w:val="0"/>
          <w:numId w:val="41"/>
        </w:numPr>
        <w:spacing w:before="120" w:after="120" w:line="276" w:lineRule="auto"/>
      </w:pPr>
      <w:r w:rsidRPr="009A1C8E">
        <w:t xml:space="preserve">Hinder service providers’ ability to develop strong and stable relationships with clients, which further impedes service delivery and the achievement of outcomes for service users </w:t>
      </w:r>
      <w:r w:rsidR="002D37DC" w:rsidRPr="009A1C8E">
        <w:fldChar w:fldCharType="begin"/>
      </w:r>
      <w:r w:rsidR="004C3D69" w:rsidRPr="009A1C8E">
        <w:instrText xml:space="preserve"> ADDIN EN.CITE &lt;EndNote&gt;&lt;Cite&gt;&lt;Author&gt;Productivity Commission&lt;/Author&gt;&lt;Year&gt;2017&lt;/Year&gt;&lt;RecNum&gt;285&lt;/RecNum&gt;&lt;DisplayText&gt;(37)&lt;/DisplayText&gt;&lt;record&gt;&lt;rec-number&gt;285&lt;/rec-number&gt;&lt;foreign-keys&gt;&lt;key app="EN" db-id="dtafe02tlezsd7ef59c5s9fdse5ze52xw2ta" timestamp="1554382931"&gt;285&lt;/key&gt;&lt;/foreign-keys&gt;&lt;ref-type name="Report"&gt;27&lt;/ref-type&gt;&lt;contributors&gt;&lt;authors&gt;&lt;author&gt;Productivity Commission,&lt;/author&gt;&lt;/authors&gt;&lt;/contributors&gt;&lt;titles&gt;&lt;title&gt;Introducing Competition and Informed User Choice into Human Services: Reforms to Human Services&lt;/title&gt;&lt;/titles&gt;&lt;volume&gt;No. 85&lt;/volume&gt;&lt;dates&gt;&lt;year&gt;2017&lt;/year&gt;&lt;/dates&gt;&lt;urls&gt;&lt;/urls&gt;&lt;/record&gt;&lt;/Cite&gt;&lt;/EndNote&gt;</w:instrText>
      </w:r>
      <w:r w:rsidR="002D37DC" w:rsidRPr="009A1C8E">
        <w:fldChar w:fldCharType="separate"/>
      </w:r>
      <w:r w:rsidR="004C3D69" w:rsidRPr="009A1C8E">
        <w:rPr>
          <w:noProof/>
        </w:rPr>
        <w:t>(37)</w:t>
      </w:r>
      <w:r w:rsidR="002D37DC" w:rsidRPr="009A1C8E">
        <w:fldChar w:fldCharType="end"/>
      </w:r>
      <w:r w:rsidRPr="009A1C8E">
        <w:t>.</w:t>
      </w:r>
    </w:p>
    <w:p w:rsidR="008B18D4" w:rsidRPr="009A1C8E" w:rsidRDefault="008B18D4" w:rsidP="00A14F68">
      <w:pPr>
        <w:spacing w:before="120" w:after="120" w:line="276" w:lineRule="auto"/>
      </w:pPr>
      <w:r w:rsidRPr="009A1C8E">
        <w:t xml:space="preserve">Seven-year contracts would enable providers to make necessary investments in the workforce, build relationships in the community, support stronger outcomes for participants and ensure a smooth transition at the end of the contract </w:t>
      </w:r>
      <w:r w:rsidR="002D37DC" w:rsidRPr="009A1C8E">
        <w:fldChar w:fldCharType="begin"/>
      </w:r>
      <w:r w:rsidR="004C3D69" w:rsidRPr="009A1C8E">
        <w:instrText xml:space="preserve"> ADDIN EN.CITE &lt;EndNote&gt;&lt;Cite&gt;&lt;Author&gt;Productivity Commission&lt;/Author&gt;&lt;Year&gt;2017&lt;/Year&gt;&lt;RecNum&gt;285&lt;/RecNum&gt;&lt;DisplayText&gt;(37)&lt;/DisplayText&gt;&lt;record&gt;&lt;rec-number&gt;285&lt;/rec-number&gt;&lt;foreign-keys&gt;&lt;key app="EN" db-id="dtafe02tlezsd7ef59c5s9fdse5ze52xw2ta" timestamp="1554382931"&gt;285&lt;/key&gt;&lt;/foreign-keys&gt;&lt;ref-type name="Report"&gt;27&lt;/ref-type&gt;&lt;contributors&gt;&lt;authors&gt;&lt;author&gt;Productivity Commission,&lt;/author&gt;&lt;/authors&gt;&lt;/contributors&gt;&lt;titles&gt;&lt;title&gt;Introducing Competition and Informed User Choice into Human Services: Reforms to Human Services&lt;/title&gt;&lt;/titles&gt;&lt;volume&gt;No. 85&lt;/volume&gt;&lt;dates&gt;&lt;year&gt;2017&lt;/year&gt;&lt;/dates&gt;&lt;urls&gt;&lt;/urls&gt;&lt;/record&gt;&lt;/Cite&gt;&lt;/EndNote&gt;</w:instrText>
      </w:r>
      <w:r w:rsidR="002D37DC" w:rsidRPr="009A1C8E">
        <w:fldChar w:fldCharType="separate"/>
      </w:r>
      <w:r w:rsidR="004C3D69" w:rsidRPr="009A1C8E">
        <w:rPr>
          <w:noProof/>
        </w:rPr>
        <w:t>(37)</w:t>
      </w:r>
      <w:r w:rsidR="002D37DC" w:rsidRPr="009A1C8E">
        <w:fldChar w:fldCharType="end"/>
      </w:r>
      <w:r w:rsidRPr="009A1C8E">
        <w:t xml:space="preserve">. The Productivity Commission </w:t>
      </w:r>
      <w:r w:rsidR="002D37DC" w:rsidRPr="009A1C8E">
        <w:fldChar w:fldCharType="begin"/>
      </w:r>
      <w:r w:rsidR="004C3D69" w:rsidRPr="009A1C8E">
        <w:instrText xml:space="preserve"> ADDIN EN.CITE &lt;EndNote&gt;&lt;Cite&gt;&lt;Author&gt;Productivity Commission&lt;/Author&gt;&lt;Year&gt;2017&lt;/Year&gt;&lt;RecNum&gt;285&lt;/RecNum&gt;&lt;DisplayText&gt;(37)&lt;/DisplayText&gt;&lt;record&gt;&lt;rec-number&gt;285&lt;/rec-number&gt;&lt;foreign-keys&gt;&lt;key app="EN" db-id="dtafe02tlezsd7ef59c5s9fdse5ze52xw2ta" timestamp="1554382931"&gt;285&lt;/key&gt;&lt;/foreign-keys&gt;&lt;ref-type name="Report"&gt;27&lt;/ref-type&gt;&lt;contributors&gt;&lt;authors&gt;&lt;author&gt;Productivity Commission,&lt;/author&gt;&lt;/authors&gt;&lt;/contributors&gt;&lt;titles&gt;&lt;title&gt;Introducing Competition and Informed User Choice into Human Services: Reforms to Human Services&lt;/title&gt;&lt;/titles&gt;&lt;volume&gt;No. 85&lt;/volume&gt;&lt;dates&gt;&lt;year&gt;2017&lt;/year&gt;&lt;/dates&gt;&lt;urls&gt;&lt;/urls&gt;&lt;/record&gt;&lt;/Cite&gt;&lt;/EndNote&gt;</w:instrText>
      </w:r>
      <w:r w:rsidR="002D37DC" w:rsidRPr="009A1C8E">
        <w:fldChar w:fldCharType="separate"/>
      </w:r>
      <w:r w:rsidR="004C3D69" w:rsidRPr="009A1C8E">
        <w:rPr>
          <w:noProof/>
        </w:rPr>
        <w:t>(37)</w:t>
      </w:r>
      <w:r w:rsidR="002D37DC" w:rsidRPr="009A1C8E">
        <w:fldChar w:fldCharType="end"/>
      </w:r>
      <w:r w:rsidR="008611AC" w:rsidRPr="009A1C8E">
        <w:t xml:space="preserve"> </w:t>
      </w:r>
      <w:r w:rsidRPr="009A1C8E">
        <w:t>also suggests new programs could be trialled with short-term contracts.</w:t>
      </w:r>
    </w:p>
    <w:p w:rsidR="008B18D4" w:rsidRPr="009A1C8E" w:rsidRDefault="008B18D4" w:rsidP="00A14F68">
      <w:pPr>
        <w:spacing w:before="120" w:after="120" w:line="276" w:lineRule="auto"/>
      </w:pPr>
      <w:r w:rsidRPr="009A1C8E">
        <w:t xml:space="preserve">Secondly, </w:t>
      </w:r>
      <w:r w:rsidRPr="00E43D9D">
        <w:rPr>
          <w:b/>
        </w:rPr>
        <w:t>thin markets are more likely to arise in Victoria, as there has historically been greater funding through the</w:t>
      </w:r>
      <w:r w:rsidR="008611AC" w:rsidRPr="00E43D9D">
        <w:rPr>
          <w:b/>
        </w:rPr>
        <w:t xml:space="preserve"> </w:t>
      </w:r>
      <w:r w:rsidRPr="00E43D9D">
        <w:rPr>
          <w:b/>
        </w:rPr>
        <w:t>BIC program.</w:t>
      </w:r>
      <w:r w:rsidRPr="009A1C8E">
        <w:t xml:space="preserve"> Since 2002, across Victoria, the BIC </w:t>
      </w:r>
      <w:r w:rsidR="00DD209C" w:rsidRPr="009A1C8E">
        <w:t>p</w:t>
      </w:r>
      <w:r w:rsidRPr="009A1C8E">
        <w:t>rogram (formerly the Community Building Program) has:</w:t>
      </w:r>
    </w:p>
    <w:p w:rsidR="008B18D4" w:rsidRPr="009A1C8E" w:rsidRDefault="008B18D4" w:rsidP="00A14F68">
      <w:pPr>
        <w:pStyle w:val="ListParagraph"/>
        <w:numPr>
          <w:ilvl w:val="0"/>
          <w:numId w:val="34"/>
        </w:numPr>
        <w:spacing w:before="120" w:after="120" w:line="276" w:lineRule="auto"/>
      </w:pPr>
      <w:r w:rsidRPr="009A1C8E">
        <w:t>Supported people with disability to optimise participation in their local communities;</w:t>
      </w:r>
    </w:p>
    <w:p w:rsidR="008B18D4" w:rsidRPr="009A1C8E" w:rsidRDefault="008B18D4" w:rsidP="00A14F68">
      <w:pPr>
        <w:pStyle w:val="ListParagraph"/>
        <w:numPr>
          <w:ilvl w:val="0"/>
          <w:numId w:val="34"/>
        </w:numPr>
        <w:spacing w:before="120" w:after="120" w:line="276" w:lineRule="auto"/>
      </w:pPr>
      <w:r w:rsidRPr="009A1C8E">
        <w:t>Built and strengthened Victorian communities’ capacity to support people with disability and their families; and</w:t>
      </w:r>
    </w:p>
    <w:p w:rsidR="008B18D4" w:rsidRPr="009A1C8E" w:rsidRDefault="008B18D4" w:rsidP="00A14F68">
      <w:pPr>
        <w:pStyle w:val="ListParagraph"/>
        <w:numPr>
          <w:ilvl w:val="0"/>
          <w:numId w:val="34"/>
        </w:numPr>
        <w:spacing w:before="120" w:after="120" w:line="276" w:lineRule="auto"/>
      </w:pPr>
      <w:r w:rsidRPr="009A1C8E">
        <w:lastRenderedPageBreak/>
        <w:t xml:space="preserve">Achieved integrated local community planning that engages people with disability, their families, service providers and community organisations </w:t>
      </w:r>
      <w:r w:rsidR="002D37DC" w:rsidRPr="009A1C8E">
        <w:fldChar w:fldCharType="begin"/>
      </w:r>
      <w:r w:rsidR="004C3D69" w:rsidRPr="009A1C8E">
        <w:instrText xml:space="preserve"> ADDIN EN.CITE &lt;EndNote&gt;&lt;Cite&gt;&lt;Author&gt;Family and Community Development Committee&lt;/Author&gt;&lt;Year&gt;2014&lt;/Year&gt;&lt;RecNum&gt;286&lt;/RecNum&gt;&lt;DisplayText&gt;(38)&lt;/DisplayText&gt;&lt;record&gt;&lt;rec-number&gt;286&lt;/rec-number&gt;&lt;foreign-keys&gt;&lt;key app="EN" db-id="dtafe02tlezsd7ef59c5s9fdse5ze52xw2ta" timestamp="1554383129"&gt;286&lt;/key&gt;&lt;/foreign-keys&gt;&lt;ref-type name="Report"&gt;27&lt;/ref-type&gt;&lt;contributors&gt;&lt;authors&gt;&lt;author&gt;Family and Community Development Committee,&lt;/author&gt;&lt;/authors&gt;&lt;/contributors&gt;&lt;titles&gt;&lt;title&gt;Inquiry into Social Inclusion and Victorians with Disability&lt;/title&gt;&lt;/titles&gt;&lt;dates&gt;&lt;year&gt;2014&lt;/year&gt;&lt;/dates&gt;&lt;publisher&gt;Parliament of Victoria&lt;/publisher&gt;&lt;urls&gt;&lt;/urls&gt;&lt;/record&gt;&lt;/Cite&gt;&lt;/EndNote&gt;</w:instrText>
      </w:r>
      <w:r w:rsidR="002D37DC" w:rsidRPr="009A1C8E">
        <w:fldChar w:fldCharType="separate"/>
      </w:r>
      <w:r w:rsidR="004C3D69" w:rsidRPr="009A1C8E">
        <w:rPr>
          <w:noProof/>
        </w:rPr>
        <w:t>(38)</w:t>
      </w:r>
      <w:r w:rsidR="002D37DC" w:rsidRPr="009A1C8E">
        <w:fldChar w:fldCharType="end"/>
      </w:r>
      <w:r w:rsidRPr="009A1C8E">
        <w:t>.</w:t>
      </w:r>
    </w:p>
    <w:p w:rsidR="008B18D4" w:rsidRDefault="008B18D4" w:rsidP="00A14F68">
      <w:pPr>
        <w:spacing w:before="120" w:after="120" w:line="276" w:lineRule="auto"/>
      </w:pPr>
      <w:r w:rsidRPr="009A1C8E">
        <w:t>Warrnambool City Council clearly illustrates the value of the BIC program in Victoria (box 2).</w:t>
      </w:r>
      <w:r w:rsidR="005E0829" w:rsidRPr="005E0829">
        <w:rPr>
          <w:noProof/>
          <w:lang w:eastAsia="en-AU"/>
        </w:rPr>
        <w:t xml:space="preserve"> </w:t>
      </w:r>
      <w:r w:rsidR="002D37DC">
        <w:rPr>
          <w:noProof/>
          <w:lang w:eastAsia="en-AU"/>
        </w:rPr>
      </w:r>
      <w:r w:rsidR="00AB6823">
        <w:rPr>
          <w:noProof/>
          <w:lang w:eastAsia="en-AU"/>
        </w:rPr>
        <w:pict>
          <v:shapetype id="_x0000_t202" coordsize="21600,21600" o:spt="202" path="m,l,21600r21600,l21600,xe">
            <v:stroke joinstyle="miter"/>
            <v:path gradientshapeok="t" o:connecttype="rect"/>
          </v:shapetype>
          <v:shape id="Text Box 2" o:spid="_x0000_s1026" type="#_x0000_t202" style="width:443.5pt;height:110.6pt;visibility:visible;mso-position-horizontal-relative:char;mso-position-vertical-relative:line" strokecolor="#497594">
            <v:textbox style="mso-fit-shape-to-text:t">
              <w:txbxContent>
                <w:p w:rsidR="005E0829" w:rsidRPr="00391D50" w:rsidRDefault="005E0829" w:rsidP="005E0829">
                  <w:pPr>
                    <w:spacing w:before="120" w:after="120"/>
                    <w:rPr>
                      <w:b/>
                      <w:color w:val="497594"/>
                    </w:rPr>
                  </w:pPr>
                  <w:r w:rsidRPr="00391D50">
                    <w:rPr>
                      <w:b/>
                      <w:color w:val="497594"/>
                    </w:rPr>
                    <w:t xml:space="preserve">Box 2: </w:t>
                  </w:r>
                  <w:proofErr w:type="gramStart"/>
                  <w:r w:rsidRPr="00391D50">
                    <w:rPr>
                      <w:b/>
                      <w:color w:val="497594"/>
                    </w:rPr>
                    <w:t>The</w:t>
                  </w:r>
                  <w:proofErr w:type="gramEnd"/>
                  <w:r w:rsidRPr="00391D50">
                    <w:rPr>
                      <w:b/>
                      <w:color w:val="497594"/>
                    </w:rPr>
                    <w:t xml:space="preserve"> impact of the BIC program – Warrnambool City Council</w:t>
                  </w:r>
                </w:p>
                <w:p w:rsidR="005E0829" w:rsidRPr="00DF1BBB" w:rsidRDefault="005E0829" w:rsidP="005E0829">
                  <w:pPr>
                    <w:spacing w:before="120" w:after="120"/>
                  </w:pPr>
                  <w:r w:rsidRPr="00DF1BBB">
                    <w:t xml:space="preserve">Victoria is unlike any other state in Australia in that the State Government has made a strong commitment to the development of community building infrastructure through the funding of the </w:t>
                  </w:r>
                  <w:proofErr w:type="spellStart"/>
                  <w:r w:rsidRPr="00DF1BBB">
                    <w:t>RuralAccess</w:t>
                  </w:r>
                  <w:proofErr w:type="spellEnd"/>
                  <w:r w:rsidRPr="00DF1BBB">
                    <w:t xml:space="preserve">, </w:t>
                  </w:r>
                  <w:proofErr w:type="spellStart"/>
                  <w:r w:rsidRPr="00DF1BBB">
                    <w:t>MetroAccess</w:t>
                  </w:r>
                  <w:proofErr w:type="spellEnd"/>
                  <w:r w:rsidRPr="00DF1BBB">
                    <w:t xml:space="preserve"> and the </w:t>
                  </w:r>
                  <w:proofErr w:type="spellStart"/>
                  <w:r w:rsidRPr="00DF1BBB">
                    <w:t>DeafAccess</w:t>
                  </w:r>
                  <w:proofErr w:type="spellEnd"/>
                  <w:r w:rsidRPr="00DF1BBB">
                    <w:t xml:space="preserve"> initiatives. This places Victoria in a unique position to engage in community development activity which responds to the needs and aspirations of people with disability.</w:t>
                  </w:r>
                </w:p>
                <w:p w:rsidR="005E0829" w:rsidRDefault="005E0829" w:rsidP="005E0829">
                  <w:pPr>
                    <w:spacing w:before="120" w:after="120"/>
                  </w:pPr>
                  <w:r w:rsidRPr="00DF1BBB">
                    <w:t xml:space="preserve">The program recognises the potential for local government to lead and facilitate change in local communities by planning and engaging mainstream community organisations and services across the full range of community infrastructure (education, employment, transport, sport and recreation, arts and cultural development, tourism etc) and building their capacity to include people with disability. </w:t>
                  </w:r>
                  <w:r w:rsidR="002D37DC" w:rsidRPr="00DF1BBB">
                    <w:fldChar w:fldCharType="begin"/>
                  </w:r>
                  <w:r w:rsidRPr="00DF1BBB">
                    <w:instrText xml:space="preserve"> ADDIN EN.CITE &lt;EndNote&gt;&lt;Cite&gt;&lt;Author&gt;Family and Community Development Committee&lt;/Author&gt;&lt;Year&gt;2014&lt;/Year&gt;&lt;RecNum&gt;286&lt;/RecNum&gt;&lt;DisplayText&gt;(38)&lt;/DisplayText&gt;&lt;record&gt;&lt;rec-number&gt;286&lt;/rec-number&gt;&lt;foreign-keys&gt;&lt;key app="EN" db-id="dtafe02tlezsd7ef59c5s9fdse5ze52xw2ta" timestamp="1554383129"&gt;286&lt;/key&gt;&lt;/foreign-keys&gt;&lt;ref-type name="Report"&gt;27&lt;/ref-type&gt;&lt;contributors&gt;&lt;authors&gt;&lt;author&gt;Family and Community Development Committee,&lt;/author&gt;&lt;/authors&gt;&lt;/contributors&gt;&lt;titles&gt;&lt;title&gt;Inquiry into Social Inclusion and Victorians with Disability&lt;/title&gt;&lt;/titles&gt;&lt;dates&gt;&lt;year&gt;2014&lt;/year&gt;&lt;/dates&gt;&lt;publisher&gt;Parliament of Victoria&lt;/publisher&gt;&lt;urls&gt;&lt;/urls&gt;&lt;/record&gt;&lt;/Cite&gt;&lt;/EndNote&gt;</w:instrText>
                  </w:r>
                  <w:r w:rsidR="002D37DC" w:rsidRPr="00DF1BBB">
                    <w:fldChar w:fldCharType="separate"/>
                  </w:r>
                  <w:r w:rsidRPr="00DF1BBB">
                    <w:t>(38)</w:t>
                  </w:r>
                  <w:r w:rsidR="002D37DC" w:rsidRPr="00DF1BBB">
                    <w:fldChar w:fldCharType="end"/>
                  </w:r>
                </w:p>
              </w:txbxContent>
            </v:textbox>
            <w10:wrap type="none"/>
            <w10:anchorlock/>
          </v:shape>
        </w:pict>
      </w:r>
    </w:p>
    <w:p w:rsidR="008B18D4" w:rsidRPr="009A1C8E" w:rsidRDefault="008B18D4" w:rsidP="00A14F68">
      <w:pPr>
        <w:spacing w:before="120" w:after="120" w:line="276" w:lineRule="auto"/>
        <w:rPr>
          <w:color w:val="000000" w:themeColor="text1"/>
        </w:rPr>
      </w:pPr>
      <w:r w:rsidRPr="009A1C8E">
        <w:t xml:space="preserve">Nationally, the ILC funding envelope is $132 million </w:t>
      </w:r>
      <w:r w:rsidR="002D37DC" w:rsidRPr="009A1C8E">
        <w:fldChar w:fldCharType="begin"/>
      </w:r>
      <w:r w:rsidR="004C3D69" w:rsidRPr="009A1C8E">
        <w:instrText xml:space="preserve"> ADDIN EN.CITE &lt;EndNote&gt;&lt;Cite&gt;&lt;Author&gt;National Disability Insurance Agency&lt;/Author&gt;&lt;Year&gt;2016&lt;/Year&gt;&lt;RecNum&gt;287&lt;/RecNum&gt;&lt;DisplayText&gt;(39)&lt;/DisplayText&gt;&lt;record&gt;&lt;rec-number&gt;287&lt;/rec-number&gt;&lt;foreign-keys&gt;&lt;key app="EN" db-id="dtafe02tlezsd7ef59c5s9fdse5ze52xw2ta" timestamp="1554383230"&gt;287&lt;/key&gt;&lt;/foreign-keys&gt;&lt;ref-type name="Journal Article"&gt;17&lt;/ref-type&gt;&lt;contributors&gt;&lt;authors&gt;&lt;author&gt;National Disability Insurance Agency,&lt;/author&gt;&lt;/authors&gt;&lt;/contributors&gt;&lt;titles&gt;&lt;title&gt;Information, Linkages and Capacity Building Commissioning Framework&lt;/title&gt;&lt;/titles&gt;&lt;dates&gt;&lt;year&gt;2016&lt;/year&gt;&lt;/dates&gt;&lt;urls&gt;&lt;/urls&gt;&lt;/record&gt;&lt;/Cite&gt;&lt;/EndNote&gt;</w:instrText>
      </w:r>
      <w:r w:rsidR="002D37DC" w:rsidRPr="009A1C8E">
        <w:fldChar w:fldCharType="separate"/>
      </w:r>
      <w:r w:rsidR="004C3D69" w:rsidRPr="009A1C8E">
        <w:rPr>
          <w:noProof/>
        </w:rPr>
        <w:t>(39)</w:t>
      </w:r>
      <w:r w:rsidR="002D37DC" w:rsidRPr="009A1C8E">
        <w:fldChar w:fldCharType="end"/>
      </w:r>
      <w:r w:rsidRPr="009A1C8E">
        <w:t>. Therefore</w:t>
      </w:r>
      <w:r w:rsidR="002166C9" w:rsidRPr="009A1C8E">
        <w:t>,</w:t>
      </w:r>
      <w:r w:rsidRPr="009A1C8E">
        <w:t xml:space="preserve"> it is likely that some essential BIC services will be no longer funded and significant local expertise and social capital will be lost in Victoria. The extensive work currently undertaken by the 70 Metro, Rural and Deaf Access Officers to deliver place-based social inclusion and community strengthening initiatives is likely to be reduced. This will have significant implications on local communities’ ability to build long-term, sustainable change that considers the needs and aspirations of people with disability, their families and carers. NDS recognises that the Victorian Government has been transparent about the BIC transition plan. However, NDS also recommends that the NDIA review and monitor the current ILC </w:t>
      </w:r>
      <w:r w:rsidRPr="009A1C8E">
        <w:rPr>
          <w:color w:val="000000" w:themeColor="text1"/>
        </w:rPr>
        <w:t>grant funding model, with the view of introducing much longer terms for funding of essential services without a competitive grant process. This is fundamental to mitigate the emergence of thin markets and to ensure appropriate and quality services can be delivered across all jurisdictions.</w:t>
      </w:r>
    </w:p>
    <w:p w:rsidR="00DF1BBB" w:rsidRPr="00E116BB" w:rsidRDefault="008B18D4" w:rsidP="00E116BB">
      <w:pPr>
        <w:spacing w:before="120" w:after="120" w:line="276" w:lineRule="auto"/>
        <w:rPr>
          <w:b/>
          <w:bCs/>
        </w:rPr>
      </w:pPr>
      <w:r w:rsidRPr="009A1C8E">
        <w:t xml:space="preserve">Thirdly, as noted by the Productivity Commission </w:t>
      </w:r>
      <w:r w:rsidR="002D37DC" w:rsidRPr="009A1C8E">
        <w:fldChar w:fldCharType="begin"/>
      </w:r>
      <w:r w:rsidR="0097736C" w:rsidRPr="009A1C8E">
        <w:instrText xml:space="preserve"> ADDIN EN.CITE &lt;EndNote&gt;&lt;Cite&gt;&lt;Author&gt;Productivity Commission&lt;/Author&gt;&lt;Year&gt;2017&lt;/Year&gt;&lt;RecNum&gt;254&lt;/RecNum&gt;&lt;DisplayText&gt;(4)&lt;/DisplayText&gt;&lt;record&gt;&lt;rec-number&gt;254&lt;/rec-number&gt;&lt;foreign-keys&gt;&lt;key app="EN" db-id="dtafe02tlezsd7ef59c5s9fdse5ze52xw2ta" timestamp="1554298100"&gt;254&lt;/key&gt;&lt;/foreign-keys&gt;&lt;ref-type name="Report"&gt;27&lt;/ref-type&gt;&lt;contributors&gt;&lt;authors&gt;&lt;author&gt;Productivity Commission,&lt;/author&gt;&lt;/authors&gt;&lt;/contributors&gt;&lt;titles&gt;&lt;title&gt;National Disability Insurance Scheme (NDIS) Costs&lt;/title&gt;&lt;secondary-title&gt;Study report&lt;/secondary-title&gt;&lt;/titles&gt;&lt;dates&gt;&lt;year&gt;2017&lt;/year&gt;&lt;/dates&gt;&lt;publisher&gt;Canberra&lt;/publisher&gt;&lt;urls&gt;&lt;/urls&gt;&lt;/record&gt;&lt;/Cite&gt;&lt;/EndNote&gt;</w:instrText>
      </w:r>
      <w:r w:rsidR="002D37DC" w:rsidRPr="009A1C8E">
        <w:fldChar w:fldCharType="separate"/>
      </w:r>
      <w:r w:rsidR="0097736C" w:rsidRPr="009A1C8E">
        <w:rPr>
          <w:noProof/>
        </w:rPr>
        <w:t>(4)</w:t>
      </w:r>
      <w:r w:rsidR="002D37DC" w:rsidRPr="009A1C8E">
        <w:fldChar w:fldCharType="end"/>
      </w:r>
      <w:r w:rsidRPr="009A1C8E">
        <w:t xml:space="preserve">, </w:t>
      </w:r>
      <w:r w:rsidRPr="009A1C8E">
        <w:rPr>
          <w:b/>
        </w:rPr>
        <w:t>LACs have “focussed more on developing participant plans and less on linking participants to services and building participant capacity”</w:t>
      </w:r>
      <w:r w:rsidRPr="009A1C8E">
        <w:t xml:space="preserve">. LACs play an integral role in delivering ILC outcomes by supporting local communities to become accessible and inclusive to people with disability and thus prevent inequities </w:t>
      </w:r>
      <w:r w:rsidR="002D37DC" w:rsidRPr="009A1C8E">
        <w:fldChar w:fldCharType="begin"/>
      </w:r>
      <w:r w:rsidR="004C3D69" w:rsidRPr="009A1C8E">
        <w:instrText xml:space="preserve"> ADDIN EN.CITE &lt;EndNote&gt;&lt;Cite&gt;&lt;Author&gt;National Disability Insurance Agency&lt;/Author&gt;&lt;Year&gt;2016&lt;/Year&gt;&lt;RecNum&gt;287&lt;/RecNum&gt;&lt;DisplayText&gt;(39)&lt;/DisplayText&gt;&lt;record&gt;&lt;rec-number&gt;287&lt;/rec-number&gt;&lt;foreign-keys&gt;&lt;key app="EN" db-id="dtafe02tlezsd7ef59c5s9fdse5ze52xw2ta" timestamp="1554383230"&gt;287&lt;/key&gt;&lt;/foreign-keys&gt;&lt;ref-type name="Journal Article"&gt;17&lt;/ref-type&gt;&lt;contributors&gt;&lt;authors&gt;&lt;author&gt;National Disability Insurance Agency,&lt;/author&gt;&lt;/authors&gt;&lt;/contributors&gt;&lt;titles&gt;&lt;title&gt;Information, Linkages and Capacity Building Commissioning Framework&lt;/title&gt;&lt;/titles&gt;&lt;dates&gt;&lt;year&gt;2016&lt;/year&gt;&lt;/dates&gt;&lt;urls&gt;&lt;/urls&gt;&lt;/record&gt;&lt;/Cite&gt;&lt;/EndNote&gt;</w:instrText>
      </w:r>
      <w:r w:rsidR="002D37DC" w:rsidRPr="009A1C8E">
        <w:fldChar w:fldCharType="separate"/>
      </w:r>
      <w:r w:rsidR="004C3D69" w:rsidRPr="009A1C8E">
        <w:rPr>
          <w:noProof/>
        </w:rPr>
        <w:t>(39)</w:t>
      </w:r>
      <w:r w:rsidR="002D37DC" w:rsidRPr="009A1C8E">
        <w:fldChar w:fldCharType="end"/>
      </w:r>
      <w:r w:rsidRPr="009A1C8E">
        <w:t xml:space="preserve">. LACs are unable to deliver these outcomes as long as their capacity remains constrained by the need for continued prioritisation of </w:t>
      </w:r>
      <w:r w:rsidRPr="009A1C8E">
        <w:lastRenderedPageBreak/>
        <w:t>participant plans. LAC staff would also greatly benefit from further training in person-centred planning approaches, as well as more consistent processes across NDIS regions and different LAC organisations.</w:t>
      </w:r>
      <w:bookmarkStart w:id="52" w:name="_Toc7614957"/>
      <w:r w:rsidR="00DF1BBB">
        <w:br w:type="page"/>
      </w:r>
    </w:p>
    <w:p w:rsidR="008B18D4" w:rsidRPr="009A1C8E" w:rsidRDefault="008B18D4" w:rsidP="00830706">
      <w:pPr>
        <w:pStyle w:val="Heading1"/>
      </w:pPr>
      <w:r w:rsidRPr="009A1C8E">
        <w:lastRenderedPageBreak/>
        <w:t xml:space="preserve">6 Conclusion and </w:t>
      </w:r>
      <w:r w:rsidR="000F191B" w:rsidRPr="009A1C8E">
        <w:t>r</w:t>
      </w:r>
      <w:r w:rsidRPr="009A1C8E">
        <w:t>ecommendations</w:t>
      </w:r>
      <w:bookmarkEnd w:id="52"/>
    </w:p>
    <w:p w:rsidR="008B18D4" w:rsidRPr="009A1C8E" w:rsidRDefault="008B18D4" w:rsidP="00A14F68">
      <w:pPr>
        <w:spacing w:before="120" w:after="120" w:line="276" w:lineRule="auto"/>
      </w:pPr>
      <w:r w:rsidRPr="009A1C8E">
        <w:t>Australia has the opportunity to have a world-leading disability support system, if the NDIS is implemented well. Thin markets are clearly beginning to emerge, however unpacking and mitigating market gaps is complex</w:t>
      </w:r>
      <w:r w:rsidRPr="009A1C8E">
        <w:rPr>
          <w:color w:val="000000" w:themeColor="text1"/>
        </w:rPr>
        <w:t xml:space="preserve">. Following the logic of insurance models, upfront investment in sector development and market stewardship to mitigate the risks of thin markets will lead to greater cost-savings in the future. This is certainly more efficient than not acting and rather observing certain participants being denied service, a decline in service quality, and a decrease or withdrawal of services and organisations. Clear </w:t>
      </w:r>
      <w:r w:rsidRPr="009A1C8E">
        <w:t>strategies need to be established and funded to ensure people with disability have access to robust and functioning markets.</w:t>
      </w:r>
    </w:p>
    <w:p w:rsidR="008B18D4" w:rsidRPr="009A1C8E" w:rsidRDefault="008B18D4" w:rsidP="00A14F68">
      <w:pPr>
        <w:spacing w:before="120" w:after="120" w:line="276" w:lineRule="auto"/>
      </w:pPr>
      <w:r w:rsidRPr="009A1C8E">
        <w:t xml:space="preserve">The not-for-profit disability sector will require a level of funded sector development support post NDIS implementation to ensure the NDIS marketplace evolves effectively and equitably. Failure to address market risks will </w:t>
      </w:r>
      <w:r w:rsidRPr="009A1C8E">
        <w:rPr>
          <w:color w:val="000000" w:themeColor="text1"/>
        </w:rPr>
        <w:t xml:space="preserve">undermine the success of the Scheme and will weaken the community’s confidence in public service reform. Success will enable people with disability </w:t>
      </w:r>
      <w:r w:rsidRPr="009A1C8E">
        <w:t>to achieve their goals and participate economically and socially, irrespective of their location or needs.</w:t>
      </w:r>
    </w:p>
    <w:p w:rsidR="008B18D4" w:rsidRPr="009A1C8E" w:rsidRDefault="008B18D4" w:rsidP="00A14F68">
      <w:pPr>
        <w:spacing w:before="120" w:after="120" w:line="276" w:lineRule="auto"/>
      </w:pPr>
      <w:r w:rsidRPr="009A1C8E">
        <w:t>In light of the findings, the following recommendations are proposed for Governments, the NDIA and NDS to consider in mitigating the risk of thin markets post NDIS implementation.</w:t>
      </w:r>
    </w:p>
    <w:p w:rsidR="008B18D4" w:rsidRPr="009A1C8E" w:rsidRDefault="006275D7" w:rsidP="00830706">
      <w:pPr>
        <w:pStyle w:val="Heading2"/>
      </w:pPr>
      <w:bookmarkStart w:id="53" w:name="_Toc7614958"/>
      <w:r w:rsidRPr="009A1C8E">
        <w:t xml:space="preserve">6.1 </w:t>
      </w:r>
      <w:r w:rsidR="008B18D4" w:rsidRPr="009A1C8E">
        <w:t>Recommendations for Governments and the NDIA</w:t>
      </w:r>
      <w:bookmarkEnd w:id="53"/>
    </w:p>
    <w:p w:rsidR="00481E27" w:rsidRPr="009A1C8E" w:rsidRDefault="00481E27" w:rsidP="00A14F68">
      <w:pPr>
        <w:pStyle w:val="ListParagraph"/>
        <w:numPr>
          <w:ilvl w:val="0"/>
          <w:numId w:val="45"/>
        </w:numPr>
        <w:spacing w:before="120" w:after="120" w:line="276" w:lineRule="auto"/>
      </w:pPr>
      <w:r w:rsidRPr="009A1C8E">
        <w:t>Invest in sector development during the</w:t>
      </w:r>
      <w:r w:rsidR="00663F1A" w:rsidRPr="009A1C8E">
        <w:t xml:space="preserve"> two to three</w:t>
      </w:r>
      <w:r w:rsidRPr="009A1C8E">
        <w:t xml:space="preserve"> years post NDIS transition to enable the delivery of necessary supports identified below, particularly targeting rural and regional areas.</w:t>
      </w:r>
    </w:p>
    <w:p w:rsidR="00481E27" w:rsidRPr="009A1C8E" w:rsidRDefault="00481E27" w:rsidP="00A14F68">
      <w:pPr>
        <w:pStyle w:val="ListParagraph"/>
        <w:numPr>
          <w:ilvl w:val="0"/>
          <w:numId w:val="45"/>
        </w:numPr>
        <w:spacing w:before="120" w:after="120" w:line="276" w:lineRule="auto"/>
      </w:pPr>
      <w:r w:rsidRPr="009A1C8E">
        <w:t>Embrace a market stewardship approach by considering local market conditions, engaging closely with all NDIS stakeholders, monitoring the market and steering the system, whilst also determining mechanisms to mitigate thin markets with perhaps:</w:t>
      </w:r>
    </w:p>
    <w:p w:rsidR="00481E27" w:rsidRPr="009A1C8E" w:rsidRDefault="00481E27" w:rsidP="00A14F68">
      <w:pPr>
        <w:pStyle w:val="ListParagraph"/>
        <w:numPr>
          <w:ilvl w:val="1"/>
          <w:numId w:val="45"/>
        </w:numPr>
        <w:spacing w:before="120" w:after="120" w:line="276" w:lineRule="auto"/>
      </w:pPr>
      <w:r w:rsidRPr="009A1C8E">
        <w:t>Incentives for rural/regional</w:t>
      </w:r>
      <w:r w:rsidR="00663F1A" w:rsidRPr="009A1C8E">
        <w:t xml:space="preserve"> and</w:t>
      </w:r>
      <w:r w:rsidRPr="009A1C8E">
        <w:t xml:space="preserve"> niche providers to enter and remain in market;</w:t>
      </w:r>
    </w:p>
    <w:p w:rsidR="00481E27" w:rsidRPr="009A1C8E" w:rsidRDefault="00481E27" w:rsidP="00A14F68">
      <w:pPr>
        <w:pStyle w:val="ListParagraph"/>
        <w:numPr>
          <w:ilvl w:val="1"/>
          <w:numId w:val="45"/>
        </w:numPr>
        <w:spacing w:before="120" w:after="120" w:line="276" w:lineRule="auto"/>
      </w:pPr>
      <w:r w:rsidRPr="009A1C8E">
        <w:t>Employing a system of soft checks to identify supports that providers in thin markets require to remain viable and stay in business; and</w:t>
      </w:r>
    </w:p>
    <w:p w:rsidR="00481E27" w:rsidRPr="009A1C8E" w:rsidRDefault="00481E27" w:rsidP="00A14F68">
      <w:pPr>
        <w:pStyle w:val="ListParagraph"/>
        <w:numPr>
          <w:ilvl w:val="1"/>
          <w:numId w:val="45"/>
        </w:numPr>
        <w:spacing w:before="120" w:after="120" w:line="276" w:lineRule="auto"/>
      </w:pPr>
      <w:r w:rsidRPr="009A1C8E">
        <w:t>Using seed funding or grants for types of service provision identified as thin markets.</w:t>
      </w:r>
    </w:p>
    <w:p w:rsidR="00481E27" w:rsidRPr="009A1C8E" w:rsidRDefault="00481E27" w:rsidP="00A14F68">
      <w:pPr>
        <w:pStyle w:val="ListParagraph"/>
        <w:numPr>
          <w:ilvl w:val="0"/>
          <w:numId w:val="45"/>
        </w:numPr>
        <w:spacing w:before="120" w:after="120" w:line="276" w:lineRule="auto"/>
      </w:pPr>
      <w:r w:rsidRPr="009A1C8E">
        <w:lastRenderedPageBreak/>
        <w:t>Implement the following actions to reduce the implications of inadequate NDIS pricing on providers’ ability to remain financially viability, maintain service quality and develop a flexible and sustainable workforce:</w:t>
      </w:r>
    </w:p>
    <w:p w:rsidR="00481E27" w:rsidRPr="009A1C8E" w:rsidRDefault="00481E27" w:rsidP="00A14F68">
      <w:pPr>
        <w:pStyle w:val="ListParagraph"/>
        <w:numPr>
          <w:ilvl w:val="0"/>
          <w:numId w:val="46"/>
        </w:numPr>
        <w:spacing w:before="120" w:after="120" w:line="276" w:lineRule="auto"/>
      </w:pPr>
      <w:r w:rsidRPr="009A1C8E">
        <w:t>Ensure NDIS pricing reflects the true cost of service provision;</w:t>
      </w:r>
    </w:p>
    <w:p w:rsidR="00481E27" w:rsidRPr="009A1C8E" w:rsidRDefault="00481E27" w:rsidP="00A14F68">
      <w:pPr>
        <w:pStyle w:val="ListParagraph"/>
        <w:numPr>
          <w:ilvl w:val="0"/>
          <w:numId w:val="46"/>
        </w:numPr>
        <w:spacing w:before="120" w:after="120" w:line="276" w:lineRule="auto"/>
      </w:pPr>
      <w:r w:rsidRPr="009A1C8E">
        <w:t>Expand the price</w:t>
      </w:r>
      <w:r w:rsidR="00663F1A" w:rsidRPr="009A1C8E">
        <w:t>-</w:t>
      </w:r>
      <w:r w:rsidRPr="009A1C8E">
        <w:t>setting criteria in the NDIS Act to ensure pricing is responsive to local market conditions;</w:t>
      </w:r>
    </w:p>
    <w:p w:rsidR="00481E27" w:rsidRPr="009A1C8E" w:rsidRDefault="00481E27" w:rsidP="00A14F68">
      <w:pPr>
        <w:pStyle w:val="ListParagraph"/>
        <w:numPr>
          <w:ilvl w:val="0"/>
          <w:numId w:val="46"/>
        </w:numPr>
        <w:spacing w:before="120" w:after="120" w:line="276" w:lineRule="auto"/>
      </w:pPr>
      <w:r w:rsidRPr="009A1C8E">
        <w:t>Ensure the benchmarking of prices to mature markets also considers geographical and participant contexts, not merely similar services;</w:t>
      </w:r>
    </w:p>
    <w:p w:rsidR="00481E27" w:rsidRPr="009A1C8E" w:rsidRDefault="00481E27" w:rsidP="00A14F68">
      <w:pPr>
        <w:pStyle w:val="ListParagraph"/>
        <w:numPr>
          <w:ilvl w:val="0"/>
          <w:numId w:val="46"/>
        </w:numPr>
        <w:spacing w:before="120" w:after="120" w:line="276" w:lineRule="auto"/>
      </w:pPr>
      <w:r w:rsidRPr="009A1C8E">
        <w:t>Transfer the price-setting role to an independent agency by July 2019 to increase transparency and ensure market development is evidence-based; and</w:t>
      </w:r>
    </w:p>
    <w:p w:rsidR="00481E27" w:rsidRPr="009A1C8E" w:rsidRDefault="00481E27" w:rsidP="00A14F68">
      <w:pPr>
        <w:pStyle w:val="ListParagraph"/>
        <w:numPr>
          <w:ilvl w:val="0"/>
          <w:numId w:val="46"/>
        </w:numPr>
        <w:spacing w:before="120" w:after="120" w:line="276" w:lineRule="auto"/>
        <w:rPr>
          <w:color w:val="000000" w:themeColor="text1"/>
        </w:rPr>
      </w:pPr>
      <w:r w:rsidRPr="009A1C8E">
        <w:rPr>
          <w:color w:val="000000" w:themeColor="text1"/>
        </w:rPr>
        <w:t xml:space="preserve">Develop a clear deregulation strategy that trials price </w:t>
      </w:r>
      <w:r w:rsidRPr="009A1C8E">
        <w:t>deregulation in specific geographical sites, or service types.</w:t>
      </w:r>
    </w:p>
    <w:p w:rsidR="00481E27" w:rsidRPr="009A1C8E" w:rsidRDefault="00481E27" w:rsidP="00A14F68">
      <w:pPr>
        <w:pStyle w:val="ListParagraph"/>
        <w:numPr>
          <w:ilvl w:val="0"/>
          <w:numId w:val="45"/>
        </w:numPr>
        <w:spacing w:before="120" w:after="120" w:line="276" w:lineRule="auto"/>
      </w:pPr>
      <w:r w:rsidRPr="009A1C8E">
        <w:t>Review and remove unnecessary NDIA red tape to better support the financial sustainability of NDIS providers.</w:t>
      </w:r>
    </w:p>
    <w:p w:rsidR="00481E27" w:rsidRPr="009A1C8E" w:rsidRDefault="00481E27" w:rsidP="00A14F68">
      <w:pPr>
        <w:pStyle w:val="ListParagraph"/>
        <w:numPr>
          <w:ilvl w:val="0"/>
          <w:numId w:val="45"/>
        </w:numPr>
        <w:spacing w:before="120" w:after="120" w:line="276" w:lineRule="auto"/>
      </w:pPr>
      <w:r w:rsidRPr="009A1C8E">
        <w:t>Invest in the supply-side to enable people with disability to purchase services from providers with a sustainable workforce that delivers high-quality, customer-focussed services. This may be achieved through:</w:t>
      </w:r>
    </w:p>
    <w:p w:rsidR="00481E27" w:rsidRPr="009A1C8E" w:rsidRDefault="00481E27" w:rsidP="00A14F68">
      <w:pPr>
        <w:pStyle w:val="ListParagraph"/>
        <w:numPr>
          <w:ilvl w:val="1"/>
          <w:numId w:val="45"/>
        </w:numPr>
        <w:spacing w:before="120" w:after="120" w:line="276" w:lineRule="auto"/>
      </w:pPr>
      <w:r w:rsidRPr="009A1C8E">
        <w:t>Supporting local stakeholders and communities to come together, collaborate and find solutions to local issues;</w:t>
      </w:r>
    </w:p>
    <w:p w:rsidR="00481E27" w:rsidRPr="009A1C8E" w:rsidRDefault="00481E27" w:rsidP="00A14F68">
      <w:pPr>
        <w:pStyle w:val="ListParagraph"/>
        <w:numPr>
          <w:ilvl w:val="1"/>
          <w:numId w:val="45"/>
        </w:numPr>
        <w:spacing w:before="120" w:after="120" w:line="276" w:lineRule="auto"/>
      </w:pPr>
      <w:r w:rsidRPr="009A1C8E">
        <w:t>Developing a funded, portable training entitlement for disability support workers to acquire specialised skills and qualifications and develop their career;</w:t>
      </w:r>
    </w:p>
    <w:p w:rsidR="00481E27" w:rsidRPr="009A1C8E" w:rsidRDefault="00481E27" w:rsidP="00A14F68">
      <w:pPr>
        <w:pStyle w:val="ListParagraph"/>
        <w:numPr>
          <w:ilvl w:val="1"/>
          <w:numId w:val="45"/>
        </w:numPr>
        <w:spacing w:before="120" w:after="120" w:line="276" w:lineRule="auto"/>
      </w:pPr>
      <w:r w:rsidRPr="009A1C8E">
        <w:t>Centrally involving NDS in the development of the NDIS Capability Framework and drawing on NDS’ well-established Workforce Capability Framework and extensive workforce d</w:t>
      </w:r>
      <w:r w:rsidR="007C35B5" w:rsidRPr="009A1C8E">
        <w:t>evelopment tools and resources;</w:t>
      </w:r>
    </w:p>
    <w:p w:rsidR="00481E27" w:rsidRPr="009A1C8E" w:rsidRDefault="00481E27" w:rsidP="00A14F68">
      <w:pPr>
        <w:pStyle w:val="ListParagraph"/>
        <w:numPr>
          <w:ilvl w:val="1"/>
          <w:numId w:val="45"/>
        </w:numPr>
        <w:spacing w:before="120" w:after="120" w:line="276" w:lineRule="auto"/>
      </w:pPr>
      <w:r w:rsidRPr="009A1C8E">
        <w:t>Providing Government funding for university places and scholarships to attract new graduates into the sector;</w:t>
      </w:r>
    </w:p>
    <w:p w:rsidR="00481E27" w:rsidRPr="009A1C8E" w:rsidRDefault="00481E27" w:rsidP="00A14F68">
      <w:pPr>
        <w:pStyle w:val="ListParagraph"/>
        <w:numPr>
          <w:ilvl w:val="1"/>
          <w:numId w:val="45"/>
        </w:numPr>
        <w:spacing w:before="120" w:after="120" w:line="276" w:lineRule="auto"/>
      </w:pPr>
      <w:r w:rsidRPr="009A1C8E">
        <w:t xml:space="preserve">Greater funding for NDS’ workforce attraction initiatives, such as </w:t>
      </w:r>
      <w:proofErr w:type="spellStart"/>
      <w:r w:rsidRPr="009A1C8E">
        <w:t>projectABLE</w:t>
      </w:r>
      <w:proofErr w:type="spellEnd"/>
      <w:r w:rsidRPr="009A1C8E">
        <w:t>, to extend the reach of these successful programs;</w:t>
      </w:r>
    </w:p>
    <w:p w:rsidR="00481E27" w:rsidRPr="009A1C8E" w:rsidRDefault="00481E27" w:rsidP="00A14F68">
      <w:pPr>
        <w:pStyle w:val="ListParagraph"/>
        <w:numPr>
          <w:ilvl w:val="1"/>
          <w:numId w:val="45"/>
        </w:numPr>
        <w:spacing w:before="120" w:after="120" w:line="276" w:lineRule="auto"/>
        <w:rPr>
          <w:color w:val="000000" w:themeColor="text1"/>
        </w:rPr>
      </w:pPr>
      <w:r w:rsidRPr="009A1C8E">
        <w:t>Funding to maintain NDS’ regular Workforce Wizard data collection and analysis, as it continues to fill a major workforce data gap;</w:t>
      </w:r>
    </w:p>
    <w:p w:rsidR="00481E27" w:rsidRPr="009A1C8E" w:rsidRDefault="00481E27" w:rsidP="00A14F68">
      <w:pPr>
        <w:pStyle w:val="ListParagraph"/>
        <w:numPr>
          <w:ilvl w:val="1"/>
          <w:numId w:val="45"/>
        </w:numPr>
        <w:spacing w:before="120" w:after="120" w:line="276" w:lineRule="auto"/>
      </w:pPr>
      <w:r w:rsidRPr="009A1C8E">
        <w:t>Funding for the regular ongoing collection of detailed disability workforce information, by a statutory authority (such as ABS or Australian Institute of Health and Welfare); and</w:t>
      </w:r>
    </w:p>
    <w:p w:rsidR="00481E27" w:rsidRPr="009A1C8E" w:rsidRDefault="00481E27" w:rsidP="00A14F68">
      <w:pPr>
        <w:pStyle w:val="ListParagraph"/>
        <w:numPr>
          <w:ilvl w:val="1"/>
          <w:numId w:val="45"/>
        </w:numPr>
        <w:spacing w:before="120" w:after="120" w:line="276" w:lineRule="auto"/>
      </w:pPr>
      <w:r w:rsidRPr="009A1C8E">
        <w:t>Publishing additional market data including information about areas of unmet needs, so providers can actively plan and develop their workforce.</w:t>
      </w:r>
    </w:p>
    <w:p w:rsidR="00481E27" w:rsidRPr="009A1C8E" w:rsidRDefault="00481E27" w:rsidP="00A14F68">
      <w:pPr>
        <w:pStyle w:val="ListParagraph"/>
        <w:numPr>
          <w:ilvl w:val="0"/>
          <w:numId w:val="45"/>
        </w:numPr>
        <w:spacing w:before="120" w:after="120" w:line="276" w:lineRule="auto"/>
      </w:pPr>
      <w:r w:rsidRPr="009A1C8E">
        <w:lastRenderedPageBreak/>
        <w:t>Develop clear mechanisms to monitor services at risk of closure, and based on the services</w:t>
      </w:r>
      <w:r w:rsidR="007C35B5" w:rsidRPr="009A1C8E">
        <w:t xml:space="preserve"> at risk from this report:</w:t>
      </w:r>
    </w:p>
    <w:p w:rsidR="00481E27" w:rsidRPr="009A1C8E" w:rsidRDefault="00481E27" w:rsidP="00A14F68">
      <w:pPr>
        <w:pStyle w:val="ListParagraph"/>
        <w:numPr>
          <w:ilvl w:val="1"/>
          <w:numId w:val="45"/>
        </w:numPr>
        <w:spacing w:before="120" w:after="120" w:line="276" w:lineRule="auto"/>
      </w:pPr>
      <w:r w:rsidRPr="009A1C8E">
        <w:t>Publish the outcomes from the Assistive Technology and Home Modifications Redesign Project to ensure that people with disability are able to achieve their goals with AT and home modification services;</w:t>
      </w:r>
    </w:p>
    <w:p w:rsidR="00481E27" w:rsidRPr="009A1C8E" w:rsidRDefault="00481E27" w:rsidP="00A14F68">
      <w:pPr>
        <w:pStyle w:val="ListParagraph"/>
        <w:numPr>
          <w:ilvl w:val="1"/>
          <w:numId w:val="45"/>
        </w:numPr>
        <w:spacing w:before="120" w:after="120" w:line="276" w:lineRule="auto"/>
      </w:pPr>
      <w:r w:rsidRPr="009A1C8E">
        <w:t>Ensure people with disability have access to community, social and economic opportunities by adjusting NDIS transport prices to reflect the true cost of service provision, investing in a Victorian community transport strategy and accessible infrastructure, ensuring adequate NDIS participant transport funding, confirming the eligibility of NDIS participants in the Multi-Purpose Taxi Program, and piloting the development of fleet management models and transport technology;</w:t>
      </w:r>
    </w:p>
    <w:p w:rsidR="00481E27" w:rsidRPr="009A1C8E" w:rsidRDefault="00481E27" w:rsidP="00A14F68">
      <w:pPr>
        <w:pStyle w:val="ListParagraph"/>
        <w:numPr>
          <w:ilvl w:val="1"/>
          <w:numId w:val="45"/>
        </w:numPr>
        <w:spacing w:before="120" w:after="120" w:line="276" w:lineRule="auto"/>
      </w:pPr>
      <w:r w:rsidRPr="009A1C8E">
        <w:t>Monitor the provision of community-based day services to ensure people with disability have the opportunity to engage in community, social and recreational activities; and</w:t>
      </w:r>
    </w:p>
    <w:p w:rsidR="00481E27" w:rsidRPr="009A1C8E" w:rsidRDefault="00481E27" w:rsidP="00A14F68">
      <w:pPr>
        <w:pStyle w:val="ListParagraph"/>
        <w:numPr>
          <w:ilvl w:val="1"/>
          <w:numId w:val="45"/>
        </w:numPr>
        <w:spacing w:before="120" w:after="120" w:line="276" w:lineRule="auto"/>
      </w:pPr>
      <w:r w:rsidRPr="009A1C8E">
        <w:t>Determine incentives for rural/regional travel provisions for providers so NDIS participants in regional and rural locations are not left without service.</w:t>
      </w:r>
    </w:p>
    <w:p w:rsidR="00481E27" w:rsidRPr="009A1C8E" w:rsidRDefault="00481E27" w:rsidP="00A14F68">
      <w:pPr>
        <w:pStyle w:val="ListParagraph"/>
        <w:numPr>
          <w:ilvl w:val="0"/>
          <w:numId w:val="45"/>
        </w:numPr>
        <w:spacing w:before="120" w:after="120" w:line="276" w:lineRule="auto"/>
      </w:pPr>
      <w:r w:rsidRPr="009A1C8E">
        <w:t>Implement the following actions to mitigate the risk that people with complex, specialised needs or challenging behaviours experience thin markets:</w:t>
      </w:r>
    </w:p>
    <w:p w:rsidR="00481E27" w:rsidRPr="009A1C8E" w:rsidRDefault="00481E27" w:rsidP="00A14F68">
      <w:pPr>
        <w:pStyle w:val="ListParagraph"/>
        <w:numPr>
          <w:ilvl w:val="1"/>
          <w:numId w:val="45"/>
        </w:numPr>
        <w:spacing w:before="120" w:after="120" w:line="276" w:lineRule="auto"/>
      </w:pPr>
      <w:r w:rsidRPr="009A1C8E">
        <w:t>Continued review of NDIS prices for high intensity/complex needs supports;</w:t>
      </w:r>
    </w:p>
    <w:p w:rsidR="00481E27" w:rsidRPr="009A1C8E" w:rsidRDefault="00481E27" w:rsidP="00A14F68">
      <w:pPr>
        <w:pStyle w:val="ListParagraph"/>
        <w:numPr>
          <w:ilvl w:val="1"/>
          <w:numId w:val="45"/>
        </w:numPr>
        <w:spacing w:before="120" w:after="120" w:line="276" w:lineRule="auto"/>
      </w:pPr>
      <w:r w:rsidRPr="009A1C8E">
        <w:t>Funding training to support the development of a suitably skilled workforce, which also enables organisations to meet the obligations mandated by the NDIS Quality and Safeguards Commission; and</w:t>
      </w:r>
    </w:p>
    <w:p w:rsidR="00481E27" w:rsidRPr="009A1C8E" w:rsidRDefault="00481E27" w:rsidP="00A14F68">
      <w:pPr>
        <w:pStyle w:val="ListParagraph"/>
        <w:numPr>
          <w:ilvl w:val="1"/>
          <w:numId w:val="45"/>
        </w:numPr>
        <w:spacing w:before="120" w:after="120" w:line="276" w:lineRule="auto"/>
      </w:pPr>
      <w:r w:rsidRPr="009A1C8E">
        <w:t>Monitoring the outcomes of the Complex Needs Support Pathway to ensure participants receive adequate plans.</w:t>
      </w:r>
    </w:p>
    <w:p w:rsidR="00481E27" w:rsidRPr="009A1C8E" w:rsidRDefault="00481E27" w:rsidP="00A14F68">
      <w:pPr>
        <w:pStyle w:val="ListParagraph"/>
        <w:numPr>
          <w:ilvl w:val="0"/>
          <w:numId w:val="45"/>
        </w:numPr>
        <w:spacing w:before="120" w:after="120" w:line="276" w:lineRule="auto"/>
      </w:pPr>
      <w:r w:rsidRPr="009A1C8E">
        <w:t>Ensure appropriate measures are in place for people with disability to receive supports, irrespective o</w:t>
      </w:r>
      <w:r w:rsidR="00663F1A" w:rsidRPr="009A1C8E">
        <w:t>f</w:t>
      </w:r>
      <w:r w:rsidRPr="009A1C8E">
        <w:t xml:space="preserve"> inexistent markets by:</w:t>
      </w:r>
    </w:p>
    <w:p w:rsidR="00481E27" w:rsidRPr="009A1C8E" w:rsidRDefault="00481E27" w:rsidP="00A14F68">
      <w:pPr>
        <w:pStyle w:val="ListParagraph"/>
        <w:numPr>
          <w:ilvl w:val="1"/>
          <w:numId w:val="45"/>
        </w:numPr>
        <w:spacing w:before="120" w:after="120" w:line="276" w:lineRule="auto"/>
        <w:rPr>
          <w:color w:val="000000" w:themeColor="text1"/>
        </w:rPr>
      </w:pPr>
      <w:r w:rsidRPr="009A1C8E">
        <w:t xml:space="preserve">Publicly releasing the outcomes of the Maintaining Critical Supports </w:t>
      </w:r>
      <w:r w:rsidR="00DF6523" w:rsidRPr="009A1C8E">
        <w:t>P</w:t>
      </w:r>
      <w:r w:rsidRPr="009A1C8E">
        <w:t>roject and the policy and practice responses for provider of last resort arrangements; and</w:t>
      </w:r>
    </w:p>
    <w:p w:rsidR="00481E27" w:rsidRPr="009A1C8E" w:rsidRDefault="00481E27" w:rsidP="00A14F68">
      <w:pPr>
        <w:pStyle w:val="ListParagraph"/>
        <w:numPr>
          <w:ilvl w:val="1"/>
          <w:numId w:val="45"/>
        </w:numPr>
        <w:spacing w:before="120" w:after="120" w:line="276" w:lineRule="auto"/>
        <w:rPr>
          <w:color w:val="000000" w:themeColor="text1"/>
        </w:rPr>
      </w:pPr>
      <w:r w:rsidRPr="009A1C8E">
        <w:t>Developing a flexible crisis response approach, enabling participants to receive emergency supports, whilst also giving providers the confidence that support costs will be covered.</w:t>
      </w:r>
    </w:p>
    <w:p w:rsidR="00481E27" w:rsidRPr="009A1C8E" w:rsidRDefault="00481E27" w:rsidP="00A14F68">
      <w:pPr>
        <w:pStyle w:val="ListParagraph"/>
        <w:numPr>
          <w:ilvl w:val="0"/>
          <w:numId w:val="45"/>
        </w:numPr>
        <w:spacing w:before="120" w:after="120" w:line="276" w:lineRule="auto"/>
      </w:pPr>
      <w:r w:rsidRPr="009A1C8E">
        <w:t>Strengthen the ILC to avoid the development of thin markets by:</w:t>
      </w:r>
    </w:p>
    <w:p w:rsidR="00481E27" w:rsidRPr="009A1C8E" w:rsidRDefault="00481E27" w:rsidP="00A14F68">
      <w:pPr>
        <w:pStyle w:val="ListParagraph"/>
        <w:numPr>
          <w:ilvl w:val="1"/>
          <w:numId w:val="45"/>
        </w:numPr>
        <w:spacing w:before="120" w:after="120" w:line="276" w:lineRule="auto"/>
      </w:pPr>
      <w:r w:rsidRPr="009A1C8E">
        <w:lastRenderedPageBreak/>
        <w:t>Implementing seven-year ILC contracts, enabling providers to build relationships in the community and achieve stronger outcomes for participants;</w:t>
      </w:r>
    </w:p>
    <w:p w:rsidR="00481E27" w:rsidRPr="009A1C8E" w:rsidRDefault="00481E27" w:rsidP="00A14F68">
      <w:pPr>
        <w:pStyle w:val="ListParagraph"/>
        <w:numPr>
          <w:ilvl w:val="1"/>
          <w:numId w:val="45"/>
        </w:numPr>
        <w:spacing w:before="120" w:after="120" w:line="276" w:lineRule="auto"/>
      </w:pPr>
      <w:r w:rsidRPr="009A1C8E">
        <w:t>Reviewing and monitoring the current ILC grant funding model, with the view of introducing much longer terms for funding of essential services without a competitive grant process</w:t>
      </w:r>
      <w:r w:rsidR="007C35B5" w:rsidRPr="009A1C8E">
        <w:t>;</w:t>
      </w:r>
    </w:p>
    <w:p w:rsidR="00481E27" w:rsidRPr="009A1C8E" w:rsidRDefault="00481E27" w:rsidP="00A14F68">
      <w:pPr>
        <w:pStyle w:val="ListParagraph"/>
        <w:numPr>
          <w:ilvl w:val="1"/>
          <w:numId w:val="45"/>
        </w:numPr>
        <w:spacing w:before="120" w:after="120" w:line="276" w:lineRule="auto"/>
      </w:pPr>
      <w:r w:rsidRPr="009A1C8E">
        <w:t>Recognising that LAC</w:t>
      </w:r>
      <w:r w:rsidR="00E23D97" w:rsidRPr="009A1C8E">
        <w:t xml:space="preserve"> capacity constraints limit</w:t>
      </w:r>
      <w:r w:rsidRPr="009A1C8E">
        <w:t xml:space="preserve"> ILC success, and thus investing in further person-centred training for LACs to enhance their ability to link participants to services and build participant capacity, as well as ensuring a consistent approach across regions;</w:t>
      </w:r>
    </w:p>
    <w:p w:rsidR="00481E27" w:rsidRPr="009A1C8E" w:rsidRDefault="00481E27" w:rsidP="00A14F68">
      <w:pPr>
        <w:pStyle w:val="ListParagraph"/>
        <w:numPr>
          <w:ilvl w:val="1"/>
          <w:numId w:val="45"/>
        </w:numPr>
        <w:spacing w:before="120" w:after="120" w:line="276" w:lineRule="auto"/>
      </w:pPr>
      <w:r w:rsidRPr="009A1C8E">
        <w:t>Ensuring that the NDIA and Commonwealth Government recognise the crucial role that the BIC program played in Victoria and the effect of losing the significant expertise, community capacity and social capital with the transition to the ILC.</w:t>
      </w:r>
    </w:p>
    <w:p w:rsidR="008B18D4" w:rsidRPr="009A1C8E" w:rsidRDefault="008B18D4" w:rsidP="00830706">
      <w:pPr>
        <w:pStyle w:val="Heading2"/>
      </w:pPr>
      <w:bookmarkStart w:id="54" w:name="_Toc7614959"/>
      <w:r w:rsidRPr="009A1C8E">
        <w:t>6.2 Recommendations for NDS</w:t>
      </w:r>
      <w:bookmarkEnd w:id="54"/>
    </w:p>
    <w:p w:rsidR="00481E27" w:rsidRPr="009A1C8E" w:rsidRDefault="00481E27" w:rsidP="00A14F68">
      <w:pPr>
        <w:pStyle w:val="ListParagraph"/>
        <w:numPr>
          <w:ilvl w:val="0"/>
          <w:numId w:val="47"/>
        </w:numPr>
        <w:spacing w:before="120" w:after="120" w:line="276" w:lineRule="auto"/>
      </w:pPr>
      <w:r w:rsidRPr="009A1C8E">
        <w:t>Continue delivering sector development initiatives that consider local needs, providing intelligence, evidence and analysis to influence policy across all areas of Government, and collaborating with providers and people with disability, families and carers to promote the development of a sustainable and diverse NDIS market.</w:t>
      </w:r>
    </w:p>
    <w:p w:rsidR="00481E27" w:rsidRPr="009A1C8E" w:rsidRDefault="00481E27" w:rsidP="00A14F68">
      <w:pPr>
        <w:pStyle w:val="ListParagraph"/>
        <w:numPr>
          <w:ilvl w:val="0"/>
          <w:numId w:val="47"/>
        </w:numPr>
        <w:spacing w:before="120" w:after="120" w:line="276" w:lineRule="auto"/>
      </w:pPr>
      <w:r w:rsidRPr="009A1C8E">
        <w:t>Support providers to improve their financial management capabilities and processes, with:</w:t>
      </w:r>
    </w:p>
    <w:p w:rsidR="00481E27" w:rsidRPr="009A1C8E" w:rsidRDefault="00481E27" w:rsidP="00A14F68">
      <w:pPr>
        <w:pStyle w:val="ListParagraph"/>
        <w:numPr>
          <w:ilvl w:val="1"/>
          <w:numId w:val="47"/>
        </w:numPr>
        <w:spacing w:before="120" w:after="120" w:line="276" w:lineRule="auto"/>
      </w:pPr>
      <w:r w:rsidRPr="009A1C8E">
        <w:t xml:space="preserve">A particular focus on improving costing and </w:t>
      </w:r>
      <w:r w:rsidR="00DF6523" w:rsidRPr="009A1C8E">
        <w:t xml:space="preserve">pricing, and </w:t>
      </w:r>
      <w:r w:rsidRPr="009A1C8E">
        <w:t>financial processes and controls</w:t>
      </w:r>
      <w:r w:rsidR="00DF6523" w:rsidRPr="009A1C8E">
        <w:t>,</w:t>
      </w:r>
      <w:r w:rsidRPr="009A1C8E">
        <w:t xml:space="preserve"> to drive operational productivity, back-office efficiency, and further reduce corporate overheads; and</w:t>
      </w:r>
    </w:p>
    <w:p w:rsidR="00481E27" w:rsidRPr="009A1C8E" w:rsidRDefault="00481E27" w:rsidP="00A14F68">
      <w:pPr>
        <w:pStyle w:val="ListParagraph"/>
        <w:numPr>
          <w:ilvl w:val="1"/>
          <w:numId w:val="47"/>
        </w:numPr>
        <w:spacing w:before="120" w:after="120" w:line="276" w:lineRule="auto"/>
      </w:pPr>
      <w:r w:rsidRPr="009A1C8E">
        <w:t>Targeting regional organisations, as there is already an emerging viability risk.</w:t>
      </w:r>
    </w:p>
    <w:p w:rsidR="00481E27" w:rsidRPr="009A1C8E" w:rsidRDefault="00481E27" w:rsidP="00A14F68">
      <w:pPr>
        <w:pStyle w:val="ListParagraph"/>
        <w:numPr>
          <w:ilvl w:val="0"/>
          <w:numId w:val="47"/>
        </w:numPr>
        <w:spacing w:before="120" w:after="120" w:line="276" w:lineRule="auto"/>
      </w:pPr>
      <w:r w:rsidRPr="009A1C8E">
        <w:t>Promote the development of a skilled, capable, motivated and sustainable NDIS workforce through:</w:t>
      </w:r>
    </w:p>
    <w:p w:rsidR="00481E27" w:rsidRPr="009A1C8E" w:rsidRDefault="00481E27" w:rsidP="00A14F68">
      <w:pPr>
        <w:pStyle w:val="ListParagraph"/>
        <w:numPr>
          <w:ilvl w:val="1"/>
          <w:numId w:val="47"/>
        </w:numPr>
        <w:spacing w:before="120" w:after="120" w:line="276" w:lineRule="auto"/>
        <w:rPr>
          <w:color w:val="000000" w:themeColor="text1"/>
        </w:rPr>
      </w:pPr>
      <w:r w:rsidRPr="009A1C8E">
        <w:t>Supporting providers to implement flexible employment options to balance short- and long-term objectives, whilst improving staff utilisation and engaging, supporting and retaining staff; and</w:t>
      </w:r>
    </w:p>
    <w:p w:rsidR="00481E27" w:rsidRPr="009A1C8E" w:rsidRDefault="00481E27" w:rsidP="00A14F68">
      <w:pPr>
        <w:pStyle w:val="ListParagraph"/>
        <w:numPr>
          <w:ilvl w:val="1"/>
          <w:numId w:val="47"/>
        </w:numPr>
        <w:spacing w:before="120" w:after="120" w:line="276" w:lineRule="auto"/>
        <w:rPr>
          <w:color w:val="000000" w:themeColor="text1"/>
        </w:rPr>
      </w:pPr>
      <w:r w:rsidRPr="009A1C8E">
        <w:t>Developing affordable and timely training/development resources for staff and leaders to strengthen the workforce.</w:t>
      </w:r>
    </w:p>
    <w:p w:rsidR="00481E27" w:rsidRPr="009A1C8E" w:rsidRDefault="00481E27" w:rsidP="00A14F68">
      <w:pPr>
        <w:pStyle w:val="ListParagraph"/>
        <w:numPr>
          <w:ilvl w:val="0"/>
          <w:numId w:val="47"/>
        </w:numPr>
        <w:spacing w:before="120" w:after="120" w:line="276" w:lineRule="auto"/>
      </w:pPr>
      <w:r w:rsidRPr="009A1C8E">
        <w:lastRenderedPageBreak/>
        <w:t>Support providers to responsibly merge or close if needed by producing practical due diligence information that outlines best practice models and supports informed decision making.</w:t>
      </w:r>
    </w:p>
    <w:p w:rsidR="00481E27" w:rsidRPr="009A1C8E" w:rsidRDefault="00481E27" w:rsidP="00A14F68">
      <w:pPr>
        <w:pStyle w:val="ListParagraph"/>
        <w:numPr>
          <w:ilvl w:val="0"/>
          <w:numId w:val="47"/>
        </w:numPr>
        <w:spacing w:before="120" w:after="120" w:line="276" w:lineRule="auto"/>
      </w:pPr>
      <w:r w:rsidRPr="009A1C8E">
        <w:t>Invest in further thin markets research by:</w:t>
      </w:r>
    </w:p>
    <w:p w:rsidR="00481E27" w:rsidRPr="009A1C8E" w:rsidRDefault="00481E27" w:rsidP="00A14F68">
      <w:pPr>
        <w:pStyle w:val="ListParagraph"/>
        <w:numPr>
          <w:ilvl w:val="1"/>
          <w:numId w:val="47"/>
        </w:numPr>
        <w:spacing w:before="120" w:after="120" w:line="276" w:lineRule="auto"/>
      </w:pPr>
      <w:r w:rsidRPr="009A1C8E">
        <w:t>Expanding the Workforce Wizard data collection or conducting a spotlight issue to thoroughly investigate the occupations presenting as difficult to recruit and retain;</w:t>
      </w:r>
    </w:p>
    <w:p w:rsidR="00481E27" w:rsidRPr="009A1C8E" w:rsidRDefault="00481E27" w:rsidP="00A14F68">
      <w:pPr>
        <w:pStyle w:val="ListParagraph"/>
        <w:numPr>
          <w:ilvl w:val="1"/>
          <w:numId w:val="47"/>
        </w:numPr>
        <w:spacing w:before="120" w:after="120" w:line="276" w:lineRule="auto"/>
      </w:pPr>
      <w:r w:rsidRPr="009A1C8E">
        <w:t>Drawing on provider data to undertake additional research/policy surveys with the intent of gaining more robust data regarding the services at risk of closure and the impact of the NDIS on participants with complex needs; and</w:t>
      </w:r>
    </w:p>
    <w:p w:rsidR="00481E27" w:rsidRPr="009A1C8E" w:rsidRDefault="00481E27" w:rsidP="00A14F68">
      <w:pPr>
        <w:pStyle w:val="ListParagraph"/>
        <w:numPr>
          <w:ilvl w:val="1"/>
          <w:numId w:val="47"/>
        </w:numPr>
        <w:spacing w:before="120" w:after="120" w:line="276" w:lineRule="auto"/>
      </w:pPr>
      <w:r w:rsidRPr="009A1C8E">
        <w:t>Keeping abreast of the progress and outcomes of the Australian Research Council’s Linkages Project, as this work will be instrumental in further identifying levers that Governments can use to steward emerging public service markets.</w:t>
      </w:r>
    </w:p>
    <w:p w:rsidR="00481E27" w:rsidRPr="009A1C8E" w:rsidRDefault="00481E27" w:rsidP="00A14F68">
      <w:pPr>
        <w:spacing w:before="120" w:after="120" w:line="276" w:lineRule="auto"/>
        <w:sectPr w:rsidR="00481E27" w:rsidRPr="009A1C8E" w:rsidSect="00AC237C">
          <w:pgSz w:w="12240" w:h="15840"/>
          <w:pgMar w:top="1440" w:right="1440" w:bottom="1440" w:left="1440" w:header="720" w:footer="720" w:gutter="0"/>
          <w:cols w:space="720"/>
          <w:docGrid w:linePitch="360"/>
        </w:sectPr>
      </w:pPr>
    </w:p>
    <w:p w:rsidR="00AD1823" w:rsidRPr="009A1C8E" w:rsidRDefault="00AD1823" w:rsidP="00830706">
      <w:pPr>
        <w:pStyle w:val="Heading1"/>
        <w:rPr>
          <w:noProof/>
        </w:rPr>
      </w:pPr>
      <w:bookmarkStart w:id="55" w:name="_Toc7614960"/>
      <w:r w:rsidRPr="009A1C8E">
        <w:lastRenderedPageBreak/>
        <w:t xml:space="preserve">7 </w:t>
      </w:r>
      <w:r w:rsidR="002D37DC" w:rsidRPr="002D37DC">
        <w:rPr>
          <w:color w:val="000000" w:themeColor="text1"/>
        </w:rPr>
        <w:fldChar w:fldCharType="begin"/>
      </w:r>
      <w:r w:rsidR="00C37733" w:rsidRPr="009A1C8E">
        <w:instrText xml:space="preserve"> ADDIN EN.REFLIST </w:instrText>
      </w:r>
      <w:r w:rsidR="002D37DC" w:rsidRPr="002D37DC">
        <w:rPr>
          <w:color w:val="000000" w:themeColor="text1"/>
        </w:rPr>
        <w:fldChar w:fldCharType="separate"/>
      </w:r>
      <w:r w:rsidRPr="009A1C8E">
        <w:rPr>
          <w:noProof/>
        </w:rPr>
        <w:t>References</w:t>
      </w:r>
      <w:bookmarkEnd w:id="55"/>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1. </w:t>
      </w:r>
      <w:r w:rsidR="00AD1823" w:rsidRPr="00944B4F">
        <w:rPr>
          <w:rFonts w:ascii="Arial" w:hAnsi="Arial" w:cs="Arial"/>
          <w:noProof/>
        </w:rPr>
        <w:t>Productivity Commission. Disability Care and Support. Canberra. 2011. Report no. 54.</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2. </w:t>
      </w:r>
      <w:r w:rsidR="00AD1823" w:rsidRPr="00944B4F">
        <w:rPr>
          <w:rFonts w:ascii="Arial" w:hAnsi="Arial" w:cs="Arial"/>
          <w:noProof/>
        </w:rPr>
        <w:t>Commonwealth Department of Social Services. National Disability Strategy 2010–2020. 2011.</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3. </w:t>
      </w:r>
      <w:r w:rsidR="00AD1823" w:rsidRPr="00944B4F">
        <w:rPr>
          <w:rFonts w:ascii="Arial" w:hAnsi="Arial" w:cs="Arial"/>
          <w:noProof/>
        </w:rPr>
        <w:t>Carey G, Dickinson H, Gilchrist D, Alexander D, Kavanagh A, Chand S. Proposal: Stewarding thin markets: improving public sector market effectiveness. 2017.</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4. </w:t>
      </w:r>
      <w:r w:rsidR="00AD1823" w:rsidRPr="00944B4F">
        <w:rPr>
          <w:rFonts w:ascii="Arial" w:hAnsi="Arial" w:cs="Arial"/>
          <w:noProof/>
        </w:rPr>
        <w:t>Productivity Commission. National Disability Insurance Scheme (NDIS) Costs. Canberra. 2017.</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5. </w:t>
      </w:r>
      <w:r w:rsidR="00AD1823" w:rsidRPr="00944B4F">
        <w:rPr>
          <w:rFonts w:ascii="Arial" w:hAnsi="Arial" w:cs="Arial"/>
          <w:noProof/>
        </w:rPr>
        <w:t>Commonwealth Department of Social Services. National Disability Insurance Scheme Integrated Market, Sector and Workforce Strategy. 2015.</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6. </w:t>
      </w:r>
      <w:r w:rsidR="00AD1823" w:rsidRPr="00944B4F">
        <w:rPr>
          <w:rFonts w:ascii="Arial" w:hAnsi="Arial" w:cs="Arial"/>
          <w:noProof/>
        </w:rPr>
        <w:t>Carey G, Malbon E, Reeders D, Kavanagh A, Llewellyn G. Redressing or entrenching social and health inequities through policy implementation? Examining personalised budgets through the Australian National Disability Insurance Scheme. International jou</w:t>
      </w:r>
      <w:r>
        <w:rPr>
          <w:rFonts w:ascii="Arial" w:hAnsi="Arial" w:cs="Arial"/>
          <w:noProof/>
        </w:rPr>
        <w:t>rnal for equity in health. 2017</w:t>
      </w:r>
      <w:r w:rsidR="00AD1823" w:rsidRPr="00944B4F">
        <w:rPr>
          <w:rFonts w:ascii="Arial" w:hAnsi="Arial" w:cs="Arial"/>
          <w:noProof/>
        </w:rPr>
        <w:t>.</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7. </w:t>
      </w:r>
      <w:r w:rsidR="00AD1823" w:rsidRPr="00944B4F">
        <w:rPr>
          <w:rFonts w:ascii="Arial" w:hAnsi="Arial" w:cs="Arial"/>
          <w:noProof/>
        </w:rPr>
        <w:t>Commonwealth Department of Social Services. Growing the NDIS Market and Workforce. 2019.</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8. </w:t>
      </w:r>
      <w:r w:rsidR="00AD1823" w:rsidRPr="00944B4F">
        <w:rPr>
          <w:rFonts w:ascii="Arial" w:hAnsi="Arial" w:cs="Arial"/>
          <w:noProof/>
        </w:rPr>
        <w:t>Carey G, Dickinson H, Malbon E, Reeders D. The vexed question of market stewardship in the public sector: examining equity and the social contract through the Australian national disability insurance scheme. Social Policy &amp; Administration. 2018.</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9. </w:t>
      </w:r>
      <w:r w:rsidR="00AD1823" w:rsidRPr="00944B4F">
        <w:rPr>
          <w:rFonts w:ascii="Arial" w:hAnsi="Arial" w:cs="Arial"/>
          <w:noProof/>
        </w:rPr>
        <w:t>Carey G, Malbon E, Marjolin A, Reeders D. National Disability Markets: Market stewardship actions for the NDIS. Centre for Social Impact. 2018.</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10. </w:t>
      </w:r>
      <w:r w:rsidR="00AD1823" w:rsidRPr="00944B4F">
        <w:rPr>
          <w:rFonts w:ascii="Arial" w:hAnsi="Arial" w:cs="Arial"/>
          <w:noProof/>
        </w:rPr>
        <w:t>National Disability Insurance Agency. National Disability Insurance Scheme Market Enablement Framework. 2018.</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11. </w:t>
      </w:r>
      <w:r w:rsidR="00AD1823" w:rsidRPr="00944B4F">
        <w:rPr>
          <w:rFonts w:ascii="Arial" w:hAnsi="Arial" w:cs="Arial"/>
          <w:noProof/>
        </w:rPr>
        <w:t>Gash T, Panchamia N, Sims S, Hotson L. Making public service markets work: Professionalising government’s approach to commissioning and market stewardship. UK: Institute for Government. 2014.</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12. </w:t>
      </w:r>
      <w:r w:rsidR="00AD1823" w:rsidRPr="00944B4F">
        <w:rPr>
          <w:rFonts w:ascii="Arial" w:hAnsi="Arial" w:cs="Arial"/>
          <w:noProof/>
        </w:rPr>
        <w:t>Brown M, Canobi S, Mathys Z, Randall K. Evaluation: NDIS Sector Development Project Phase 2, Report 2 of 3. Melbourne: Dyson Consulting Group and National Disability Services. 2018.</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13. </w:t>
      </w:r>
      <w:r w:rsidR="00AD1823" w:rsidRPr="00944B4F">
        <w:rPr>
          <w:rFonts w:ascii="Arial" w:hAnsi="Arial" w:cs="Arial"/>
          <w:noProof/>
        </w:rPr>
        <w:t>National Disability Insurance Agency. COAG Disability Reform Council Quarterly Report 31 December 2018.</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lastRenderedPageBreak/>
        <w:t xml:space="preserve">14. </w:t>
      </w:r>
      <w:r w:rsidR="00AD1823" w:rsidRPr="00944B4F">
        <w:rPr>
          <w:rFonts w:ascii="Arial" w:hAnsi="Arial" w:cs="Arial"/>
          <w:noProof/>
        </w:rPr>
        <w:t>Green C, Malbon E, Carey G, Dickinson H, Reeders D. Competition and collaboration between service providers in the NDIS. 2018.</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15. </w:t>
      </w:r>
      <w:r w:rsidR="00AD1823" w:rsidRPr="00944B4F">
        <w:rPr>
          <w:rFonts w:ascii="Arial" w:hAnsi="Arial" w:cs="Arial"/>
          <w:noProof/>
        </w:rPr>
        <w:t>National Disability Services. Australian Disability Workforce Report July 2017.</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16. </w:t>
      </w:r>
      <w:r w:rsidR="00AD1823" w:rsidRPr="00944B4F">
        <w:rPr>
          <w:rFonts w:ascii="Arial" w:hAnsi="Arial" w:cs="Arial"/>
          <w:noProof/>
        </w:rPr>
        <w:t>National Disability Services. Workforce Wizard September 2018 quarter spotlight topic: reasons why employees leave. 2018.</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17. </w:t>
      </w:r>
      <w:r w:rsidR="00AD1823" w:rsidRPr="00944B4F">
        <w:rPr>
          <w:rFonts w:ascii="Arial" w:hAnsi="Arial" w:cs="Arial"/>
          <w:noProof/>
        </w:rPr>
        <w:t>National Disability Services. Disability Transport in Victoria. 2018.</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18. </w:t>
      </w:r>
      <w:r w:rsidR="00AD1823" w:rsidRPr="00944B4F">
        <w:rPr>
          <w:rFonts w:ascii="Arial" w:hAnsi="Arial" w:cs="Arial"/>
          <w:noProof/>
        </w:rPr>
        <w:t>National Disability Services. Community Participation: NDS survey findings and recommendations. 2019.</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19. </w:t>
      </w:r>
      <w:r w:rsidR="00AD1823" w:rsidRPr="00944B4F">
        <w:rPr>
          <w:rFonts w:ascii="Arial" w:hAnsi="Arial" w:cs="Arial"/>
          <w:noProof/>
        </w:rPr>
        <w:t>National Disability Insurance Scheme Act, Commonwealth Government of Australia (2013).</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20. </w:t>
      </w:r>
      <w:r w:rsidR="00AD1823" w:rsidRPr="00944B4F">
        <w:rPr>
          <w:rFonts w:ascii="Arial" w:hAnsi="Arial" w:cs="Arial"/>
          <w:noProof/>
        </w:rPr>
        <w:t>Malbon E, Carey G, Reeders D. Mixed accountability within new public governance: The case of a personalized welfare scheme in early implementation. Social Policy &amp; Administration. 2018.</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21. </w:t>
      </w:r>
      <w:r w:rsidR="00AD1823" w:rsidRPr="00944B4F">
        <w:rPr>
          <w:rFonts w:ascii="Arial" w:hAnsi="Arial" w:cs="Arial"/>
          <w:noProof/>
        </w:rPr>
        <w:t>Joint Standing Committee on the National Disability Insurance Scheme. Market readiness for provision of services under the NDIS. 2018.</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22. </w:t>
      </w:r>
      <w:r w:rsidR="00AD1823" w:rsidRPr="00944B4F">
        <w:rPr>
          <w:rFonts w:ascii="Arial" w:hAnsi="Arial" w:cs="Arial"/>
          <w:noProof/>
        </w:rPr>
        <w:t>McKinsey&amp;Company. Independent Pricing Review - National Disability Insurance Agency. 2018.</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23. </w:t>
      </w:r>
      <w:r w:rsidR="00AD1823" w:rsidRPr="00944B4F">
        <w:rPr>
          <w:rFonts w:ascii="Arial" w:hAnsi="Arial" w:cs="Arial"/>
          <w:noProof/>
        </w:rPr>
        <w:t>Dickinson H, Carey G, Olney S. Submission to the Joint Standing Committee on the NDIS. University of New South Wales. 2018.</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24. </w:t>
      </w:r>
      <w:r w:rsidR="00AD1823" w:rsidRPr="00944B4F">
        <w:rPr>
          <w:rFonts w:ascii="Arial" w:hAnsi="Arial" w:cs="Arial"/>
          <w:noProof/>
        </w:rPr>
        <w:t>National Disability Services. Deliver the Promise: Get the NDIS on Track NDS Election Platform. 2019.</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25. </w:t>
      </w:r>
      <w:r w:rsidR="00AD1823" w:rsidRPr="00944B4F">
        <w:rPr>
          <w:rFonts w:ascii="Arial" w:hAnsi="Arial" w:cs="Arial"/>
          <w:noProof/>
        </w:rPr>
        <w:t>National Disability Services. Australian Disability Workforce Report July 2018.</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26. </w:t>
      </w:r>
      <w:r w:rsidR="00AD1823" w:rsidRPr="00944B4F">
        <w:rPr>
          <w:rFonts w:ascii="Arial" w:hAnsi="Arial" w:cs="Arial"/>
          <w:noProof/>
        </w:rPr>
        <w:t>Australian Bureau of Statistics. Retirement and Retirement Intentions - 6238.0. 2017.</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27. </w:t>
      </w:r>
      <w:r w:rsidR="00AD1823" w:rsidRPr="00944B4F">
        <w:rPr>
          <w:rFonts w:ascii="Arial" w:hAnsi="Arial" w:cs="Arial"/>
          <w:noProof/>
        </w:rPr>
        <w:t>Australian Bureau of Statistics. Participation, Job Search and Mobility - 6226.0. 2018.</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28. </w:t>
      </w:r>
      <w:r w:rsidR="00AD1823" w:rsidRPr="00944B4F">
        <w:rPr>
          <w:rFonts w:ascii="Arial" w:hAnsi="Arial" w:cs="Arial"/>
          <w:noProof/>
        </w:rPr>
        <w:t>Petry K, Maes B, Vlaskamp C. Domains of quality of life of people with profound multiple disabilities: The perspective of parents and direct support staff. Journal of Applied Research in In</w:t>
      </w:r>
      <w:r w:rsidR="00A729E9">
        <w:rPr>
          <w:rFonts w:ascii="Arial" w:hAnsi="Arial" w:cs="Arial"/>
          <w:noProof/>
        </w:rPr>
        <w:t>tellectual Disabilities. 2005</w:t>
      </w:r>
      <w:r w:rsidR="00AD1823" w:rsidRPr="00944B4F">
        <w:rPr>
          <w:rFonts w:ascii="Arial" w:hAnsi="Arial" w:cs="Arial"/>
          <w:noProof/>
        </w:rPr>
        <w:t>.</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29. </w:t>
      </w:r>
      <w:r w:rsidR="00AD1823" w:rsidRPr="00944B4F">
        <w:rPr>
          <w:rFonts w:ascii="Arial" w:hAnsi="Arial" w:cs="Arial"/>
          <w:noProof/>
        </w:rPr>
        <w:t>National Disability Services. A guide to employing a flexible workforce in a person-centred environment. 2015.</w:t>
      </w:r>
    </w:p>
    <w:p w:rsidR="00AD1823" w:rsidRPr="00944B4F" w:rsidRDefault="00944B4F" w:rsidP="00E116BB">
      <w:pPr>
        <w:pStyle w:val="EndNoteBibliography"/>
        <w:spacing w:before="120" w:after="120" w:line="276" w:lineRule="auto"/>
        <w:ind w:left="270" w:hanging="270"/>
        <w:rPr>
          <w:rFonts w:ascii="Arial" w:hAnsi="Arial" w:cs="Arial"/>
          <w:noProof/>
        </w:rPr>
      </w:pPr>
      <w:r>
        <w:rPr>
          <w:rFonts w:ascii="Arial" w:hAnsi="Arial" w:cs="Arial"/>
          <w:noProof/>
        </w:rPr>
        <w:t xml:space="preserve">30. </w:t>
      </w:r>
      <w:r w:rsidR="00AD1823" w:rsidRPr="00944B4F">
        <w:rPr>
          <w:rFonts w:ascii="Arial" w:hAnsi="Arial" w:cs="Arial"/>
          <w:noProof/>
        </w:rPr>
        <w:t>National Disability Services. NDIS Costs: Submission to the Productivity Commission. 2017.</w:t>
      </w:r>
    </w:p>
    <w:p w:rsidR="00AD1823" w:rsidRPr="00944B4F" w:rsidRDefault="00831478" w:rsidP="00E116BB">
      <w:pPr>
        <w:pStyle w:val="EndNoteBibliography"/>
        <w:spacing w:before="120" w:after="120" w:line="276" w:lineRule="auto"/>
        <w:ind w:left="270" w:hanging="270"/>
        <w:rPr>
          <w:rFonts w:ascii="Arial" w:hAnsi="Arial" w:cs="Arial"/>
          <w:noProof/>
        </w:rPr>
      </w:pPr>
      <w:r>
        <w:rPr>
          <w:rFonts w:ascii="Arial" w:hAnsi="Arial" w:cs="Arial"/>
          <w:noProof/>
        </w:rPr>
        <w:lastRenderedPageBreak/>
        <w:t xml:space="preserve">31. </w:t>
      </w:r>
      <w:r w:rsidR="00AD1823" w:rsidRPr="00944B4F">
        <w:rPr>
          <w:rFonts w:ascii="Arial" w:hAnsi="Arial" w:cs="Arial"/>
          <w:noProof/>
        </w:rPr>
        <w:t>National Disability Services. Workforce Capability Framework</w:t>
      </w:r>
      <w:r w:rsidR="0081480C" w:rsidRPr="00944B4F">
        <w:rPr>
          <w:rFonts w:ascii="Arial" w:hAnsi="Arial" w:cs="Arial"/>
          <w:noProof/>
        </w:rPr>
        <w:t xml:space="preserve"> </w:t>
      </w:r>
      <w:r w:rsidR="00AD1823" w:rsidRPr="00944B4F">
        <w:rPr>
          <w:rFonts w:ascii="Arial" w:hAnsi="Arial" w:cs="Arial"/>
          <w:noProof/>
        </w:rPr>
        <w:t>[Available from: https://www.carecareers.com.au/page/workforce-capability-framework-resources</w:t>
      </w:r>
      <w:r w:rsidR="00A729E9">
        <w:rPr>
          <w:rFonts w:ascii="Arial" w:hAnsi="Arial" w:cs="Arial"/>
          <w:noProof/>
        </w:rPr>
        <w:t>.]</w:t>
      </w:r>
    </w:p>
    <w:p w:rsidR="00AD1823" w:rsidRPr="00944B4F" w:rsidRDefault="00831478" w:rsidP="00E116BB">
      <w:pPr>
        <w:pStyle w:val="EndNoteBibliography"/>
        <w:spacing w:before="120" w:after="120" w:line="276" w:lineRule="auto"/>
        <w:ind w:left="270" w:hanging="270"/>
        <w:rPr>
          <w:rFonts w:ascii="Arial" w:hAnsi="Arial" w:cs="Arial"/>
          <w:noProof/>
        </w:rPr>
      </w:pPr>
      <w:r>
        <w:rPr>
          <w:rFonts w:ascii="Arial" w:hAnsi="Arial" w:cs="Arial"/>
          <w:noProof/>
        </w:rPr>
        <w:t xml:space="preserve">32. </w:t>
      </w:r>
      <w:r w:rsidR="00AD1823" w:rsidRPr="00944B4F">
        <w:rPr>
          <w:rFonts w:ascii="Arial" w:hAnsi="Arial" w:cs="Arial"/>
          <w:noProof/>
        </w:rPr>
        <w:t>National Disability Services. Person-Centred People Management Resources</w:t>
      </w:r>
      <w:r w:rsidR="0081480C" w:rsidRPr="00944B4F">
        <w:rPr>
          <w:rFonts w:ascii="Arial" w:hAnsi="Arial" w:cs="Arial"/>
          <w:noProof/>
        </w:rPr>
        <w:t xml:space="preserve"> </w:t>
      </w:r>
      <w:r w:rsidR="00AD1823" w:rsidRPr="00944B4F">
        <w:rPr>
          <w:rFonts w:ascii="Arial" w:hAnsi="Arial" w:cs="Arial"/>
          <w:noProof/>
        </w:rPr>
        <w:t>[Available from: https://www.carecareers.com.au/page/person-centred-people-management-resources</w:t>
      </w:r>
      <w:r w:rsidR="00A729E9">
        <w:rPr>
          <w:rFonts w:ascii="Arial" w:hAnsi="Arial" w:cs="Arial"/>
          <w:noProof/>
        </w:rPr>
        <w:t>.]</w:t>
      </w:r>
    </w:p>
    <w:p w:rsidR="00AD1823" w:rsidRPr="00944B4F" w:rsidRDefault="00831478" w:rsidP="00E116BB">
      <w:pPr>
        <w:pStyle w:val="EndNoteBibliography"/>
        <w:spacing w:before="120" w:after="120" w:line="276" w:lineRule="auto"/>
        <w:ind w:left="270" w:hanging="270"/>
        <w:rPr>
          <w:rFonts w:ascii="Arial" w:hAnsi="Arial" w:cs="Arial"/>
          <w:noProof/>
        </w:rPr>
      </w:pPr>
      <w:r>
        <w:rPr>
          <w:rFonts w:ascii="Arial" w:hAnsi="Arial" w:cs="Arial"/>
          <w:noProof/>
        </w:rPr>
        <w:t xml:space="preserve">33. </w:t>
      </w:r>
      <w:r w:rsidR="00AD1823" w:rsidRPr="00944B4F">
        <w:rPr>
          <w:rFonts w:ascii="Arial" w:hAnsi="Arial" w:cs="Arial"/>
          <w:noProof/>
        </w:rPr>
        <w:t>National Disability Services. NDIS Essential Issues: Getting transport on track. 2018.</w:t>
      </w:r>
    </w:p>
    <w:p w:rsidR="00AD1823" w:rsidRPr="00944B4F" w:rsidRDefault="00831478" w:rsidP="00E116BB">
      <w:pPr>
        <w:pStyle w:val="EndNoteBibliography"/>
        <w:spacing w:before="120" w:after="120" w:line="276" w:lineRule="auto"/>
        <w:ind w:left="270" w:hanging="270"/>
        <w:rPr>
          <w:rFonts w:ascii="Arial" w:hAnsi="Arial" w:cs="Arial"/>
          <w:noProof/>
        </w:rPr>
      </w:pPr>
      <w:r>
        <w:rPr>
          <w:rFonts w:ascii="Arial" w:hAnsi="Arial" w:cs="Arial"/>
          <w:noProof/>
        </w:rPr>
        <w:t xml:space="preserve">34. </w:t>
      </w:r>
      <w:r w:rsidR="00AD1823" w:rsidRPr="00944B4F">
        <w:rPr>
          <w:rFonts w:ascii="Arial" w:hAnsi="Arial" w:cs="Arial"/>
          <w:noProof/>
        </w:rPr>
        <w:t>Office of the Public Advocate. The illusion of ‘Choice and Control’. 2018.</w:t>
      </w:r>
    </w:p>
    <w:p w:rsidR="00AD1823" w:rsidRPr="00944B4F" w:rsidRDefault="00831478" w:rsidP="00E116BB">
      <w:pPr>
        <w:pStyle w:val="EndNoteBibliography"/>
        <w:spacing w:before="120" w:after="120" w:line="276" w:lineRule="auto"/>
        <w:ind w:left="270" w:hanging="270"/>
        <w:rPr>
          <w:rFonts w:ascii="Arial" w:hAnsi="Arial" w:cs="Arial"/>
          <w:noProof/>
        </w:rPr>
      </w:pPr>
      <w:r>
        <w:rPr>
          <w:rFonts w:ascii="Arial" w:hAnsi="Arial" w:cs="Arial"/>
          <w:noProof/>
        </w:rPr>
        <w:t xml:space="preserve">35. </w:t>
      </w:r>
      <w:r w:rsidR="00AD1823" w:rsidRPr="00944B4F">
        <w:rPr>
          <w:rFonts w:ascii="Arial" w:hAnsi="Arial" w:cs="Arial"/>
          <w:noProof/>
        </w:rPr>
        <w:t>KPMG. Australia’s Evolving Deals Landscape. 2018.</w:t>
      </w:r>
    </w:p>
    <w:p w:rsidR="00AD1823" w:rsidRPr="00944B4F" w:rsidRDefault="00831478" w:rsidP="00E116BB">
      <w:pPr>
        <w:pStyle w:val="EndNoteBibliography"/>
        <w:spacing w:before="120" w:after="120" w:line="276" w:lineRule="auto"/>
        <w:ind w:left="270" w:hanging="270"/>
        <w:rPr>
          <w:rFonts w:ascii="Arial" w:hAnsi="Arial" w:cs="Arial"/>
          <w:noProof/>
        </w:rPr>
      </w:pPr>
      <w:r>
        <w:rPr>
          <w:rFonts w:ascii="Arial" w:hAnsi="Arial" w:cs="Arial"/>
          <w:noProof/>
        </w:rPr>
        <w:t xml:space="preserve">36. </w:t>
      </w:r>
      <w:r w:rsidR="00AD1823" w:rsidRPr="00944B4F">
        <w:rPr>
          <w:rFonts w:ascii="Arial" w:hAnsi="Arial" w:cs="Arial"/>
          <w:noProof/>
        </w:rPr>
        <w:t>National Disability Insurance Agency. Strengthening Information, Linkages and Capacity Building (ILC). 2018.</w:t>
      </w:r>
    </w:p>
    <w:p w:rsidR="00AD1823" w:rsidRPr="00944B4F" w:rsidRDefault="00831478" w:rsidP="00E116BB">
      <w:pPr>
        <w:pStyle w:val="EndNoteBibliography"/>
        <w:spacing w:before="120" w:after="120" w:line="276" w:lineRule="auto"/>
        <w:ind w:left="270" w:hanging="270"/>
        <w:rPr>
          <w:rFonts w:ascii="Arial" w:hAnsi="Arial" w:cs="Arial"/>
          <w:noProof/>
        </w:rPr>
      </w:pPr>
      <w:r>
        <w:rPr>
          <w:rFonts w:ascii="Arial" w:hAnsi="Arial" w:cs="Arial"/>
          <w:noProof/>
        </w:rPr>
        <w:t xml:space="preserve">37. </w:t>
      </w:r>
      <w:r w:rsidR="00AD1823" w:rsidRPr="00944B4F">
        <w:rPr>
          <w:rFonts w:ascii="Arial" w:hAnsi="Arial" w:cs="Arial"/>
          <w:noProof/>
        </w:rPr>
        <w:t>Productivity Commission. Introducing Competition and Informed User Choice into Human Services: Reforms to Human Services. 2017.</w:t>
      </w:r>
    </w:p>
    <w:p w:rsidR="00AD1823" w:rsidRPr="00944B4F" w:rsidRDefault="00831478" w:rsidP="00E116BB">
      <w:pPr>
        <w:pStyle w:val="EndNoteBibliography"/>
        <w:spacing w:before="120" w:after="120" w:line="276" w:lineRule="auto"/>
        <w:ind w:left="270" w:hanging="270"/>
        <w:rPr>
          <w:rFonts w:ascii="Arial" w:hAnsi="Arial" w:cs="Arial"/>
          <w:noProof/>
        </w:rPr>
      </w:pPr>
      <w:r>
        <w:rPr>
          <w:rFonts w:ascii="Arial" w:hAnsi="Arial" w:cs="Arial"/>
          <w:noProof/>
        </w:rPr>
        <w:t xml:space="preserve">38. </w:t>
      </w:r>
      <w:r w:rsidR="00AD1823" w:rsidRPr="00944B4F">
        <w:rPr>
          <w:rFonts w:ascii="Arial" w:hAnsi="Arial" w:cs="Arial"/>
          <w:noProof/>
        </w:rPr>
        <w:t>Family and Community Development Committee. Inquiry into Social Inclusion and Victorians with Disability. Parliament of Victoria; 2014.</w:t>
      </w:r>
    </w:p>
    <w:p w:rsidR="00AD1823" w:rsidRPr="00944B4F" w:rsidRDefault="00831478" w:rsidP="00E116BB">
      <w:pPr>
        <w:pStyle w:val="EndNoteBibliography"/>
        <w:spacing w:before="120" w:after="120" w:line="276" w:lineRule="auto"/>
        <w:ind w:left="270" w:hanging="270"/>
        <w:rPr>
          <w:rFonts w:ascii="Arial" w:hAnsi="Arial" w:cs="Arial"/>
          <w:noProof/>
        </w:rPr>
      </w:pPr>
      <w:r>
        <w:rPr>
          <w:rFonts w:ascii="Arial" w:hAnsi="Arial" w:cs="Arial"/>
          <w:noProof/>
        </w:rPr>
        <w:t xml:space="preserve">39. </w:t>
      </w:r>
      <w:r w:rsidR="00AD1823" w:rsidRPr="00944B4F">
        <w:rPr>
          <w:rFonts w:ascii="Arial" w:hAnsi="Arial" w:cs="Arial"/>
          <w:noProof/>
        </w:rPr>
        <w:t>National Disability Insurance Agency. Information, Linkages and Capacity Building Commissioning Framework. 2016.</w:t>
      </w:r>
    </w:p>
    <w:p w:rsidR="00AD1823" w:rsidRPr="009A1C8E" w:rsidRDefault="002D37DC" w:rsidP="00E26AAF">
      <w:pPr>
        <w:sectPr w:rsidR="00AD1823" w:rsidRPr="009A1C8E" w:rsidSect="00AC237C">
          <w:headerReference w:type="default" r:id="rId11"/>
          <w:pgSz w:w="12240" w:h="15840"/>
          <w:pgMar w:top="1440" w:right="1440" w:bottom="1440" w:left="1440" w:header="720" w:footer="720" w:gutter="0"/>
          <w:cols w:space="720"/>
          <w:docGrid w:linePitch="360"/>
        </w:sectPr>
      </w:pPr>
      <w:r w:rsidRPr="009A1C8E">
        <w:fldChar w:fldCharType="end"/>
      </w:r>
    </w:p>
    <w:p w:rsidR="009C4EFB" w:rsidRPr="009A1C8E" w:rsidRDefault="009C4EFB" w:rsidP="00830706">
      <w:pPr>
        <w:pStyle w:val="Heading1"/>
      </w:pPr>
      <w:bookmarkStart w:id="56" w:name="_Toc7614962"/>
      <w:r w:rsidRPr="009A1C8E">
        <w:lastRenderedPageBreak/>
        <w:t>8 Appendices</w:t>
      </w:r>
      <w:bookmarkEnd w:id="56"/>
    </w:p>
    <w:p w:rsidR="009C4EFB" w:rsidRPr="009A1C8E" w:rsidRDefault="009C4EFB" w:rsidP="00830706">
      <w:pPr>
        <w:pStyle w:val="Heading2"/>
      </w:pPr>
      <w:bookmarkStart w:id="57" w:name="_Toc5290121"/>
      <w:bookmarkStart w:id="58" w:name="_Toc5308610"/>
      <w:bookmarkStart w:id="59" w:name="_Toc5860520"/>
      <w:bookmarkStart w:id="60" w:name="_Toc5860560"/>
      <w:bookmarkStart w:id="61" w:name="_Toc7614963"/>
      <w:r w:rsidRPr="009A1C8E">
        <w:t>Appendix 1: NDIS pricing</w:t>
      </w:r>
      <w:bookmarkEnd w:id="57"/>
      <w:bookmarkEnd w:id="58"/>
      <w:bookmarkEnd w:id="59"/>
      <w:bookmarkEnd w:id="60"/>
      <w:bookmarkEnd w:id="61"/>
    </w:p>
    <w:p w:rsidR="00C3342C" w:rsidRDefault="00C3342C" w:rsidP="00830706">
      <w:pPr>
        <w:pStyle w:val="Heading3"/>
      </w:pPr>
      <w:r>
        <w:t>Appendix 1A</w:t>
      </w:r>
    </w:p>
    <w:p w:rsidR="00447253" w:rsidRPr="009A1C8E" w:rsidRDefault="009C4EFB" w:rsidP="00C3342C">
      <w:r w:rsidRPr="009A1C8E">
        <w:t xml:space="preserve">To what extent do you agree that you are worried you won't be able to provide NDIS services at current prices? </w:t>
      </w:r>
      <w:proofErr w:type="gramStart"/>
      <w:r w:rsidRPr="009A1C8E">
        <w:t>Victoria</w:t>
      </w:r>
      <w:r w:rsidR="00C37E56" w:rsidRPr="009A1C8E">
        <w:t>n</w:t>
      </w:r>
      <w:r w:rsidRPr="009A1C8E">
        <w:t xml:space="preserve"> and national analysis.</w:t>
      </w:r>
      <w:proofErr w:type="gramEnd"/>
    </w:p>
    <w:p w:rsidR="009C4EFB" w:rsidRPr="009A1C8E" w:rsidRDefault="0097527B" w:rsidP="00A14F68">
      <w:pPr>
        <w:spacing w:before="120" w:after="120" w:line="276" w:lineRule="auto"/>
      </w:pPr>
      <w:r w:rsidRPr="009A1C8E">
        <w:rPr>
          <w:noProof/>
          <w:lang w:eastAsia="en-AU"/>
        </w:rPr>
        <w:drawing>
          <wp:inline distT="0" distB="0" distL="0" distR="0">
            <wp:extent cx="5772150" cy="2844800"/>
            <wp:effectExtent l="0" t="0" r="0" b="0"/>
            <wp:docPr id="1" name="Chart 1" descr="Agree or agree strongly: Victoria 63%, National 58%.&#10;Neither agree nor disagree: Victoria 19%, National 17%.&#10;Disagree or disagree strongly: Victoria 19%, National 24%.&#10;Don't know: Victoria 0, National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BADE0622-943F-6444-BB0D-F4DD817304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342C" w:rsidRDefault="001E730C" w:rsidP="00830706">
      <w:pPr>
        <w:pStyle w:val="Heading3"/>
      </w:pPr>
      <w:r>
        <w:t>Appendix 1B</w:t>
      </w:r>
    </w:p>
    <w:p w:rsidR="009C4EFB" w:rsidRPr="009A1C8E" w:rsidRDefault="009C4EFB" w:rsidP="00C3342C">
      <w:r w:rsidRPr="009A1C8E">
        <w:t xml:space="preserve">To what extent do you agree that you are worried you won't be able to provide NDIS services at current prices? </w:t>
      </w:r>
      <w:proofErr w:type="gramStart"/>
      <w:r w:rsidRPr="009A1C8E">
        <w:t>Geographical group analysis.</w:t>
      </w:r>
      <w:proofErr w:type="gramEnd"/>
    </w:p>
    <w:tbl>
      <w:tblPr>
        <w:tblStyle w:val="TableGrid"/>
        <w:tblW w:w="5000" w:type="pct"/>
        <w:tblLook w:val="04A0"/>
      </w:tblPr>
      <w:tblGrid>
        <w:gridCol w:w="3090"/>
        <w:gridCol w:w="2162"/>
        <w:gridCol w:w="2162"/>
        <w:gridCol w:w="2162"/>
      </w:tblGrid>
      <w:tr w:rsidR="009C4EFB" w:rsidRPr="009A1C8E" w:rsidTr="00880536">
        <w:trPr>
          <w:trHeight w:val="260"/>
          <w:tblHeader/>
        </w:trPr>
        <w:tc>
          <w:tcPr>
            <w:tcW w:w="12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97594"/>
            <w:noWrap/>
            <w:hideMark/>
          </w:tcPr>
          <w:p w:rsidR="009C4EFB" w:rsidRPr="00C70B19" w:rsidRDefault="009C4EFB" w:rsidP="00A14F68">
            <w:pPr>
              <w:spacing w:before="120" w:after="120" w:line="276" w:lineRule="auto"/>
              <w:rPr>
                <w:b/>
                <w:color w:val="FFFFFF" w:themeColor="background1"/>
              </w:rPr>
            </w:pPr>
            <w:bookmarkStart w:id="62" w:name="ColumnTitle_3"/>
            <w:r w:rsidRPr="00C70B19">
              <w:rPr>
                <w:b/>
                <w:color w:val="FFFFFF" w:themeColor="background1"/>
              </w:rPr>
              <w:t>Criteria</w:t>
            </w:r>
          </w:p>
        </w:tc>
        <w:tc>
          <w:tcPr>
            <w:tcW w:w="1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97594"/>
            <w:noWrap/>
            <w:hideMark/>
          </w:tcPr>
          <w:p w:rsidR="009C4EFB" w:rsidRPr="00C70B19" w:rsidRDefault="009C4EFB" w:rsidP="00A14F68">
            <w:pPr>
              <w:spacing w:before="120" w:after="120" w:line="276" w:lineRule="auto"/>
              <w:rPr>
                <w:b/>
                <w:color w:val="FFFFFF" w:themeColor="background1"/>
              </w:rPr>
            </w:pPr>
            <w:r w:rsidRPr="00C70B19">
              <w:rPr>
                <w:b/>
                <w:color w:val="FFFFFF" w:themeColor="background1"/>
              </w:rPr>
              <w:t>Metro</w:t>
            </w:r>
          </w:p>
        </w:tc>
        <w:tc>
          <w:tcPr>
            <w:tcW w:w="1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97594"/>
            <w:noWrap/>
            <w:hideMark/>
          </w:tcPr>
          <w:p w:rsidR="009C4EFB" w:rsidRPr="00C70B19" w:rsidRDefault="009C4EFB" w:rsidP="00A14F68">
            <w:pPr>
              <w:spacing w:before="120" w:after="120" w:line="276" w:lineRule="auto"/>
              <w:rPr>
                <w:b/>
                <w:color w:val="FFFFFF" w:themeColor="background1"/>
              </w:rPr>
            </w:pPr>
            <w:r w:rsidRPr="00C70B19">
              <w:rPr>
                <w:b/>
                <w:color w:val="FFFFFF" w:themeColor="background1"/>
              </w:rPr>
              <w:t>Regional</w:t>
            </w:r>
          </w:p>
        </w:tc>
        <w:tc>
          <w:tcPr>
            <w:tcW w:w="1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97594"/>
            <w:noWrap/>
            <w:hideMark/>
          </w:tcPr>
          <w:p w:rsidR="009C4EFB" w:rsidRPr="00C70B19" w:rsidRDefault="009C4EFB" w:rsidP="00A14F68">
            <w:pPr>
              <w:spacing w:before="120" w:after="120" w:line="276" w:lineRule="auto"/>
              <w:rPr>
                <w:b/>
                <w:color w:val="FFFFFF" w:themeColor="background1"/>
              </w:rPr>
            </w:pPr>
            <w:r w:rsidRPr="00C70B19">
              <w:rPr>
                <w:b/>
                <w:color w:val="FFFFFF" w:themeColor="background1"/>
              </w:rPr>
              <w:t>State-wide</w:t>
            </w:r>
          </w:p>
        </w:tc>
      </w:tr>
      <w:bookmarkEnd w:id="62"/>
      <w:tr w:rsidR="009C4EFB" w:rsidRPr="009A1C8E" w:rsidTr="00880536">
        <w:trPr>
          <w:trHeight w:val="260"/>
        </w:trPr>
        <w:tc>
          <w:tcPr>
            <w:tcW w:w="1258" w:type="pct"/>
            <w:tcBorders>
              <w:top w:val="single" w:sz="4" w:space="0" w:color="FFFFFF" w:themeColor="background1"/>
            </w:tcBorders>
            <w:noWrap/>
            <w:hideMark/>
          </w:tcPr>
          <w:p w:rsidR="009C4EFB" w:rsidRPr="009A1C8E" w:rsidRDefault="009C4EFB" w:rsidP="00A14F68">
            <w:pPr>
              <w:spacing w:before="120" w:after="120" w:line="276" w:lineRule="auto"/>
            </w:pPr>
            <w:r w:rsidRPr="009A1C8E">
              <w:t>Agree or agree strongly</w:t>
            </w:r>
          </w:p>
        </w:tc>
        <w:tc>
          <w:tcPr>
            <w:tcW w:w="1247" w:type="pct"/>
            <w:tcBorders>
              <w:top w:val="single" w:sz="4" w:space="0" w:color="FFFFFF" w:themeColor="background1"/>
            </w:tcBorders>
            <w:noWrap/>
            <w:hideMark/>
          </w:tcPr>
          <w:p w:rsidR="009C4EFB" w:rsidRPr="009A1C8E" w:rsidRDefault="009C4EFB" w:rsidP="00A14F68">
            <w:pPr>
              <w:spacing w:before="120" w:after="120" w:line="276" w:lineRule="auto"/>
            </w:pPr>
            <w:r w:rsidRPr="009A1C8E">
              <w:t>51%</w:t>
            </w:r>
          </w:p>
        </w:tc>
        <w:tc>
          <w:tcPr>
            <w:tcW w:w="1247" w:type="pct"/>
            <w:tcBorders>
              <w:top w:val="single" w:sz="4" w:space="0" w:color="FFFFFF" w:themeColor="background1"/>
            </w:tcBorders>
            <w:noWrap/>
            <w:hideMark/>
          </w:tcPr>
          <w:p w:rsidR="009C4EFB" w:rsidRPr="009A1C8E" w:rsidRDefault="009C4EFB" w:rsidP="00A14F68">
            <w:pPr>
              <w:spacing w:before="120" w:after="120" w:line="276" w:lineRule="auto"/>
            </w:pPr>
            <w:r w:rsidRPr="009A1C8E">
              <w:t>66%</w:t>
            </w:r>
          </w:p>
        </w:tc>
        <w:tc>
          <w:tcPr>
            <w:tcW w:w="1247" w:type="pct"/>
            <w:tcBorders>
              <w:top w:val="single" w:sz="4" w:space="0" w:color="FFFFFF" w:themeColor="background1"/>
            </w:tcBorders>
            <w:noWrap/>
            <w:hideMark/>
          </w:tcPr>
          <w:p w:rsidR="009C4EFB" w:rsidRPr="009A1C8E" w:rsidRDefault="009C4EFB" w:rsidP="00A14F68">
            <w:pPr>
              <w:spacing w:before="120" w:after="120" w:line="276" w:lineRule="auto"/>
            </w:pPr>
            <w:r w:rsidRPr="009A1C8E">
              <w:t>76%</w:t>
            </w:r>
          </w:p>
        </w:tc>
      </w:tr>
      <w:tr w:rsidR="009C4EFB" w:rsidRPr="009A1C8E" w:rsidTr="006278AA">
        <w:trPr>
          <w:trHeight w:val="260"/>
        </w:trPr>
        <w:tc>
          <w:tcPr>
            <w:tcW w:w="1258" w:type="pct"/>
            <w:noWrap/>
            <w:hideMark/>
          </w:tcPr>
          <w:p w:rsidR="009C4EFB" w:rsidRPr="009A1C8E" w:rsidRDefault="009C4EFB" w:rsidP="00A14F68">
            <w:pPr>
              <w:spacing w:before="120" w:after="120" w:line="276" w:lineRule="auto"/>
            </w:pPr>
            <w:r w:rsidRPr="009A1C8E">
              <w:t>Neither agree nor disagree</w:t>
            </w:r>
          </w:p>
        </w:tc>
        <w:tc>
          <w:tcPr>
            <w:tcW w:w="1247" w:type="pct"/>
            <w:noWrap/>
            <w:hideMark/>
          </w:tcPr>
          <w:p w:rsidR="009C4EFB" w:rsidRPr="009A1C8E" w:rsidRDefault="009C4EFB" w:rsidP="00A14F68">
            <w:pPr>
              <w:spacing w:before="120" w:after="120" w:line="276" w:lineRule="auto"/>
            </w:pPr>
            <w:r w:rsidRPr="009A1C8E">
              <w:t>32%</w:t>
            </w:r>
          </w:p>
        </w:tc>
        <w:tc>
          <w:tcPr>
            <w:tcW w:w="1247" w:type="pct"/>
            <w:noWrap/>
            <w:hideMark/>
          </w:tcPr>
          <w:p w:rsidR="009C4EFB" w:rsidRPr="009A1C8E" w:rsidRDefault="009C4EFB" w:rsidP="00A14F68">
            <w:pPr>
              <w:spacing w:before="120" w:after="120" w:line="276" w:lineRule="auto"/>
            </w:pPr>
            <w:r w:rsidRPr="009A1C8E">
              <w:t>9%</w:t>
            </w:r>
          </w:p>
        </w:tc>
        <w:tc>
          <w:tcPr>
            <w:tcW w:w="1247" w:type="pct"/>
            <w:noWrap/>
            <w:hideMark/>
          </w:tcPr>
          <w:p w:rsidR="009C4EFB" w:rsidRPr="009A1C8E" w:rsidRDefault="009C4EFB" w:rsidP="00A14F68">
            <w:pPr>
              <w:spacing w:before="120" w:after="120" w:line="276" w:lineRule="auto"/>
            </w:pPr>
            <w:r w:rsidRPr="009A1C8E">
              <w:t>8%</w:t>
            </w:r>
          </w:p>
        </w:tc>
      </w:tr>
      <w:tr w:rsidR="009C4EFB" w:rsidRPr="009A1C8E" w:rsidTr="006278AA">
        <w:trPr>
          <w:trHeight w:val="260"/>
        </w:trPr>
        <w:tc>
          <w:tcPr>
            <w:tcW w:w="1258" w:type="pct"/>
            <w:noWrap/>
            <w:hideMark/>
          </w:tcPr>
          <w:p w:rsidR="009C4EFB" w:rsidRPr="009A1C8E" w:rsidRDefault="009C4EFB" w:rsidP="00A14F68">
            <w:pPr>
              <w:spacing w:before="120" w:after="120" w:line="276" w:lineRule="auto"/>
            </w:pPr>
            <w:r w:rsidRPr="009A1C8E">
              <w:t>Disagree or disagree strongly</w:t>
            </w:r>
          </w:p>
        </w:tc>
        <w:tc>
          <w:tcPr>
            <w:tcW w:w="1247" w:type="pct"/>
            <w:noWrap/>
            <w:hideMark/>
          </w:tcPr>
          <w:p w:rsidR="009C4EFB" w:rsidRPr="009A1C8E" w:rsidRDefault="009C4EFB" w:rsidP="00A14F68">
            <w:pPr>
              <w:spacing w:before="120" w:after="120" w:line="276" w:lineRule="auto"/>
            </w:pPr>
            <w:r w:rsidRPr="009A1C8E">
              <w:t>16%</w:t>
            </w:r>
          </w:p>
        </w:tc>
        <w:tc>
          <w:tcPr>
            <w:tcW w:w="1247" w:type="pct"/>
            <w:noWrap/>
            <w:hideMark/>
          </w:tcPr>
          <w:p w:rsidR="009C4EFB" w:rsidRPr="009A1C8E" w:rsidRDefault="009C4EFB" w:rsidP="00A14F68">
            <w:pPr>
              <w:spacing w:before="120" w:after="120" w:line="276" w:lineRule="auto"/>
            </w:pPr>
            <w:r w:rsidRPr="009A1C8E">
              <w:t>25%</w:t>
            </w:r>
          </w:p>
        </w:tc>
        <w:tc>
          <w:tcPr>
            <w:tcW w:w="1247" w:type="pct"/>
            <w:noWrap/>
            <w:hideMark/>
          </w:tcPr>
          <w:p w:rsidR="009C4EFB" w:rsidRPr="009A1C8E" w:rsidRDefault="009C4EFB" w:rsidP="00A14F68">
            <w:pPr>
              <w:spacing w:before="120" w:after="120" w:line="276" w:lineRule="auto"/>
            </w:pPr>
            <w:r w:rsidRPr="009A1C8E">
              <w:t>16%</w:t>
            </w:r>
          </w:p>
        </w:tc>
      </w:tr>
    </w:tbl>
    <w:p w:rsidR="009C7AA3" w:rsidRDefault="009C7AA3" w:rsidP="00830706">
      <w:pPr>
        <w:pStyle w:val="Heading3"/>
      </w:pPr>
    </w:p>
    <w:p w:rsidR="009C7AA3" w:rsidRDefault="009C7AA3">
      <w:pPr>
        <w:spacing w:line="259" w:lineRule="auto"/>
        <w:rPr>
          <w:rFonts w:eastAsiaTheme="majorEastAsia" w:cs="Arial"/>
          <w:b/>
          <w:sz w:val="28"/>
        </w:rPr>
      </w:pPr>
      <w:r>
        <w:br w:type="page"/>
      </w:r>
    </w:p>
    <w:p w:rsidR="00C3342C" w:rsidRDefault="001E730C" w:rsidP="00830706">
      <w:pPr>
        <w:pStyle w:val="Heading3"/>
      </w:pPr>
      <w:r>
        <w:lastRenderedPageBreak/>
        <w:t>Appendix 1C</w:t>
      </w:r>
    </w:p>
    <w:p w:rsidR="009C4EFB" w:rsidRPr="009A1C8E" w:rsidRDefault="009C4EFB" w:rsidP="00C3342C">
      <w:r w:rsidRPr="009A1C8E">
        <w:t xml:space="preserve">To what extent do you agree that to provide services at the prices being offered by the NDIA, </w:t>
      </w:r>
      <w:r w:rsidR="00B40AC7" w:rsidRPr="009A1C8E">
        <w:t>you will have to reduce the</w:t>
      </w:r>
      <w:r w:rsidRPr="009A1C8E">
        <w:t xml:space="preserve"> quality of service? </w:t>
      </w:r>
      <w:proofErr w:type="gramStart"/>
      <w:r w:rsidRPr="009A1C8E">
        <w:t>Victoria</w:t>
      </w:r>
      <w:r w:rsidR="00C37E56" w:rsidRPr="009A1C8E">
        <w:t>n</w:t>
      </w:r>
      <w:r w:rsidRPr="009A1C8E">
        <w:t xml:space="preserve"> and </w:t>
      </w:r>
      <w:r w:rsidR="00B40AC7" w:rsidRPr="009A1C8E">
        <w:t>n</w:t>
      </w:r>
      <w:r w:rsidRPr="009A1C8E">
        <w:t>ational analysis.</w:t>
      </w:r>
      <w:proofErr w:type="gramEnd"/>
    </w:p>
    <w:p w:rsidR="009C4EFB" w:rsidRPr="009A1C8E" w:rsidRDefault="00A81137" w:rsidP="00A14F68">
      <w:pPr>
        <w:spacing w:before="120" w:after="120" w:line="276" w:lineRule="auto"/>
      </w:pPr>
      <w:r w:rsidRPr="009A1C8E">
        <w:rPr>
          <w:noProof/>
          <w:lang w:eastAsia="en-AU"/>
        </w:rPr>
        <w:drawing>
          <wp:inline distT="0" distB="0" distL="0" distR="0">
            <wp:extent cx="5867400" cy="2800350"/>
            <wp:effectExtent l="0" t="0" r="0" b="0"/>
            <wp:docPr id="54" name="Chart 54" descr="Agree or agree strongly: Victoria 61%, National 54%.&#10;Neither agree nor disagree: Victoria 15%, National 18%.&#10;Disagree or disagree strongly: Victoria 23%, National 26%.&#10;Don't know: Victoria 1%, National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C5919071-7D1E-7C4B-B021-30E4704426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4EFB" w:rsidRPr="009A1C8E" w:rsidRDefault="009C4EFB" w:rsidP="00A14F68">
      <w:pPr>
        <w:spacing w:before="120" w:after="120" w:line="276" w:lineRule="auto"/>
        <w:sectPr w:rsidR="009C4EFB" w:rsidRPr="009A1C8E" w:rsidSect="00AC237C">
          <w:pgSz w:w="12240" w:h="15840"/>
          <w:pgMar w:top="1440" w:right="1440" w:bottom="1440" w:left="1440" w:header="720" w:footer="720" w:gutter="0"/>
          <w:cols w:space="720"/>
          <w:docGrid w:linePitch="360"/>
        </w:sectPr>
      </w:pPr>
    </w:p>
    <w:p w:rsidR="009C4EFB" w:rsidRPr="009A1C8E" w:rsidRDefault="009C4EFB" w:rsidP="00830706">
      <w:pPr>
        <w:pStyle w:val="Heading2"/>
      </w:pPr>
      <w:bookmarkStart w:id="63" w:name="_Toc5290122"/>
      <w:bookmarkStart w:id="64" w:name="_Toc5308611"/>
      <w:bookmarkStart w:id="65" w:name="_Toc5860521"/>
      <w:bookmarkStart w:id="66" w:name="_Toc5860561"/>
      <w:bookmarkStart w:id="67" w:name="_Toc7614964"/>
      <w:r w:rsidRPr="009A1C8E">
        <w:lastRenderedPageBreak/>
        <w:t>Appendix 2: Provider financial viability</w:t>
      </w:r>
      <w:bookmarkEnd w:id="63"/>
      <w:bookmarkEnd w:id="64"/>
      <w:bookmarkEnd w:id="65"/>
      <w:bookmarkEnd w:id="66"/>
      <w:bookmarkEnd w:id="67"/>
    </w:p>
    <w:p w:rsidR="00DC6F3A" w:rsidRDefault="00DC6F3A" w:rsidP="00830706">
      <w:pPr>
        <w:pStyle w:val="Heading3"/>
      </w:pPr>
      <w:r>
        <w:t>Appendix 2A</w:t>
      </w:r>
    </w:p>
    <w:p w:rsidR="009C4EFB" w:rsidRPr="009A1C8E" w:rsidRDefault="009C4EFB" w:rsidP="00DC6F3A">
      <w:r w:rsidRPr="009A1C8E">
        <w:t xml:space="preserve">In its most recent full financial year did this organisation make a loss, break-even or make a profit (surplus) in regard to its disability services? </w:t>
      </w:r>
      <w:proofErr w:type="gramStart"/>
      <w:r w:rsidRPr="009A1C8E">
        <w:t>Geographical group analysis.</w:t>
      </w:r>
      <w:proofErr w:type="gramEnd"/>
    </w:p>
    <w:p w:rsidR="009C4EFB" w:rsidRPr="009A1C8E" w:rsidRDefault="009C4EFB" w:rsidP="00A14F68">
      <w:pPr>
        <w:spacing w:before="120" w:after="120" w:line="276" w:lineRule="auto"/>
      </w:pPr>
      <w:r w:rsidRPr="009A1C8E">
        <w:rPr>
          <w:noProof/>
          <w:lang w:eastAsia="en-AU"/>
        </w:rPr>
        <w:drawing>
          <wp:inline distT="0" distB="0" distL="0" distR="0">
            <wp:extent cx="5918200" cy="2743200"/>
            <wp:effectExtent l="0" t="0" r="6350" b="0"/>
            <wp:docPr id="3" name="Chart 3" descr="Don't know: Metro 13%, Regional 4%, State-wide 10%.&#10;We broke even or were close to break-even: Metro 22%, Regional 19%, State-wide 10%.&#10;We made a loss/deficit: Metro 25%, Regional 37%, State-wide 24%.&#10;We made a profit/surplus: Metro 41%, Regional 41%, State-wide 5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B65A2795-5DE1-B54D-A35C-C1A1BFE126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97934" w:rsidRDefault="008C0E8D" w:rsidP="00830706">
      <w:pPr>
        <w:pStyle w:val="Heading3"/>
      </w:pPr>
      <w:r>
        <w:t>Appendix 2B</w:t>
      </w:r>
    </w:p>
    <w:p w:rsidR="009C4EFB" w:rsidRPr="009A1C8E" w:rsidRDefault="009C4EFB" w:rsidP="00B97934">
      <w:r w:rsidRPr="009A1C8E">
        <w:t xml:space="preserve">P&amp;L margins for organisation’s disability services – financial year ending 30 June 2018. </w:t>
      </w:r>
      <w:proofErr w:type="gramStart"/>
      <w:r w:rsidRPr="009A1C8E">
        <w:t>Geographical group analysis</w:t>
      </w:r>
      <w:r w:rsidR="007A0756" w:rsidRPr="009A1C8E">
        <w:t>.</w:t>
      </w:r>
      <w:proofErr w:type="gramEnd"/>
    </w:p>
    <w:p w:rsidR="009C7AA3" w:rsidRPr="00C70B19" w:rsidRDefault="009C4EFB" w:rsidP="00C70B19">
      <w:pPr>
        <w:pStyle w:val="Heading4"/>
      </w:pPr>
      <w:r w:rsidRPr="00C70B19">
        <w:t>Metro</w:t>
      </w:r>
    </w:p>
    <w:p w:rsidR="009C4EFB" w:rsidRPr="009A1C8E" w:rsidRDefault="009C4EFB" w:rsidP="00C70B19">
      <w:pPr>
        <w:pStyle w:val="Heading4"/>
      </w:pPr>
      <w:r w:rsidRPr="009A1C8E">
        <w:rPr>
          <w:noProof/>
          <w:lang w:eastAsia="en-AU"/>
        </w:rPr>
        <w:drawing>
          <wp:inline distT="0" distB="0" distL="0" distR="0">
            <wp:extent cx="5759450" cy="2286000"/>
            <wp:effectExtent l="0" t="0" r="0" b="0"/>
            <wp:docPr id="4" name="Chart 4" descr="Minus 21% and below: 5%.&#10;Minus 11 to minus 20%: 5%.&#10;Minus 6 to minus 10%: 5%.&#10;Minus 1 to minus 5%: 24%.&#10;0: 14%.&#10;1 to 5%: 10%.&#10;6 to 10%: 19%.&#10;11 to 20%: 14%.&#10;21% and above: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694E387D-9549-7749-8B00-B46A3A77ED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97934" w:rsidRDefault="00B97934">
      <w:pPr>
        <w:spacing w:line="259" w:lineRule="auto"/>
        <w:rPr>
          <w:b/>
        </w:rPr>
      </w:pPr>
      <w:r>
        <w:rPr>
          <w:b/>
        </w:rPr>
        <w:br w:type="page"/>
      </w:r>
    </w:p>
    <w:p w:rsidR="00764309" w:rsidRPr="00E93807" w:rsidRDefault="00764309" w:rsidP="00C70B19">
      <w:pPr>
        <w:pStyle w:val="Heading4"/>
      </w:pPr>
      <w:r w:rsidRPr="00E93807">
        <w:lastRenderedPageBreak/>
        <w:t>Regional</w:t>
      </w:r>
    </w:p>
    <w:p w:rsidR="00C165F3" w:rsidRPr="009A1C8E" w:rsidRDefault="00C165F3" w:rsidP="00A14F68">
      <w:pPr>
        <w:spacing w:before="120" w:after="120" w:line="276" w:lineRule="auto"/>
      </w:pPr>
      <w:r w:rsidRPr="009A1C8E">
        <w:rPr>
          <w:noProof/>
          <w:lang w:eastAsia="en-AU"/>
        </w:rPr>
        <w:drawing>
          <wp:inline distT="0" distB="0" distL="0" distR="0">
            <wp:extent cx="5759450" cy="2336800"/>
            <wp:effectExtent l="0" t="0" r="0" b="6350"/>
            <wp:docPr id="53" name="Chart 53" descr="Minus 21% and below: 10%.&#10;Minus 11 to minus 20%: 10%.&#10;Minus 6 to minus 10%: 0.&#10;Minus 1 to minus 5%: 5%.&#10;0: 30%.&#10;1 to 5%: 25%.&#10;6 to 10%: 15%.&#10;11 to 20%: 5%.&#10;21% and above: 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FA26F7CC-A18F-BC4C-B1F5-051134B443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C4EFB" w:rsidRPr="00E93807" w:rsidRDefault="009C4EFB" w:rsidP="00C70B19">
      <w:pPr>
        <w:pStyle w:val="Heading4"/>
      </w:pPr>
      <w:r w:rsidRPr="00E93807">
        <w:t>State-wide</w:t>
      </w:r>
    </w:p>
    <w:p w:rsidR="009C4EFB" w:rsidRPr="009A1C8E" w:rsidRDefault="009C4EFB" w:rsidP="00A14F68">
      <w:pPr>
        <w:spacing w:before="120" w:after="120" w:line="276" w:lineRule="auto"/>
      </w:pPr>
      <w:r w:rsidRPr="009A1C8E">
        <w:rPr>
          <w:noProof/>
          <w:lang w:eastAsia="en-AU"/>
        </w:rPr>
        <w:drawing>
          <wp:inline distT="0" distB="0" distL="0" distR="0">
            <wp:extent cx="5759450" cy="2298700"/>
            <wp:effectExtent l="0" t="0" r="0" b="6350"/>
            <wp:docPr id="6" name="Chart 6" descr="Minus 21% and below: 0.&#10;Minus 11 to minus 20%: 6%.&#10;Minus 6 to minus 10%: 0.&#10;Minus 1 to minus 5%: 6%.&#10;0: 25%.&#10;1 to 5%: 50%.&#10;6 to 10%: 0%.&#10;11 to 20%: 6%.&#10;21% and above: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D514B90B-DF77-944A-A883-DE45FFB109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71B6C" w:rsidRDefault="009C4EFB" w:rsidP="00A14F68">
      <w:pPr>
        <w:spacing w:before="120" w:after="120" w:line="276" w:lineRule="auto"/>
      </w:pPr>
      <w:r w:rsidRPr="009A1C8E">
        <w:t xml:space="preserve">Note: organisations reporting a margin between 0 and </w:t>
      </w:r>
      <w:r w:rsidR="00371B6C">
        <w:t>1</w:t>
      </w:r>
      <w:proofErr w:type="gramStart"/>
      <w:r w:rsidR="00371B6C">
        <w:t>%,</w:t>
      </w:r>
      <w:proofErr w:type="gramEnd"/>
      <w:r w:rsidR="00371B6C">
        <w:t xml:space="preserve"> have been categorised as 0.</w:t>
      </w:r>
    </w:p>
    <w:p w:rsidR="00371B6C" w:rsidRDefault="009C4EFB" w:rsidP="00371B6C">
      <w:pPr>
        <w:spacing w:before="120" w:after="120" w:line="276" w:lineRule="auto"/>
      </w:pPr>
      <w:r w:rsidRPr="009A1C8E">
        <w:t>Note: organisations reporting a margin of 10-20%, have been categorised as 11-20%</w:t>
      </w:r>
    </w:p>
    <w:p w:rsidR="009C7AA3" w:rsidRDefault="009C7AA3">
      <w:pPr>
        <w:spacing w:line="259" w:lineRule="auto"/>
        <w:rPr>
          <w:rFonts w:eastAsiaTheme="majorEastAsia" w:cs="Arial"/>
          <w:b/>
          <w:sz w:val="28"/>
        </w:rPr>
      </w:pPr>
      <w:r>
        <w:br w:type="page"/>
      </w:r>
    </w:p>
    <w:p w:rsidR="00371B6C" w:rsidRDefault="00371B6C" w:rsidP="00830706">
      <w:pPr>
        <w:pStyle w:val="Heading3"/>
      </w:pPr>
      <w:r>
        <w:lastRenderedPageBreak/>
        <w:t>Appendix 2C</w:t>
      </w:r>
    </w:p>
    <w:p w:rsidR="009C4EFB" w:rsidRPr="009A1C8E" w:rsidRDefault="009C4EFB" w:rsidP="00371B6C">
      <w:r w:rsidRPr="009A1C8E">
        <w:t xml:space="preserve">In this current financial year, do you expect this organisation will make a loss (deficit), break-even or a profit (surplus) on its disability services? </w:t>
      </w:r>
      <w:proofErr w:type="gramStart"/>
      <w:r w:rsidRPr="009A1C8E">
        <w:t>Geographical group analysis.</w:t>
      </w:r>
      <w:proofErr w:type="gramEnd"/>
    </w:p>
    <w:p w:rsidR="009C4EFB" w:rsidRPr="009A1C8E" w:rsidRDefault="009C4EFB" w:rsidP="00A14F68">
      <w:pPr>
        <w:spacing w:before="120" w:after="120" w:line="276" w:lineRule="auto"/>
        <w:sectPr w:rsidR="009C4EFB" w:rsidRPr="009A1C8E" w:rsidSect="00AC237C">
          <w:pgSz w:w="12240" w:h="15840"/>
          <w:pgMar w:top="1440" w:right="1440" w:bottom="1440" w:left="1440" w:header="720" w:footer="720" w:gutter="0"/>
          <w:cols w:space="720"/>
          <w:docGrid w:linePitch="360"/>
        </w:sectPr>
      </w:pPr>
      <w:r w:rsidRPr="009A1C8E">
        <w:rPr>
          <w:noProof/>
          <w:lang w:eastAsia="en-AU"/>
        </w:rPr>
        <w:drawing>
          <wp:inline distT="0" distB="0" distL="0" distR="0">
            <wp:extent cx="5962650" cy="3028950"/>
            <wp:effectExtent l="0" t="0" r="0" b="0"/>
            <wp:docPr id="24" name="Chart 24" descr="Don't know: Metro 14%, Regional 9%, State-wide 11%.&#10;We expect to break even or be close to break-even: Metro 21%, Regional 27%, State-wide 28%.&#10;We expect to make a loss/deficit: Metro 14%, Regional 32%, State-wide 17%.&#10;We expect to make a profit/surplus: Metro 50%, Regional 32%, State-wide 4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0F33233E-8D57-1840-92EE-7028530E2A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C0E8D" w:rsidRDefault="008C0E8D" w:rsidP="00830706">
      <w:pPr>
        <w:pStyle w:val="Heading3"/>
      </w:pPr>
      <w:r>
        <w:lastRenderedPageBreak/>
        <w:t>Appendix 2D</w:t>
      </w:r>
    </w:p>
    <w:p w:rsidR="009C4EFB" w:rsidRPr="009A1C8E" w:rsidRDefault="000352B8" w:rsidP="008C0E8D">
      <w:proofErr w:type="gramStart"/>
      <w:r>
        <w:t xml:space="preserve">Estimated </w:t>
      </w:r>
      <w:r w:rsidR="009C4EFB" w:rsidRPr="009A1C8E">
        <w:t>P&amp;L margins for organisation’s disability services – financial year ending 30 June 2019.</w:t>
      </w:r>
      <w:proofErr w:type="gramEnd"/>
      <w:r w:rsidR="009C4EFB" w:rsidRPr="009A1C8E">
        <w:t xml:space="preserve"> </w:t>
      </w:r>
      <w:proofErr w:type="gramStart"/>
      <w:r w:rsidR="009C4EFB" w:rsidRPr="009A1C8E">
        <w:t>Geographical group analysis.</w:t>
      </w:r>
      <w:proofErr w:type="gramEnd"/>
    </w:p>
    <w:p w:rsidR="009C4EFB" w:rsidRPr="00E93807" w:rsidRDefault="009C4EFB" w:rsidP="00C70B19">
      <w:pPr>
        <w:pStyle w:val="Heading4"/>
      </w:pPr>
      <w:r w:rsidRPr="00E93807">
        <w:t>Metro</w:t>
      </w:r>
    </w:p>
    <w:p w:rsidR="009C4EFB" w:rsidRPr="009A1C8E" w:rsidRDefault="009C4EFB" w:rsidP="00A14F68">
      <w:pPr>
        <w:spacing w:before="120" w:after="120" w:line="276" w:lineRule="auto"/>
      </w:pPr>
      <w:r w:rsidRPr="009A1C8E">
        <w:rPr>
          <w:noProof/>
          <w:lang w:eastAsia="en-AU"/>
        </w:rPr>
        <w:drawing>
          <wp:inline distT="0" distB="0" distL="0" distR="0">
            <wp:extent cx="5759450" cy="2457450"/>
            <wp:effectExtent l="0" t="0" r="0" b="0"/>
            <wp:docPr id="8" name="Chart 8" descr="Minus 21% and below: 0.&#10;Minus 11 to minus 20%: 6%.&#10;Minus 6 to minus 10%: 0.&#10;Minus 1 to minus 5%: 17%.&#10;0: 28%.&#10;1 to 5%: 22%.&#10;6 to 10%: 11%.&#10;11 to 20%: 17%.&#10;21% and above: 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7822DCED-BD3A-974D-9E78-CE4C8BBA7A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C4EFB" w:rsidRPr="00E93807" w:rsidRDefault="009C4EFB" w:rsidP="00C70B19">
      <w:pPr>
        <w:pStyle w:val="Heading4"/>
      </w:pPr>
      <w:r w:rsidRPr="00E93807">
        <w:t>Regional</w:t>
      </w:r>
    </w:p>
    <w:p w:rsidR="009C4EFB" w:rsidRPr="009A1C8E" w:rsidRDefault="009C4EFB" w:rsidP="00A14F68">
      <w:pPr>
        <w:spacing w:before="120" w:after="120" w:line="276" w:lineRule="auto"/>
      </w:pPr>
      <w:r w:rsidRPr="009A1C8E">
        <w:rPr>
          <w:noProof/>
          <w:lang w:eastAsia="en-AU"/>
        </w:rPr>
        <w:drawing>
          <wp:inline distT="0" distB="0" distL="0" distR="0">
            <wp:extent cx="5759450" cy="2387600"/>
            <wp:effectExtent l="0" t="0" r="0" b="0"/>
            <wp:docPr id="9" name="Chart 9" descr="Minus 21% and below: 6%.&#10;Minus 11 to minus 20%: 6%.&#10;Minus 6 to minus 10%: 6%.&#10;Minus 1 to minus 5%: 18%.&#10;0: 29%.&#10;1 to 5%: 18%.&#10;6 to 10%: 12%.&#10;11 to 20%: 6%.&#10;21% and above: 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CA288F50-8677-AB40-A05B-E0EE161E54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C4EFB" w:rsidRPr="00E93807" w:rsidRDefault="009C4EFB" w:rsidP="00C70B19">
      <w:pPr>
        <w:pStyle w:val="Heading4"/>
      </w:pPr>
      <w:r w:rsidRPr="00E93807">
        <w:lastRenderedPageBreak/>
        <w:t>State-wide</w:t>
      </w:r>
    </w:p>
    <w:p w:rsidR="009C4EFB" w:rsidRPr="009A1C8E" w:rsidRDefault="009C4EFB" w:rsidP="00A14F68">
      <w:pPr>
        <w:spacing w:before="120" w:after="120" w:line="276" w:lineRule="auto"/>
      </w:pPr>
      <w:r w:rsidRPr="009A1C8E">
        <w:rPr>
          <w:noProof/>
          <w:lang w:eastAsia="en-AU"/>
        </w:rPr>
        <w:drawing>
          <wp:inline distT="0" distB="0" distL="0" distR="0">
            <wp:extent cx="5759450" cy="2425700"/>
            <wp:effectExtent l="0" t="0" r="0" b="0"/>
            <wp:docPr id="10" name="Chart 10" descr="Minus 21% and below: 0.&#10;Minus 11 to minus 20%: 0.&#10;Minus 6 to minus 10%: 8%.&#10;Minus 1 to minus 5%: 8%.&#10;0: 31%.&#10;1 to 5%: 38%.&#10;6 to 10%: 8%.&#10;11 to 20%: 8%.&#10;21% and above: 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C04AB509-40D5-5745-8773-473ACF5E9E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E18CE" w:rsidRDefault="009C4EFB" w:rsidP="00A14F68">
      <w:pPr>
        <w:spacing w:before="120" w:after="120" w:line="276" w:lineRule="auto"/>
      </w:pPr>
      <w:r w:rsidRPr="009A1C8E">
        <w:t>Note: organisations reporting a margin between 0 and 1</w:t>
      </w:r>
      <w:proofErr w:type="gramStart"/>
      <w:r w:rsidRPr="009A1C8E">
        <w:t>%,</w:t>
      </w:r>
      <w:proofErr w:type="gramEnd"/>
      <w:r w:rsidRPr="009A1C8E">
        <w:t xml:space="preserve"> have been categorized as 0.</w:t>
      </w:r>
    </w:p>
    <w:p w:rsidR="009C4EFB" w:rsidRPr="009A1C8E" w:rsidRDefault="009C4EFB" w:rsidP="00A14F68">
      <w:pPr>
        <w:spacing w:before="120" w:after="120" w:line="276" w:lineRule="auto"/>
      </w:pPr>
      <w:r w:rsidRPr="009A1C8E">
        <w:t>Note: organisations reporting a margin of 10-20</w:t>
      </w:r>
      <w:proofErr w:type="gramStart"/>
      <w:r w:rsidRPr="009A1C8E">
        <w:t>%,</w:t>
      </w:r>
      <w:proofErr w:type="gramEnd"/>
      <w:r w:rsidRPr="009A1C8E">
        <w:t xml:space="preserve"> </w:t>
      </w:r>
      <w:r w:rsidR="009C7AA3">
        <w:t>have been categorised as 11-20%.</w:t>
      </w:r>
    </w:p>
    <w:p w:rsidR="002E18CE" w:rsidRDefault="002E18CE" w:rsidP="00830706">
      <w:pPr>
        <w:pStyle w:val="Heading3"/>
      </w:pPr>
      <w:r>
        <w:t>Appendix 2E</w:t>
      </w:r>
    </w:p>
    <w:p w:rsidR="009C4EFB" w:rsidRPr="009A1C8E" w:rsidRDefault="009C4EFB" w:rsidP="002E18CE">
      <w:r w:rsidRPr="009A1C8E">
        <w:t xml:space="preserve">In this current financial year, do you expect your organisation's financial reserves to change? </w:t>
      </w:r>
      <w:proofErr w:type="gramStart"/>
      <w:r w:rsidRPr="009A1C8E">
        <w:t>Geographical group analysis.</w:t>
      </w:r>
      <w:proofErr w:type="gramEnd"/>
    </w:p>
    <w:p w:rsidR="009C4EFB" w:rsidRPr="00E93807" w:rsidRDefault="009C4EFB" w:rsidP="00C70B19">
      <w:pPr>
        <w:pStyle w:val="Heading4"/>
      </w:pPr>
      <w:r w:rsidRPr="00E93807">
        <w:t>Victoria</w:t>
      </w:r>
    </w:p>
    <w:p w:rsidR="009C4EFB" w:rsidRPr="009A1C8E" w:rsidRDefault="009C4EFB" w:rsidP="00A14F68">
      <w:pPr>
        <w:spacing w:before="120" w:after="120" w:line="276" w:lineRule="auto"/>
      </w:pPr>
      <w:r w:rsidRPr="009C7AA3">
        <w:rPr>
          <w:rFonts w:cs="Arial"/>
          <w:noProof/>
          <w:lang w:eastAsia="en-AU"/>
        </w:rPr>
        <w:drawing>
          <wp:inline distT="0" distB="0" distL="0" distR="0">
            <wp:extent cx="5759450" cy="2520950"/>
            <wp:effectExtent l="0" t="0" r="0" b="0"/>
            <wp:docPr id="15" name="Chart 15" descr="Minus 21% and below: 6%.&#10;Minus 11 to minus 20%: 15%.&#10;Minus 6 to minus 10%: 15%.&#10;Minus 1 to minus 5%: 11%.&#10;0: 2%.&#10;1 to 5%: 23%.&#10;6 to 10%: 6%.&#10;11 to 20%: 15%.&#10;21% and above: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18E852CD-F639-D64E-ACEB-CD43155181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C4EFB" w:rsidRPr="00E93807" w:rsidRDefault="009C4EFB" w:rsidP="00C70B19">
      <w:pPr>
        <w:pStyle w:val="Heading4"/>
      </w:pPr>
      <w:r w:rsidRPr="00E93807">
        <w:lastRenderedPageBreak/>
        <w:t>Metro</w:t>
      </w:r>
    </w:p>
    <w:p w:rsidR="009C4EFB" w:rsidRPr="009A1C8E" w:rsidRDefault="009C4EFB" w:rsidP="00A14F68">
      <w:pPr>
        <w:spacing w:before="120" w:after="120" w:line="276" w:lineRule="auto"/>
      </w:pPr>
      <w:r w:rsidRPr="009A1C8E">
        <w:rPr>
          <w:noProof/>
          <w:lang w:eastAsia="en-AU"/>
        </w:rPr>
        <w:drawing>
          <wp:inline distT="0" distB="0" distL="0" distR="0">
            <wp:extent cx="5759450" cy="2336800"/>
            <wp:effectExtent l="0" t="0" r="0" b="6350"/>
            <wp:docPr id="16" name="Chart 16" descr="Minus 21% and below: 0.&#10;Minus 11 to minus 20%: 19%.&#10;Minus 6 to minus 10%: 10%.&#10;Minus 1 to minus 5%: 10%.&#10;0: 0%.&#10;1 to 5%: 14%.&#10;6 to 10%: 10%.&#10;11 to 20%: 24%.&#10;21% and above: 1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EA303C9B-5CFA-3445-BCDD-5D9CE80711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C4EFB" w:rsidRPr="00E93807" w:rsidRDefault="009C4EFB" w:rsidP="00C70B19">
      <w:pPr>
        <w:pStyle w:val="Heading4"/>
      </w:pPr>
      <w:r w:rsidRPr="00E93807">
        <w:t>Regional</w:t>
      </w:r>
    </w:p>
    <w:p w:rsidR="009C4EFB" w:rsidRPr="009A1C8E" w:rsidRDefault="009C4EFB" w:rsidP="00A14F68">
      <w:pPr>
        <w:spacing w:before="120" w:after="120" w:line="276" w:lineRule="auto"/>
      </w:pPr>
      <w:r w:rsidRPr="009A1C8E">
        <w:rPr>
          <w:noProof/>
          <w:lang w:eastAsia="en-AU"/>
        </w:rPr>
        <w:drawing>
          <wp:inline distT="0" distB="0" distL="0" distR="0">
            <wp:extent cx="5759450" cy="2368550"/>
            <wp:effectExtent l="0" t="0" r="0" b="0"/>
            <wp:docPr id="17" name="Chart 17" descr="Minus 21% and below: 13%.&#10;Minus 11 to minus 20%: 13%.&#10;Minus 6 to minus 10%: 13%.&#10;Minus 1 to minus 5%: 19%.&#10;0: 0%.&#10;1 to 5%: 31%.&#10;6 to 10%: 0%.&#10;11 to 20%: 6%.&#10;21% and above: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B269C4AF-8653-9843-9E4E-0435DB6DDC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C4EFB" w:rsidRPr="00E93807" w:rsidRDefault="009C4EFB" w:rsidP="00C70B19">
      <w:pPr>
        <w:pStyle w:val="Heading4"/>
      </w:pPr>
      <w:r w:rsidRPr="00E93807">
        <w:t>State-wide</w:t>
      </w:r>
    </w:p>
    <w:p w:rsidR="009C4EFB" w:rsidRPr="009A1C8E" w:rsidRDefault="009C4EFB" w:rsidP="00A14F68">
      <w:pPr>
        <w:spacing w:before="120" w:after="120" w:line="276" w:lineRule="auto"/>
        <w:sectPr w:rsidR="009C4EFB" w:rsidRPr="009A1C8E" w:rsidSect="00AC237C">
          <w:pgSz w:w="12240" w:h="15840"/>
          <w:pgMar w:top="1440" w:right="1440" w:bottom="1440" w:left="1440" w:header="720" w:footer="720" w:gutter="0"/>
          <w:cols w:space="720"/>
          <w:docGrid w:linePitch="360"/>
        </w:sectPr>
      </w:pPr>
      <w:r w:rsidRPr="009A1C8E">
        <w:rPr>
          <w:noProof/>
          <w:lang w:eastAsia="en-AU"/>
        </w:rPr>
        <w:drawing>
          <wp:inline distT="0" distB="0" distL="0" distR="0">
            <wp:extent cx="5759450" cy="1917700"/>
            <wp:effectExtent l="0" t="0" r="0" b="6350"/>
            <wp:docPr id="18" name="Chart 18" descr="Minus 21% and below: 0.&#10;Minus 11 to minus 20%: 13%.&#10;Minus 6 to minus 10%: 27%.&#10;Minus 1 to minus 5%: 7%.&#10;0: 7%.&#10;1 to 5%: 27%.&#10;6 to 10%: 7%.&#10;11 to 20%: 13%.&#10;21% and above: 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8037F8BA-0D02-9C4F-8B34-1A2FECF2C6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B0D2F" w:rsidRDefault="00BB0D2F" w:rsidP="00830706">
      <w:pPr>
        <w:pStyle w:val="Heading3"/>
      </w:pPr>
      <w:r>
        <w:lastRenderedPageBreak/>
        <w:t>Appendix 2F</w:t>
      </w:r>
    </w:p>
    <w:p w:rsidR="009C4EFB" w:rsidRPr="009A1C8E" w:rsidRDefault="009C4EFB" w:rsidP="00BB0D2F">
      <w:r w:rsidRPr="009A1C8E">
        <w:t xml:space="preserve">In this current financial year, do you expect your organisation's working capital to change? </w:t>
      </w:r>
      <w:proofErr w:type="gramStart"/>
      <w:r w:rsidRPr="009A1C8E">
        <w:t>Geographical group analysis.</w:t>
      </w:r>
      <w:proofErr w:type="gramEnd"/>
    </w:p>
    <w:p w:rsidR="009C4EFB" w:rsidRPr="00E93807" w:rsidRDefault="009C4EFB" w:rsidP="00C70B19">
      <w:pPr>
        <w:pStyle w:val="Heading4"/>
      </w:pPr>
      <w:r w:rsidRPr="00E93807">
        <w:t>Victoria</w:t>
      </w:r>
    </w:p>
    <w:p w:rsidR="009C4EFB" w:rsidRPr="009A1C8E" w:rsidRDefault="009C4EFB" w:rsidP="00A14F68">
      <w:pPr>
        <w:spacing w:before="120" w:after="120" w:line="276" w:lineRule="auto"/>
      </w:pPr>
      <w:r w:rsidRPr="009A1C8E">
        <w:rPr>
          <w:noProof/>
          <w:lang w:eastAsia="en-AU"/>
        </w:rPr>
        <w:drawing>
          <wp:inline distT="0" distB="0" distL="0" distR="0">
            <wp:extent cx="5759450" cy="1943100"/>
            <wp:effectExtent l="0" t="0" r="0" b="0"/>
            <wp:docPr id="19" name="Chart 19" descr="Minus 21% and below: 4%.&#10;Minus 11 to minus 20%: 8%.&#10;Minus 6 to minus 10%: 21%.&#10;Minus 1 to minus 5%: 6%.&#10;0: 4%.&#10;1 to 5%: 27%.&#10;6 to 10%: 6%.&#10;11 to 20%: 15%.&#10;21% and above: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93C3B64D-93FB-A84A-980F-0C5172C516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C4EFB" w:rsidRPr="00E93807" w:rsidRDefault="009C4EFB" w:rsidP="00C70B19">
      <w:pPr>
        <w:pStyle w:val="Heading4"/>
      </w:pPr>
      <w:r w:rsidRPr="00E93807">
        <w:t>Metro</w:t>
      </w:r>
    </w:p>
    <w:p w:rsidR="009C4EFB" w:rsidRPr="009A1C8E" w:rsidRDefault="009C4EFB" w:rsidP="00A14F68">
      <w:pPr>
        <w:spacing w:before="120" w:after="120" w:line="276" w:lineRule="auto"/>
      </w:pPr>
      <w:r w:rsidRPr="009A1C8E">
        <w:rPr>
          <w:noProof/>
          <w:lang w:eastAsia="en-AU"/>
        </w:rPr>
        <w:drawing>
          <wp:inline distT="0" distB="0" distL="0" distR="0">
            <wp:extent cx="5759450" cy="1955800"/>
            <wp:effectExtent l="0" t="0" r="0" b="6350"/>
            <wp:docPr id="20" name="Chart 20" descr="Minus 21% and below: 11%.&#10;Minus 11 to minus 20%: 5%.&#10;Minus 6 to minus 10%: 16%.&#10;Minus 1 to minus 5%: 0.&#10;0: 5%.&#10;1 to 5%: 21%.&#10;6 to 10%: 11%.&#10;11 to 20%: 26%.&#10;21% and above: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C2895619-E8DB-9144-9DCB-64D4205F6E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C4EFB" w:rsidRPr="009A1C8E" w:rsidRDefault="009C4EFB" w:rsidP="00C70B19">
      <w:pPr>
        <w:pStyle w:val="Heading4"/>
      </w:pPr>
      <w:r w:rsidRPr="00E93807">
        <w:t>Regional</w:t>
      </w:r>
    </w:p>
    <w:p w:rsidR="009C4EFB" w:rsidRPr="009A1C8E" w:rsidRDefault="009C4EFB" w:rsidP="00A14F68">
      <w:pPr>
        <w:spacing w:before="120" w:after="120" w:line="276" w:lineRule="auto"/>
      </w:pPr>
      <w:r w:rsidRPr="009A1C8E">
        <w:rPr>
          <w:noProof/>
          <w:lang w:eastAsia="en-AU"/>
        </w:rPr>
        <w:drawing>
          <wp:inline distT="0" distB="0" distL="0" distR="0">
            <wp:extent cx="5759450" cy="1974850"/>
            <wp:effectExtent l="0" t="0" r="0" b="6350"/>
            <wp:docPr id="21" name="Chart 21" descr="Minus 21% and below: 0%.&#10;Minus 11 to minus 20%: 7%.&#10;Minus 6 to minus 10%: 27%.&#10;Minus 1 to minus 5%: 20%.&#10;0: 7%.&#10;1 to 5%: 20%.&#10;6 to 10%: 7%.&#10;11 to 20%: 7%.&#10;21% and above: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56B51140-E70E-474A-9C2E-515D30B280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C4EFB" w:rsidRPr="00E93807" w:rsidRDefault="009C4EFB" w:rsidP="00C70B19">
      <w:pPr>
        <w:pStyle w:val="Heading4"/>
      </w:pPr>
      <w:r w:rsidRPr="00E93807">
        <w:lastRenderedPageBreak/>
        <w:t>State-wide</w:t>
      </w:r>
    </w:p>
    <w:p w:rsidR="009C7AA3" w:rsidRDefault="009C4EFB" w:rsidP="009C7AA3">
      <w:pPr>
        <w:spacing w:before="120" w:after="120" w:line="276" w:lineRule="auto"/>
      </w:pPr>
      <w:r w:rsidRPr="009A1C8E">
        <w:rPr>
          <w:noProof/>
          <w:lang w:eastAsia="en-AU"/>
        </w:rPr>
        <w:drawing>
          <wp:inline distT="0" distB="0" distL="0" distR="0">
            <wp:extent cx="5759450" cy="2089150"/>
            <wp:effectExtent l="0" t="0" r="0" b="6350"/>
            <wp:docPr id="22" name="Chart 22" descr="Minus 21% and below: 0.&#10;Minus 11 to minus 20%: 14%.&#10;Minus 6 to minus 10%: 21%.&#10;Minus 1 to minus 5%: 0.&#10;0: 0.&#10;1 to 5%: 43%.&#10;6 to 10%: 0%.&#10;11 to 20%: 7%.&#10;21% and above: 1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1E8E7B50-E2E4-BB47-9213-E18A19ACC0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E1039" w:rsidRDefault="00AE1039" w:rsidP="00830706">
      <w:pPr>
        <w:pStyle w:val="Heading3"/>
      </w:pPr>
      <w:r>
        <w:t>Appendix 2G</w:t>
      </w:r>
    </w:p>
    <w:p w:rsidR="009C4EFB" w:rsidRPr="009A1C8E" w:rsidRDefault="009C4EFB" w:rsidP="00AE1039">
      <w:r w:rsidRPr="009A1C8E">
        <w:t xml:space="preserve">In this current financial year, do you expect your organisation's borrowings to acquire or build assets to change? </w:t>
      </w:r>
      <w:proofErr w:type="gramStart"/>
      <w:r w:rsidRPr="009A1C8E">
        <w:t>Geographical group analysis.</w:t>
      </w:r>
      <w:proofErr w:type="gramEnd"/>
    </w:p>
    <w:p w:rsidR="009C4EFB" w:rsidRPr="00E93807" w:rsidRDefault="009C4EFB" w:rsidP="00C70B19">
      <w:pPr>
        <w:pStyle w:val="Heading4"/>
      </w:pPr>
      <w:r w:rsidRPr="00E93807">
        <w:t>Victoria</w:t>
      </w:r>
    </w:p>
    <w:p w:rsidR="009C4EFB" w:rsidRPr="009A1C8E" w:rsidRDefault="009C4EFB" w:rsidP="00A14F68">
      <w:pPr>
        <w:spacing w:before="120" w:after="120" w:line="276" w:lineRule="auto"/>
      </w:pPr>
      <w:r w:rsidRPr="009A1C8E">
        <w:rPr>
          <w:noProof/>
          <w:lang w:eastAsia="en-AU"/>
        </w:rPr>
        <w:drawing>
          <wp:inline distT="0" distB="0" distL="0" distR="0">
            <wp:extent cx="5759450" cy="1968500"/>
            <wp:effectExtent l="0" t="0" r="0" b="0"/>
            <wp:docPr id="41" name="Chart 41" descr="Minus 21% and below: 4%.&#10;Minus 11 to minus 20%: 0.&#10;Minus 6 to minus 10%: 0.&#10;Minus 1 to minus 5%: 0.&#10;0: 37%.&#10;1 to 5%: 22%.&#10;6 to 10%: 4%.&#10;11 to 20%: 7%.&#10;21% and above: 2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BF7E7EFF-A5E7-C340-A19B-6B57028C95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C4EFB" w:rsidRPr="00E93807" w:rsidRDefault="009C4EFB" w:rsidP="00C70B19">
      <w:pPr>
        <w:pStyle w:val="Heading4"/>
      </w:pPr>
      <w:r w:rsidRPr="00E93807">
        <w:t>Metro</w:t>
      </w:r>
    </w:p>
    <w:p w:rsidR="009C4EFB" w:rsidRPr="009A1C8E" w:rsidRDefault="009C4EFB" w:rsidP="00A14F68">
      <w:pPr>
        <w:spacing w:before="120" w:after="120" w:line="276" w:lineRule="auto"/>
      </w:pPr>
      <w:r w:rsidRPr="009A1C8E">
        <w:rPr>
          <w:noProof/>
          <w:lang w:eastAsia="en-AU"/>
        </w:rPr>
        <w:drawing>
          <wp:inline distT="0" distB="0" distL="0" distR="0">
            <wp:extent cx="5759450" cy="1885950"/>
            <wp:effectExtent l="0" t="0" r="0" b="0"/>
            <wp:docPr id="42" name="Chart 42" descr="Minus 21% and below: 0.&#10;Minus 11 to minus 20%: 0.&#10;Minus 6 to minus 10%: 0.&#10;Minus 1 to minus 5%: 0.&#10;0: 38%.&#10;1 to 5%: 38%.&#10;6 to 10%: 0.&#10;11 to 20%: 25%.&#10;21% and above: 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1D9306D0-76CF-6A41-8B4A-555AEDF524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C4EFB" w:rsidRPr="00E93807" w:rsidRDefault="009C4EFB" w:rsidP="00C70B19">
      <w:pPr>
        <w:pStyle w:val="Heading4"/>
      </w:pPr>
      <w:r w:rsidRPr="00E93807">
        <w:lastRenderedPageBreak/>
        <w:t>Regional</w:t>
      </w:r>
    </w:p>
    <w:p w:rsidR="009C4EFB" w:rsidRPr="009A1C8E" w:rsidRDefault="009C4EFB" w:rsidP="00A14F68">
      <w:pPr>
        <w:spacing w:before="120" w:after="120" w:line="276" w:lineRule="auto"/>
      </w:pPr>
      <w:r w:rsidRPr="009A1C8E">
        <w:rPr>
          <w:noProof/>
          <w:lang w:eastAsia="en-AU"/>
        </w:rPr>
        <w:drawing>
          <wp:inline distT="0" distB="0" distL="0" distR="0">
            <wp:extent cx="5759450" cy="1930400"/>
            <wp:effectExtent l="0" t="0" r="0" b="0"/>
            <wp:docPr id="43" name="Chart 43" descr="Minus 21% and below: 9%.&#10;Minus 11 to minus 20%: 0.&#10;Minus 6 to minus 10%: 0.&#10;Minus 1 to minus 5%: 0.&#10;0: 36%.&#10;1 to 5%: 18%.&#10;6 to 10%: 0.&#10;11 to 20%: 0.&#10;21% and above: 3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4CA0AB17-62D3-0742-9667-23D2FA6E5B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C4EFB" w:rsidRPr="00E93807" w:rsidRDefault="009C4EFB" w:rsidP="00C70B19">
      <w:pPr>
        <w:pStyle w:val="Heading4"/>
      </w:pPr>
      <w:r w:rsidRPr="00E93807">
        <w:t>State-wide</w:t>
      </w:r>
    </w:p>
    <w:p w:rsidR="009C4EFB" w:rsidRPr="009A1C8E" w:rsidRDefault="009C4EFB" w:rsidP="00A14F68">
      <w:pPr>
        <w:spacing w:before="120" w:after="120" w:line="276" w:lineRule="auto"/>
      </w:pPr>
      <w:r w:rsidRPr="009A1C8E">
        <w:rPr>
          <w:noProof/>
          <w:lang w:eastAsia="en-AU"/>
        </w:rPr>
        <w:drawing>
          <wp:inline distT="0" distB="0" distL="0" distR="0">
            <wp:extent cx="5759450" cy="1905000"/>
            <wp:effectExtent l="0" t="0" r="0" b="0"/>
            <wp:docPr id="44" name="Chart 44" descr="Minus 21% and below: 0.&#10;Minus 11 to minus 20%: 0.&#10;Minus 6 to minus 10%: 0.&#10;Minus 1 to minus 5%: 0.&#10;0: 43%.&#10;1 to 5%: 14%.&#10;6 to 10%: 14%.&#10;11 to 20%: 0.&#10;21% and above: 2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E5F614BF-6561-8E42-8A9D-30D00B0D38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A1170" w:rsidRDefault="00EA1170" w:rsidP="00830706">
      <w:pPr>
        <w:pStyle w:val="Heading3"/>
      </w:pPr>
      <w:r>
        <w:t>Appendix 2H</w:t>
      </w:r>
    </w:p>
    <w:p w:rsidR="009C4EFB" w:rsidRPr="009A1C8E" w:rsidRDefault="005E0AE0" w:rsidP="00EA1170">
      <w:r w:rsidRPr="009A1C8E">
        <w:t>During</w:t>
      </w:r>
      <w:r w:rsidR="009C4EFB" w:rsidRPr="009A1C8E">
        <w:t xml:space="preserve"> this current financial year, do you expect that your organisation’s direct labour expenses will change? </w:t>
      </w:r>
      <w:proofErr w:type="gramStart"/>
      <w:r w:rsidR="009C4EFB" w:rsidRPr="009A1C8E">
        <w:t>Victorian analysis.</w:t>
      </w:r>
      <w:proofErr w:type="gramEnd"/>
    </w:p>
    <w:p w:rsidR="009C4EFB" w:rsidRPr="009A1C8E" w:rsidRDefault="009C4EFB" w:rsidP="00A14F68">
      <w:pPr>
        <w:spacing w:before="120" w:after="120" w:line="276" w:lineRule="auto"/>
      </w:pPr>
      <w:r w:rsidRPr="009A1C8E">
        <w:rPr>
          <w:noProof/>
          <w:lang w:eastAsia="en-AU"/>
        </w:rPr>
        <w:drawing>
          <wp:inline distT="0" distB="0" distL="0" distR="0">
            <wp:extent cx="5759450" cy="1958340"/>
            <wp:effectExtent l="0" t="0" r="0" b="3810"/>
            <wp:docPr id="26" name="Chart 26" descr="Costs will grow at a rate faster than growth in service volumes: 37%.&#10;Costs will keep pace with changes to service volumes: 41%.&#10;Costs will not grow as fast as growth in service volumes: 12%.&#10;Don't know: 1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D9D82F2A-D993-AE46-8261-DE32E77F78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922D1" w:rsidRDefault="00B922D1">
      <w:pPr>
        <w:spacing w:line="259" w:lineRule="auto"/>
        <w:rPr>
          <w:rFonts w:eastAsiaTheme="majorEastAsia" w:cs="Arial"/>
          <w:b/>
          <w:sz w:val="28"/>
        </w:rPr>
      </w:pPr>
      <w:r>
        <w:br w:type="page"/>
      </w:r>
    </w:p>
    <w:p w:rsidR="00EA1170" w:rsidRDefault="00EA1170" w:rsidP="00830706">
      <w:pPr>
        <w:pStyle w:val="Heading3"/>
      </w:pPr>
      <w:r>
        <w:lastRenderedPageBreak/>
        <w:t>Appendix 2I</w:t>
      </w:r>
    </w:p>
    <w:p w:rsidR="009C4EFB" w:rsidRPr="009A1C8E" w:rsidRDefault="009C4EFB" w:rsidP="00EA1170">
      <w:r w:rsidRPr="009A1C8E">
        <w:t xml:space="preserve">In this current financial year, do you expect that your organisation’s direct labour expenses will change? </w:t>
      </w:r>
      <w:proofErr w:type="gramStart"/>
      <w:r w:rsidRPr="009A1C8E">
        <w:t>Geographical group analysis.</w:t>
      </w:r>
      <w:proofErr w:type="gramEnd"/>
    </w:p>
    <w:p w:rsidR="009C4EFB" w:rsidRPr="009A1C8E" w:rsidRDefault="009C4EFB" w:rsidP="00A14F68">
      <w:pPr>
        <w:spacing w:before="120" w:after="120" w:line="276" w:lineRule="auto"/>
      </w:pPr>
      <w:r w:rsidRPr="009A1C8E">
        <w:rPr>
          <w:noProof/>
          <w:lang w:eastAsia="en-AU"/>
        </w:rPr>
        <w:drawing>
          <wp:inline distT="0" distB="0" distL="0" distR="0">
            <wp:extent cx="5937250" cy="2743200"/>
            <wp:effectExtent l="0" t="0" r="6350" b="0"/>
            <wp:docPr id="27" name="Chart 27" descr="Costs will grow at a rate faster than growth in service volumes - Metro 27%, Regional 54%, State-wide 30%.&#10;Costs will keep pace with changes to service volumes - Metro 45%, Regional 27%, State-wide 52%.&#10;Costs will not grow as fast as growth in service volumes - Metro 15%, Regional 12%, State-wide 9%.&#10;Don't know - Metro 12%, Regional 8%, State-wide 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54814AEF-FDA7-5444-B33D-43EE24E6C2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A1170" w:rsidRDefault="00EA1170" w:rsidP="00830706">
      <w:pPr>
        <w:pStyle w:val="Heading3"/>
      </w:pPr>
      <w:r>
        <w:t>Appendix 2J</w:t>
      </w:r>
    </w:p>
    <w:p w:rsidR="009C4EFB" w:rsidRPr="009A1C8E" w:rsidRDefault="009C4EFB" w:rsidP="00EA1170">
      <w:r w:rsidRPr="009A1C8E">
        <w:t xml:space="preserve">In this current financial year, do you expect that your organisation’s capital expenditure will change? </w:t>
      </w:r>
      <w:proofErr w:type="gramStart"/>
      <w:r w:rsidRPr="009A1C8E">
        <w:t>Geographical group analysis.</w:t>
      </w:r>
      <w:proofErr w:type="gramEnd"/>
    </w:p>
    <w:tbl>
      <w:tblPr>
        <w:tblStyle w:val="TableGrid"/>
        <w:tblW w:w="0" w:type="auto"/>
        <w:tblLook w:val="04A0"/>
      </w:tblPr>
      <w:tblGrid>
        <w:gridCol w:w="4833"/>
        <w:gridCol w:w="1095"/>
        <w:gridCol w:w="943"/>
        <w:gridCol w:w="1228"/>
        <w:gridCol w:w="1251"/>
      </w:tblGrid>
      <w:tr w:rsidR="009C4EFB" w:rsidRPr="009A1C8E" w:rsidTr="00880536">
        <w:trPr>
          <w:trHeight w:val="260"/>
          <w:tblHeader/>
        </w:trPr>
        <w:tc>
          <w:tcPr>
            <w:tcW w:w="4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97594"/>
            <w:noWrap/>
            <w:hideMark/>
          </w:tcPr>
          <w:p w:rsidR="009C4EFB" w:rsidRPr="00FE0D23" w:rsidRDefault="009C4EFB" w:rsidP="00A14F68">
            <w:pPr>
              <w:spacing w:before="120" w:after="120" w:line="276" w:lineRule="auto"/>
              <w:rPr>
                <w:b/>
                <w:color w:val="FFFFFF" w:themeColor="background1"/>
              </w:rPr>
            </w:pPr>
            <w:bookmarkStart w:id="68" w:name="ColumnTitle_4"/>
            <w:r w:rsidRPr="00FE0D23">
              <w:rPr>
                <w:b/>
                <w:color w:val="FFFFFF" w:themeColor="background1"/>
              </w:rPr>
              <w:t>Criteria</w:t>
            </w:r>
          </w:p>
        </w:tc>
        <w:tc>
          <w:tcPr>
            <w:tcW w:w="1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97594"/>
            <w:noWrap/>
            <w:hideMark/>
          </w:tcPr>
          <w:p w:rsidR="009C4EFB" w:rsidRPr="00FE0D23" w:rsidRDefault="009C4EFB" w:rsidP="00A14F68">
            <w:pPr>
              <w:spacing w:before="120" w:after="120" w:line="276" w:lineRule="auto"/>
              <w:rPr>
                <w:b/>
                <w:color w:val="FFFFFF" w:themeColor="background1"/>
              </w:rPr>
            </w:pPr>
            <w:r w:rsidRPr="00FE0D23">
              <w:rPr>
                <w:b/>
                <w:color w:val="FFFFFF" w:themeColor="background1"/>
              </w:rPr>
              <w:t>Victoria</w:t>
            </w:r>
          </w:p>
        </w:tc>
        <w:tc>
          <w:tcPr>
            <w:tcW w:w="9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97594"/>
            <w:noWrap/>
            <w:hideMark/>
          </w:tcPr>
          <w:p w:rsidR="009C4EFB" w:rsidRPr="00FE0D23" w:rsidRDefault="009C4EFB" w:rsidP="00A14F68">
            <w:pPr>
              <w:spacing w:before="120" w:after="120" w:line="276" w:lineRule="auto"/>
              <w:rPr>
                <w:b/>
                <w:color w:val="FFFFFF" w:themeColor="background1"/>
              </w:rPr>
            </w:pPr>
            <w:r w:rsidRPr="00FE0D23">
              <w:rPr>
                <w:b/>
                <w:color w:val="FFFFFF" w:themeColor="background1"/>
              </w:rPr>
              <w:t>Metro</w:t>
            </w:r>
          </w:p>
        </w:tc>
        <w:tc>
          <w:tcPr>
            <w:tcW w:w="1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97594"/>
            <w:noWrap/>
            <w:hideMark/>
          </w:tcPr>
          <w:p w:rsidR="009C4EFB" w:rsidRPr="00FE0D23" w:rsidRDefault="009C4EFB" w:rsidP="00A14F68">
            <w:pPr>
              <w:spacing w:before="120" w:after="120" w:line="276" w:lineRule="auto"/>
              <w:rPr>
                <w:b/>
                <w:color w:val="FFFFFF" w:themeColor="background1"/>
              </w:rPr>
            </w:pPr>
            <w:r w:rsidRPr="00FE0D23">
              <w:rPr>
                <w:b/>
                <w:color w:val="FFFFFF" w:themeColor="background1"/>
              </w:rPr>
              <w:t>Regional</w:t>
            </w:r>
          </w:p>
        </w:tc>
        <w:tc>
          <w:tcPr>
            <w:tcW w:w="12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97594"/>
            <w:noWrap/>
            <w:hideMark/>
          </w:tcPr>
          <w:p w:rsidR="009C4EFB" w:rsidRPr="00FE0D23" w:rsidRDefault="009C4EFB" w:rsidP="00A14F68">
            <w:pPr>
              <w:spacing w:before="120" w:after="120" w:line="276" w:lineRule="auto"/>
              <w:rPr>
                <w:b/>
                <w:color w:val="FFFFFF" w:themeColor="background1"/>
              </w:rPr>
            </w:pPr>
            <w:r w:rsidRPr="00FE0D23">
              <w:rPr>
                <w:b/>
                <w:color w:val="FFFFFF" w:themeColor="background1"/>
              </w:rPr>
              <w:t>State-wide</w:t>
            </w:r>
          </w:p>
        </w:tc>
      </w:tr>
      <w:bookmarkEnd w:id="68"/>
      <w:tr w:rsidR="009C4EFB" w:rsidRPr="009A1C8E" w:rsidTr="00880536">
        <w:trPr>
          <w:trHeight w:val="260"/>
        </w:trPr>
        <w:tc>
          <w:tcPr>
            <w:tcW w:w="4833" w:type="dxa"/>
            <w:tcBorders>
              <w:top w:val="single" w:sz="4" w:space="0" w:color="FFFFFF" w:themeColor="background1"/>
            </w:tcBorders>
            <w:noWrap/>
            <w:hideMark/>
          </w:tcPr>
          <w:p w:rsidR="009C4EFB" w:rsidRPr="009A1C8E" w:rsidRDefault="009C4EFB" w:rsidP="00A14F68">
            <w:pPr>
              <w:spacing w:before="120" w:after="120" w:line="276" w:lineRule="auto"/>
            </w:pPr>
            <w:r w:rsidRPr="009A1C8E">
              <w:t>Costs will grow at a rate faster than growth in service volumes</w:t>
            </w:r>
          </w:p>
        </w:tc>
        <w:tc>
          <w:tcPr>
            <w:tcW w:w="1095" w:type="dxa"/>
            <w:tcBorders>
              <w:top w:val="single" w:sz="4" w:space="0" w:color="FFFFFF" w:themeColor="background1"/>
            </w:tcBorders>
            <w:noWrap/>
            <w:hideMark/>
          </w:tcPr>
          <w:p w:rsidR="009C4EFB" w:rsidRPr="009A1C8E" w:rsidRDefault="009C4EFB" w:rsidP="00A14F68">
            <w:pPr>
              <w:spacing w:before="120" w:after="120" w:line="276" w:lineRule="auto"/>
            </w:pPr>
            <w:r w:rsidRPr="009A1C8E">
              <w:t>21%</w:t>
            </w:r>
          </w:p>
        </w:tc>
        <w:tc>
          <w:tcPr>
            <w:tcW w:w="943" w:type="dxa"/>
            <w:tcBorders>
              <w:top w:val="single" w:sz="4" w:space="0" w:color="FFFFFF" w:themeColor="background1"/>
            </w:tcBorders>
            <w:noWrap/>
            <w:hideMark/>
          </w:tcPr>
          <w:p w:rsidR="009C4EFB" w:rsidRPr="009A1C8E" w:rsidRDefault="009C4EFB" w:rsidP="00A14F68">
            <w:pPr>
              <w:spacing w:before="120" w:after="120" w:line="276" w:lineRule="auto"/>
            </w:pPr>
            <w:r w:rsidRPr="009A1C8E">
              <w:t>19%</w:t>
            </w:r>
          </w:p>
        </w:tc>
        <w:tc>
          <w:tcPr>
            <w:tcW w:w="1228" w:type="dxa"/>
            <w:tcBorders>
              <w:top w:val="single" w:sz="4" w:space="0" w:color="FFFFFF" w:themeColor="background1"/>
            </w:tcBorders>
            <w:noWrap/>
            <w:hideMark/>
          </w:tcPr>
          <w:p w:rsidR="009C4EFB" w:rsidRPr="009A1C8E" w:rsidRDefault="009C4EFB" w:rsidP="00A14F68">
            <w:pPr>
              <w:spacing w:before="120" w:after="120" w:line="276" w:lineRule="auto"/>
            </w:pPr>
            <w:r w:rsidRPr="009A1C8E">
              <w:t>24%</w:t>
            </w:r>
          </w:p>
        </w:tc>
        <w:tc>
          <w:tcPr>
            <w:tcW w:w="1251" w:type="dxa"/>
            <w:tcBorders>
              <w:top w:val="single" w:sz="4" w:space="0" w:color="FFFFFF" w:themeColor="background1"/>
            </w:tcBorders>
            <w:noWrap/>
            <w:hideMark/>
          </w:tcPr>
          <w:p w:rsidR="009C4EFB" w:rsidRPr="009A1C8E" w:rsidRDefault="009C4EFB" w:rsidP="00A14F68">
            <w:pPr>
              <w:spacing w:before="120" w:after="120" w:line="276" w:lineRule="auto"/>
            </w:pPr>
            <w:r w:rsidRPr="009A1C8E">
              <w:t>22%</w:t>
            </w:r>
          </w:p>
        </w:tc>
      </w:tr>
      <w:tr w:rsidR="009C4EFB" w:rsidRPr="009A1C8E" w:rsidTr="00AD536F">
        <w:trPr>
          <w:trHeight w:val="260"/>
        </w:trPr>
        <w:tc>
          <w:tcPr>
            <w:tcW w:w="4833" w:type="dxa"/>
            <w:noWrap/>
            <w:hideMark/>
          </w:tcPr>
          <w:p w:rsidR="009C4EFB" w:rsidRPr="009A1C8E" w:rsidRDefault="009C4EFB" w:rsidP="00A14F68">
            <w:pPr>
              <w:spacing w:before="120" w:after="120" w:line="276" w:lineRule="auto"/>
            </w:pPr>
            <w:r w:rsidRPr="009A1C8E">
              <w:t>Costs will keep pace with changes to service volumes</w:t>
            </w:r>
          </w:p>
        </w:tc>
        <w:tc>
          <w:tcPr>
            <w:tcW w:w="1095" w:type="dxa"/>
            <w:noWrap/>
            <w:hideMark/>
          </w:tcPr>
          <w:p w:rsidR="009C4EFB" w:rsidRPr="009A1C8E" w:rsidRDefault="009C4EFB" w:rsidP="00A14F68">
            <w:pPr>
              <w:spacing w:before="120" w:after="120" w:line="276" w:lineRule="auto"/>
            </w:pPr>
            <w:r w:rsidRPr="009A1C8E">
              <w:t>38%</w:t>
            </w:r>
          </w:p>
        </w:tc>
        <w:tc>
          <w:tcPr>
            <w:tcW w:w="943" w:type="dxa"/>
            <w:noWrap/>
            <w:hideMark/>
          </w:tcPr>
          <w:p w:rsidR="009C4EFB" w:rsidRPr="009A1C8E" w:rsidRDefault="009C4EFB" w:rsidP="00A14F68">
            <w:pPr>
              <w:spacing w:before="120" w:after="120" w:line="276" w:lineRule="auto"/>
            </w:pPr>
            <w:r w:rsidRPr="009A1C8E">
              <w:t>38%</w:t>
            </w:r>
          </w:p>
        </w:tc>
        <w:tc>
          <w:tcPr>
            <w:tcW w:w="1228" w:type="dxa"/>
            <w:noWrap/>
            <w:hideMark/>
          </w:tcPr>
          <w:p w:rsidR="009C4EFB" w:rsidRPr="009A1C8E" w:rsidRDefault="009C4EFB" w:rsidP="00A14F68">
            <w:pPr>
              <w:spacing w:before="120" w:after="120" w:line="276" w:lineRule="auto"/>
            </w:pPr>
            <w:r w:rsidRPr="009A1C8E">
              <w:t>44%</w:t>
            </w:r>
          </w:p>
        </w:tc>
        <w:tc>
          <w:tcPr>
            <w:tcW w:w="1251" w:type="dxa"/>
            <w:noWrap/>
            <w:hideMark/>
          </w:tcPr>
          <w:p w:rsidR="009C4EFB" w:rsidRPr="009A1C8E" w:rsidRDefault="009C4EFB" w:rsidP="00A14F68">
            <w:pPr>
              <w:spacing w:before="120" w:after="120" w:line="276" w:lineRule="auto"/>
            </w:pPr>
            <w:r w:rsidRPr="009A1C8E">
              <w:t>30%</w:t>
            </w:r>
          </w:p>
        </w:tc>
      </w:tr>
      <w:tr w:rsidR="009C4EFB" w:rsidRPr="009A1C8E" w:rsidTr="00AD536F">
        <w:trPr>
          <w:trHeight w:val="260"/>
        </w:trPr>
        <w:tc>
          <w:tcPr>
            <w:tcW w:w="4833" w:type="dxa"/>
            <w:noWrap/>
            <w:hideMark/>
          </w:tcPr>
          <w:p w:rsidR="009C4EFB" w:rsidRPr="009A1C8E" w:rsidRDefault="009C4EFB" w:rsidP="00A14F68">
            <w:pPr>
              <w:spacing w:before="120" w:after="120" w:line="276" w:lineRule="auto"/>
            </w:pPr>
            <w:r w:rsidRPr="009A1C8E">
              <w:t>Costs will not grow as fast as growth in service volumes</w:t>
            </w:r>
          </w:p>
        </w:tc>
        <w:tc>
          <w:tcPr>
            <w:tcW w:w="1095" w:type="dxa"/>
            <w:noWrap/>
            <w:hideMark/>
          </w:tcPr>
          <w:p w:rsidR="009C4EFB" w:rsidRPr="009A1C8E" w:rsidRDefault="009C4EFB" w:rsidP="00A14F68">
            <w:pPr>
              <w:spacing w:before="120" w:after="120" w:line="276" w:lineRule="auto"/>
            </w:pPr>
            <w:r w:rsidRPr="009A1C8E">
              <w:t>14%</w:t>
            </w:r>
          </w:p>
        </w:tc>
        <w:tc>
          <w:tcPr>
            <w:tcW w:w="943" w:type="dxa"/>
            <w:noWrap/>
            <w:hideMark/>
          </w:tcPr>
          <w:p w:rsidR="009C4EFB" w:rsidRPr="009A1C8E" w:rsidRDefault="009C4EFB" w:rsidP="00A14F68">
            <w:pPr>
              <w:spacing w:before="120" w:after="120" w:line="276" w:lineRule="auto"/>
            </w:pPr>
            <w:r w:rsidRPr="009A1C8E">
              <w:t>9%</w:t>
            </w:r>
          </w:p>
        </w:tc>
        <w:tc>
          <w:tcPr>
            <w:tcW w:w="1228" w:type="dxa"/>
            <w:noWrap/>
            <w:hideMark/>
          </w:tcPr>
          <w:p w:rsidR="009C4EFB" w:rsidRPr="009A1C8E" w:rsidRDefault="009C4EFB" w:rsidP="00A14F68">
            <w:pPr>
              <w:spacing w:before="120" w:after="120" w:line="276" w:lineRule="auto"/>
            </w:pPr>
            <w:r w:rsidRPr="009A1C8E">
              <w:t>12%</w:t>
            </w:r>
          </w:p>
        </w:tc>
        <w:tc>
          <w:tcPr>
            <w:tcW w:w="1251" w:type="dxa"/>
            <w:noWrap/>
            <w:hideMark/>
          </w:tcPr>
          <w:p w:rsidR="009C4EFB" w:rsidRPr="009A1C8E" w:rsidRDefault="009C4EFB" w:rsidP="00A14F68">
            <w:pPr>
              <w:spacing w:before="120" w:after="120" w:line="276" w:lineRule="auto"/>
            </w:pPr>
            <w:r w:rsidRPr="009A1C8E">
              <w:t>22%</w:t>
            </w:r>
          </w:p>
        </w:tc>
      </w:tr>
      <w:tr w:rsidR="009C4EFB" w:rsidRPr="009A1C8E" w:rsidTr="00AD536F">
        <w:trPr>
          <w:trHeight w:val="260"/>
        </w:trPr>
        <w:tc>
          <w:tcPr>
            <w:tcW w:w="4833" w:type="dxa"/>
            <w:noWrap/>
            <w:hideMark/>
          </w:tcPr>
          <w:p w:rsidR="009C4EFB" w:rsidRPr="009A1C8E" w:rsidRDefault="009C4EFB" w:rsidP="00A14F68">
            <w:pPr>
              <w:spacing w:before="120" w:after="120" w:line="276" w:lineRule="auto"/>
            </w:pPr>
            <w:r w:rsidRPr="009A1C8E">
              <w:t>Don't know</w:t>
            </w:r>
          </w:p>
        </w:tc>
        <w:tc>
          <w:tcPr>
            <w:tcW w:w="1095" w:type="dxa"/>
            <w:noWrap/>
            <w:hideMark/>
          </w:tcPr>
          <w:p w:rsidR="009C4EFB" w:rsidRPr="009A1C8E" w:rsidRDefault="009C4EFB" w:rsidP="00A14F68">
            <w:pPr>
              <w:spacing w:before="120" w:after="120" w:line="276" w:lineRule="auto"/>
            </w:pPr>
            <w:r w:rsidRPr="009A1C8E">
              <w:t>27%</w:t>
            </w:r>
          </w:p>
        </w:tc>
        <w:tc>
          <w:tcPr>
            <w:tcW w:w="943" w:type="dxa"/>
            <w:noWrap/>
            <w:hideMark/>
          </w:tcPr>
          <w:p w:rsidR="009C4EFB" w:rsidRPr="009A1C8E" w:rsidRDefault="009C4EFB" w:rsidP="00A14F68">
            <w:pPr>
              <w:spacing w:before="120" w:after="120" w:line="276" w:lineRule="auto"/>
            </w:pPr>
            <w:r w:rsidRPr="009A1C8E">
              <w:t>34%</w:t>
            </w:r>
          </w:p>
        </w:tc>
        <w:tc>
          <w:tcPr>
            <w:tcW w:w="1228" w:type="dxa"/>
            <w:noWrap/>
            <w:hideMark/>
          </w:tcPr>
          <w:p w:rsidR="009C4EFB" w:rsidRPr="009A1C8E" w:rsidRDefault="009C4EFB" w:rsidP="00A14F68">
            <w:pPr>
              <w:spacing w:before="120" w:after="120" w:line="276" w:lineRule="auto"/>
            </w:pPr>
            <w:r w:rsidRPr="009A1C8E">
              <w:t>20%</w:t>
            </w:r>
          </w:p>
        </w:tc>
        <w:tc>
          <w:tcPr>
            <w:tcW w:w="1251" w:type="dxa"/>
            <w:noWrap/>
            <w:hideMark/>
          </w:tcPr>
          <w:p w:rsidR="009C4EFB" w:rsidRPr="009A1C8E" w:rsidRDefault="009C4EFB" w:rsidP="00A14F68">
            <w:pPr>
              <w:spacing w:before="120" w:after="120" w:line="276" w:lineRule="auto"/>
            </w:pPr>
            <w:r w:rsidRPr="009A1C8E">
              <w:t>26%</w:t>
            </w:r>
          </w:p>
        </w:tc>
      </w:tr>
    </w:tbl>
    <w:p w:rsidR="008A1E62" w:rsidRDefault="008A1E62" w:rsidP="00830706">
      <w:pPr>
        <w:pStyle w:val="Heading3"/>
      </w:pPr>
    </w:p>
    <w:p w:rsidR="008A1E62" w:rsidRDefault="008A1E62">
      <w:pPr>
        <w:spacing w:line="259" w:lineRule="auto"/>
        <w:rPr>
          <w:rFonts w:eastAsiaTheme="majorEastAsia" w:cs="Arial"/>
          <w:b/>
          <w:sz w:val="28"/>
        </w:rPr>
      </w:pPr>
      <w:r>
        <w:br w:type="page"/>
      </w:r>
    </w:p>
    <w:p w:rsidR="00AB399E" w:rsidRDefault="00AB399E" w:rsidP="00830706">
      <w:pPr>
        <w:pStyle w:val="Heading3"/>
      </w:pPr>
      <w:r>
        <w:lastRenderedPageBreak/>
        <w:t>Appendix 2K</w:t>
      </w:r>
    </w:p>
    <w:p w:rsidR="009C4EFB" w:rsidRPr="009A1C8E" w:rsidRDefault="009C4EFB" w:rsidP="00AB399E">
      <w:r w:rsidRPr="009A1C8E">
        <w:t xml:space="preserve">In this current financial year, do you expect that your organisation’s administration expenses will change? </w:t>
      </w:r>
      <w:proofErr w:type="gramStart"/>
      <w:r w:rsidRPr="009A1C8E">
        <w:t>Victorian analysis.</w:t>
      </w:r>
      <w:proofErr w:type="gramEnd"/>
    </w:p>
    <w:p w:rsidR="00621372" w:rsidRDefault="009C4EFB" w:rsidP="00A14F68">
      <w:pPr>
        <w:spacing w:before="120" w:after="120" w:line="276" w:lineRule="auto"/>
      </w:pPr>
      <w:r w:rsidRPr="009A1C8E">
        <w:rPr>
          <w:noProof/>
          <w:lang w:eastAsia="en-AU"/>
        </w:rPr>
        <w:drawing>
          <wp:inline distT="0" distB="0" distL="0" distR="0">
            <wp:extent cx="5867400" cy="2711450"/>
            <wp:effectExtent l="0" t="0" r="0" b="0"/>
            <wp:docPr id="11" name="Chart 11" descr="Costs will grow at a rate faster than growth in service volumes: 52%.&#10;Costs will keep pace with changes to service volumes: 27%.&#10;Costs will not grow as fast as growth in service volumes: 16%.&#10;Don't know: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E8FAC96E-7275-7D4A-8700-B5B2AF78A4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B399E" w:rsidRDefault="00AB399E" w:rsidP="00830706">
      <w:pPr>
        <w:pStyle w:val="Heading3"/>
      </w:pPr>
      <w:r>
        <w:t>Appendix 2L</w:t>
      </w:r>
    </w:p>
    <w:p w:rsidR="009C4EFB" w:rsidRPr="009A1C8E" w:rsidRDefault="009C4EFB" w:rsidP="00AB399E">
      <w:r w:rsidRPr="009A1C8E">
        <w:t xml:space="preserve">In this current financial year, do you expect that your organisation’s administration expenses will change? </w:t>
      </w:r>
      <w:proofErr w:type="gramStart"/>
      <w:r w:rsidRPr="009A1C8E">
        <w:t>Geographical group analysis.</w:t>
      </w:r>
      <w:proofErr w:type="gramEnd"/>
    </w:p>
    <w:p w:rsidR="009C4EFB" w:rsidRPr="009A1C8E" w:rsidRDefault="009C4EFB" w:rsidP="00A14F68">
      <w:pPr>
        <w:spacing w:before="120" w:after="120" w:line="276" w:lineRule="auto"/>
      </w:pPr>
      <w:r w:rsidRPr="009A1C8E">
        <w:rPr>
          <w:noProof/>
          <w:lang w:eastAsia="en-AU"/>
        </w:rPr>
        <w:drawing>
          <wp:inline distT="0" distB="0" distL="0" distR="0">
            <wp:extent cx="5867400" cy="3022600"/>
            <wp:effectExtent l="0" t="0" r="0" b="6350"/>
            <wp:docPr id="12" name="Chart 12" descr="Costs will grow at a rate faster than growth in service volumes - Metro 55%, Regional 65%, State-wide 35%.&#10;Costs will keep pace with changes to service volumes - Metro 30%, Regional 23%, State-wide 22%.&#10;Costs will not grow as fast as growth in service volumes - Metro 6%, Regional 8%, State-wide 39%.&#10;Don't know - Metro 9%, Regional 4%, State-wide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123395C0-0B7E-7E42-9143-9FBDB890C0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A1E62" w:rsidRDefault="008A1E62">
      <w:pPr>
        <w:spacing w:line="259" w:lineRule="auto"/>
        <w:rPr>
          <w:rFonts w:eastAsiaTheme="majorEastAsia" w:cs="Arial"/>
          <w:b/>
          <w:sz w:val="28"/>
        </w:rPr>
      </w:pPr>
      <w:r>
        <w:br w:type="page"/>
      </w:r>
    </w:p>
    <w:p w:rsidR="00AB399E" w:rsidRDefault="00AB399E" w:rsidP="00830706">
      <w:pPr>
        <w:pStyle w:val="Heading3"/>
      </w:pPr>
      <w:r>
        <w:lastRenderedPageBreak/>
        <w:t>Appendix 2M</w:t>
      </w:r>
    </w:p>
    <w:p w:rsidR="009C4EFB" w:rsidRPr="009A1C8E" w:rsidRDefault="009C4EFB" w:rsidP="00AB399E">
      <w:r w:rsidRPr="009A1C8E">
        <w:t xml:space="preserve">Improving costing and pricing in the next 12 months. </w:t>
      </w:r>
      <w:proofErr w:type="gramStart"/>
      <w:r w:rsidRPr="009A1C8E">
        <w:t>Geographical group analysis.</w:t>
      </w:r>
      <w:proofErr w:type="gramEnd"/>
    </w:p>
    <w:p w:rsidR="009C4EFB" w:rsidRPr="009A1C8E" w:rsidRDefault="009C4EFB" w:rsidP="00A14F68">
      <w:pPr>
        <w:spacing w:before="120" w:after="120" w:line="276" w:lineRule="auto"/>
      </w:pPr>
      <w:r w:rsidRPr="009A1C8E">
        <w:rPr>
          <w:noProof/>
          <w:lang w:eastAsia="en-AU"/>
        </w:rPr>
        <w:drawing>
          <wp:inline distT="0" distB="0" distL="0" distR="0">
            <wp:extent cx="5746750" cy="2743200"/>
            <wp:effectExtent l="0" t="0" r="6350" b="0"/>
            <wp:docPr id="13" name="Chart 13" descr="State-wide - 1st ranked 70%, 2nd ranked 20%, 3rd ranked 10%, 4th and 5th ranked 0.&#10;Regional - 1st ranked 53%, 2nd ranked 26%, 3rd ranked 5%, 4th ranked 16%, 5th ranked 0.&#10;Metro - 1st ranked 30%, 2nd ranked 10%, 3rd ranked 10%, 4th ranked 20%, 5th ranked 3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4588247B-D05A-BE49-9445-9F46EFFBE6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B399E" w:rsidRDefault="00AB399E" w:rsidP="00830706">
      <w:pPr>
        <w:pStyle w:val="Heading3"/>
      </w:pPr>
      <w:r>
        <w:t>Appendix 2N</w:t>
      </w:r>
    </w:p>
    <w:p w:rsidR="009C4EFB" w:rsidRPr="009A1C8E" w:rsidRDefault="009C4EFB" w:rsidP="00AB399E">
      <w:r w:rsidRPr="009A1C8E">
        <w:t xml:space="preserve">Improving financial processes and controls in the next 12 months. </w:t>
      </w:r>
      <w:proofErr w:type="gramStart"/>
      <w:r w:rsidRPr="009A1C8E">
        <w:t>Geographical group analysis.</w:t>
      </w:r>
      <w:proofErr w:type="gramEnd"/>
    </w:p>
    <w:p w:rsidR="009C4EFB" w:rsidRPr="009A1C8E" w:rsidRDefault="009C4EFB" w:rsidP="00A14F68">
      <w:pPr>
        <w:spacing w:before="120" w:after="120" w:line="276" w:lineRule="auto"/>
        <w:sectPr w:rsidR="009C4EFB" w:rsidRPr="009A1C8E" w:rsidSect="00AC237C">
          <w:pgSz w:w="12240" w:h="15840"/>
          <w:pgMar w:top="1440" w:right="1440" w:bottom="1440" w:left="1440" w:header="720" w:footer="720" w:gutter="0"/>
          <w:cols w:space="720"/>
          <w:docGrid w:linePitch="360"/>
        </w:sectPr>
      </w:pPr>
      <w:r w:rsidRPr="009A1C8E">
        <w:rPr>
          <w:noProof/>
          <w:lang w:eastAsia="en-AU"/>
        </w:rPr>
        <w:drawing>
          <wp:inline distT="0" distB="0" distL="0" distR="0">
            <wp:extent cx="5880100" cy="2743200"/>
            <wp:effectExtent l="0" t="0" r="6350" b="0"/>
            <wp:docPr id="14" name="Chart 14" descr="State-wide - 1st ranked 17%, 2nd ranked 25%, 3rd and 4th ranked 8%, 5th ranked 42%.&#10;Regional - 1st ranked 21%, 2nd ranked 43%, 3rd ranked 29%, 4th ranked 0, 5th ranked 7%.&#10;Metro - 1st ranked 10%, 2nd ranked 20%, 3rd ranked 30%, 4th ranked 20%, 5th ranked 2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43BCDD10-1D8B-6A48-9443-EDAD44B025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C4EFB" w:rsidRPr="009A1C8E" w:rsidRDefault="009C4EFB" w:rsidP="00830706">
      <w:pPr>
        <w:pStyle w:val="Heading2"/>
      </w:pPr>
      <w:bookmarkStart w:id="69" w:name="_Toc5290123"/>
      <w:bookmarkStart w:id="70" w:name="_Toc5308612"/>
      <w:bookmarkStart w:id="71" w:name="_Toc5860522"/>
      <w:bookmarkStart w:id="72" w:name="_Toc5860562"/>
      <w:bookmarkStart w:id="73" w:name="_Toc7614965"/>
      <w:r w:rsidRPr="009A1C8E">
        <w:lastRenderedPageBreak/>
        <w:t>Appendix 3: Disability workforce challenges</w:t>
      </w:r>
      <w:bookmarkEnd w:id="69"/>
      <w:bookmarkEnd w:id="70"/>
      <w:bookmarkEnd w:id="71"/>
      <w:bookmarkEnd w:id="72"/>
      <w:bookmarkEnd w:id="73"/>
    </w:p>
    <w:p w:rsidR="00AB399E" w:rsidRDefault="00AB399E" w:rsidP="00830706">
      <w:pPr>
        <w:pStyle w:val="Heading3"/>
      </w:pPr>
      <w:r>
        <w:t>Appendix 3A</w:t>
      </w:r>
    </w:p>
    <w:p w:rsidR="009C4EFB" w:rsidRPr="009A1C8E" w:rsidRDefault="009C4EFB" w:rsidP="00AB399E">
      <w:r w:rsidRPr="009A1C8E">
        <w:t xml:space="preserve">Forms of employment in the disability </w:t>
      </w:r>
      <w:r w:rsidR="00DE70E4" w:rsidRPr="009A1C8E">
        <w:t xml:space="preserve">support </w:t>
      </w:r>
      <w:r w:rsidRPr="009A1C8E">
        <w:t>workforce.</w:t>
      </w:r>
    </w:p>
    <w:p w:rsidR="009C4EFB" w:rsidRPr="00AD536F" w:rsidRDefault="009C4EFB" w:rsidP="00C70B19">
      <w:pPr>
        <w:pStyle w:val="Heading4"/>
      </w:pPr>
      <w:r w:rsidRPr="00AD536F">
        <w:t>Victori</w:t>
      </w:r>
      <w:r w:rsidR="00C37E56" w:rsidRPr="00AD536F">
        <w:t>a</w:t>
      </w:r>
    </w:p>
    <w:p w:rsidR="009C4EFB" w:rsidRPr="009A1C8E" w:rsidRDefault="000547AE" w:rsidP="00A14F68">
      <w:pPr>
        <w:spacing w:before="120" w:after="120" w:line="276" w:lineRule="auto"/>
      </w:pPr>
      <w:r w:rsidRPr="009A1C8E">
        <w:rPr>
          <w:noProof/>
          <w:lang w:eastAsia="en-AU"/>
        </w:rPr>
        <w:drawing>
          <wp:inline distT="0" distB="0" distL="0" distR="0">
            <wp:extent cx="5708650" cy="2819400"/>
            <wp:effectExtent l="0" t="0" r="6350" b="0"/>
            <wp:docPr id="38" name="Chart 38" descr="Line graph shows quarterly intervals starting in June 2015 and ending in December 2018.&#10;Permanent staff starts at around 52%, drops very slightly in the first quarter then rises to around 55% by June 2016, then gradually trends down to a low of around 43% in September 2018, and finally rises again to about 52% in December 2018.&#10;Fixed staff starts at around 6% then drops sharply to around 1% in September 2015, then increases and hovers between about 5% and 8% until September 2017 when it rises sharply to 11% and then 13% in March 2018, falling back to about 5% in December 2018.&#10;Casual staff starts at about 42% and rises sharply to about 47% in September 2015, then drops sharply to about 39% in March 2016, rising to 45% in September 2016 and hovering at around 42% until June 2018 where it jumps to about 47% before gradually dipping to about 44% in December 201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6CC05FB2-C5DC-F64D-9C75-8D92A866BE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C4EFB" w:rsidRPr="00AD536F" w:rsidRDefault="0053116C" w:rsidP="00C70B19">
      <w:pPr>
        <w:pStyle w:val="Heading4"/>
      </w:pPr>
      <w:r w:rsidRPr="00AD536F">
        <w:t>National</w:t>
      </w:r>
    </w:p>
    <w:p w:rsidR="009C4EFB" w:rsidRPr="009A1C8E" w:rsidRDefault="00DE70E4" w:rsidP="00A14F68">
      <w:pPr>
        <w:spacing w:before="120" w:after="120" w:line="276" w:lineRule="auto"/>
      </w:pPr>
      <w:r w:rsidRPr="009A1C8E">
        <w:rPr>
          <w:noProof/>
          <w:lang w:eastAsia="en-AU"/>
        </w:rPr>
        <w:drawing>
          <wp:inline distT="0" distB="0" distL="0" distR="0">
            <wp:extent cx="5708650" cy="3003550"/>
            <wp:effectExtent l="0" t="0" r="6350" b="6350"/>
            <wp:docPr id="39" name="Chart 39" descr="Line graph shows quarterly intervals starting in June 2015 and ending in December 2018.&#10;Permanent staff starts at around 53% and hovers between 53 and 55% through until December 2016 when it gradually drops to a low of 49% in December 2017, and in December 2018 rises again slightly to finish at around 52%.&#10;Fixed staff starts at about 6%, drops to about 4% in September 2015 and then rises again to about 6% in December 2015, then hovers between about 5 and 7% until peaking at 9% in March 2018, and dropping again to a low of about 3% in December 2018.&#10;Casual staff starts at 41% and hovers between 39% and 41% until increasing in March 2017, reaching 45% in December 2017, dipping slightly and then rising again to a high of 48% in September 2018 and dropping slightly to finish at 45% in December 201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3BCE57EC-0C78-724D-9494-84D5180D69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E06F7" w:rsidRDefault="002E06F7">
      <w:pPr>
        <w:spacing w:line="259" w:lineRule="auto"/>
        <w:rPr>
          <w:rFonts w:eastAsiaTheme="majorEastAsia" w:cs="Arial"/>
          <w:b/>
          <w:sz w:val="28"/>
        </w:rPr>
      </w:pPr>
      <w:r>
        <w:br w:type="page"/>
      </w:r>
    </w:p>
    <w:p w:rsidR="00AB399E" w:rsidRDefault="00AB399E" w:rsidP="00830706">
      <w:pPr>
        <w:pStyle w:val="Heading3"/>
      </w:pPr>
      <w:r>
        <w:lastRenderedPageBreak/>
        <w:t>Appendix 3B</w:t>
      </w:r>
    </w:p>
    <w:p w:rsidR="009C4EFB" w:rsidRPr="009A1C8E" w:rsidRDefault="009C4EFB" w:rsidP="00AB399E">
      <w:r w:rsidRPr="009A1C8E">
        <w:t xml:space="preserve">Quarterly turnover rates by form of employment. </w:t>
      </w:r>
      <w:proofErr w:type="gramStart"/>
      <w:r w:rsidRPr="009A1C8E">
        <w:t>Victoria</w:t>
      </w:r>
      <w:r w:rsidR="00C37E56" w:rsidRPr="009A1C8E">
        <w:t>n</w:t>
      </w:r>
      <w:r w:rsidRPr="009A1C8E">
        <w:t xml:space="preserve"> and national analysis.</w:t>
      </w:r>
      <w:proofErr w:type="gramEnd"/>
    </w:p>
    <w:p w:rsidR="009C4EFB" w:rsidRPr="009A1C8E" w:rsidRDefault="00065C96" w:rsidP="00A14F68">
      <w:pPr>
        <w:spacing w:before="120" w:after="120" w:line="276" w:lineRule="auto"/>
      </w:pPr>
      <w:r w:rsidRPr="009A1C8E">
        <w:rPr>
          <w:noProof/>
          <w:lang w:eastAsia="en-AU"/>
        </w:rPr>
        <w:drawing>
          <wp:inline distT="0" distB="0" distL="0" distR="0">
            <wp:extent cx="5391150" cy="3200400"/>
            <wp:effectExtent l="0" t="0" r="0" b="0"/>
            <wp:docPr id="40" name="Chart 40" descr="Line graph shows quarterly intervals starting in June 2015 and ending in December 2018.&#10;Permanent staff National starts at 4% and hovers between 4 and 5% until dropping to just under 4% in September 2018, and rising again to just under 4.5% in December 2018.&#10;Permanent staff Victoria starts at about 2% and rises to just under 4% in December 2015, then declines slowly to just over 2% in December 2016, before rising again to reach 6% in March 2018, then dropping to just over 4% and finishing at around 4.5% in December 2018.&#10;Casual staff National starts at 6% and increases sharply to about 9.5% in June 2016, before dropping and hovering at around 8% until September 2017 when it drops further to about 7%, and further declines to 6% in June 2018 before finishing at about 7.5% in December 2018.&#10;Casual staff Victoria is quite volatile compared with other data - starts at about 4.5% and drops slightly in March 2016 before rising sharply to over 14% in June 2016, then dropping to 8% and hovering between about 8.5% and 6.5%, then droping sharply to just under 5% in December 2017, rising sharply again in September 2018 to about 9.5% and finishing in December 2018 at about 4.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82159804-7C62-E74E-9206-CAAF1016FA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55CE0" w:rsidRDefault="00355CE0" w:rsidP="00830706">
      <w:pPr>
        <w:pStyle w:val="Heading3"/>
      </w:pPr>
      <w:r>
        <w:t>Appendix 3C</w:t>
      </w:r>
    </w:p>
    <w:p w:rsidR="009C4EFB" w:rsidRPr="009A1C8E" w:rsidRDefault="009C4EFB" w:rsidP="00355CE0">
      <w:proofErr w:type="gramStart"/>
      <w:r w:rsidRPr="009A1C8E">
        <w:t>Top 5 ‘extremely or moderately difficult’ occupations to recruit in the past financial year.</w:t>
      </w:r>
      <w:proofErr w:type="gramEnd"/>
      <w:r w:rsidRPr="009A1C8E">
        <w:t xml:space="preserve"> </w:t>
      </w:r>
      <w:proofErr w:type="gramStart"/>
      <w:r w:rsidRPr="009A1C8E">
        <w:t>Victoria</w:t>
      </w:r>
      <w:r w:rsidR="00C37E56" w:rsidRPr="009A1C8E">
        <w:t>n</w:t>
      </w:r>
      <w:r w:rsidRPr="009A1C8E">
        <w:t xml:space="preserve"> and </w:t>
      </w:r>
      <w:r w:rsidR="00182745" w:rsidRPr="009A1C8E">
        <w:t>n</w:t>
      </w:r>
      <w:r w:rsidRPr="009A1C8E">
        <w:t>ational analysis.</w:t>
      </w:r>
      <w:proofErr w:type="gramEnd"/>
    </w:p>
    <w:tbl>
      <w:tblPr>
        <w:tblStyle w:val="TableGrid"/>
        <w:tblW w:w="5076" w:type="pct"/>
        <w:tblLook w:val="04A0"/>
      </w:tblPr>
      <w:tblGrid>
        <w:gridCol w:w="1011"/>
        <w:gridCol w:w="4212"/>
        <w:gridCol w:w="4499"/>
      </w:tblGrid>
      <w:tr w:rsidR="009C4EFB" w:rsidRPr="009A1C8E" w:rsidTr="00AC237C">
        <w:trPr>
          <w:tblHeader/>
        </w:trPr>
        <w:tc>
          <w:tcPr>
            <w:tcW w:w="5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97594"/>
          </w:tcPr>
          <w:p w:rsidR="009C4EFB" w:rsidRPr="00FE0D23" w:rsidRDefault="009C4EFB" w:rsidP="00A14F68">
            <w:pPr>
              <w:spacing w:before="120" w:after="120" w:line="276" w:lineRule="auto"/>
              <w:rPr>
                <w:b/>
                <w:color w:val="FFFFFF" w:themeColor="background1"/>
              </w:rPr>
            </w:pPr>
            <w:bookmarkStart w:id="74" w:name="Title_5" w:colFirst="0" w:colLast="0"/>
            <w:r w:rsidRPr="00FE0D23">
              <w:rPr>
                <w:b/>
                <w:color w:val="FFFFFF" w:themeColor="background1"/>
              </w:rPr>
              <w:t>Top 5</w:t>
            </w:r>
          </w:p>
        </w:tc>
        <w:tc>
          <w:tcPr>
            <w:tcW w:w="21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97594"/>
          </w:tcPr>
          <w:p w:rsidR="009C4EFB" w:rsidRPr="00FE0D23" w:rsidRDefault="009C4EFB" w:rsidP="00A14F68">
            <w:pPr>
              <w:spacing w:before="120" w:after="120" w:line="276" w:lineRule="auto"/>
              <w:rPr>
                <w:b/>
                <w:color w:val="FFFFFF" w:themeColor="background1"/>
              </w:rPr>
            </w:pPr>
            <w:r w:rsidRPr="00FE0D23">
              <w:rPr>
                <w:b/>
                <w:color w:val="FFFFFF" w:themeColor="background1"/>
              </w:rPr>
              <w:t>Victoria</w:t>
            </w:r>
          </w:p>
        </w:tc>
        <w:tc>
          <w:tcPr>
            <w:tcW w:w="2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97594"/>
          </w:tcPr>
          <w:p w:rsidR="009C4EFB" w:rsidRPr="00FE0D23" w:rsidRDefault="009C4EFB" w:rsidP="00A14F68">
            <w:pPr>
              <w:spacing w:before="120" w:after="120" w:line="276" w:lineRule="auto"/>
              <w:rPr>
                <w:b/>
                <w:color w:val="FFFFFF" w:themeColor="background1"/>
              </w:rPr>
            </w:pPr>
            <w:r w:rsidRPr="00FE0D23">
              <w:rPr>
                <w:b/>
                <w:color w:val="FFFFFF" w:themeColor="background1"/>
              </w:rPr>
              <w:t>National</w:t>
            </w:r>
          </w:p>
        </w:tc>
      </w:tr>
      <w:bookmarkEnd w:id="74"/>
      <w:tr w:rsidR="009C4EFB" w:rsidRPr="009A1C8E" w:rsidTr="00AC237C">
        <w:tc>
          <w:tcPr>
            <w:tcW w:w="520" w:type="pct"/>
            <w:tcBorders>
              <w:top w:val="single" w:sz="4" w:space="0" w:color="FFFFFF" w:themeColor="background1"/>
            </w:tcBorders>
          </w:tcPr>
          <w:p w:rsidR="009C4EFB" w:rsidRPr="009A1C8E" w:rsidRDefault="009C4EFB" w:rsidP="00A14F68">
            <w:pPr>
              <w:spacing w:before="120" w:after="120" w:line="276" w:lineRule="auto"/>
            </w:pPr>
            <w:r w:rsidRPr="009A1C8E">
              <w:t>1</w:t>
            </w:r>
          </w:p>
        </w:tc>
        <w:tc>
          <w:tcPr>
            <w:tcW w:w="2166" w:type="pct"/>
            <w:tcBorders>
              <w:top w:val="single" w:sz="4" w:space="0" w:color="FFFFFF" w:themeColor="background1"/>
            </w:tcBorders>
          </w:tcPr>
          <w:p w:rsidR="009C4EFB" w:rsidRPr="009A1C8E" w:rsidRDefault="009C4EFB" w:rsidP="00A14F68">
            <w:pPr>
              <w:spacing w:before="120" w:after="120" w:line="276" w:lineRule="auto"/>
            </w:pPr>
            <w:r w:rsidRPr="009A1C8E">
              <w:t>Psychologist</w:t>
            </w:r>
          </w:p>
        </w:tc>
        <w:tc>
          <w:tcPr>
            <w:tcW w:w="2314" w:type="pct"/>
            <w:tcBorders>
              <w:top w:val="single" w:sz="4" w:space="0" w:color="FFFFFF" w:themeColor="background1"/>
            </w:tcBorders>
          </w:tcPr>
          <w:p w:rsidR="009C4EFB" w:rsidRPr="009A1C8E" w:rsidRDefault="009C4EFB" w:rsidP="00A14F68">
            <w:pPr>
              <w:spacing w:before="120" w:after="120" w:line="276" w:lineRule="auto"/>
            </w:pPr>
            <w:r w:rsidRPr="009A1C8E">
              <w:t>Psychologist</w:t>
            </w:r>
          </w:p>
        </w:tc>
      </w:tr>
      <w:tr w:rsidR="009C4EFB" w:rsidRPr="009A1C8E" w:rsidTr="00AD536F">
        <w:tc>
          <w:tcPr>
            <w:tcW w:w="520" w:type="pct"/>
          </w:tcPr>
          <w:p w:rsidR="009C4EFB" w:rsidRPr="009A1C8E" w:rsidRDefault="009C4EFB" w:rsidP="00A14F68">
            <w:pPr>
              <w:spacing w:before="120" w:after="120" w:line="276" w:lineRule="auto"/>
            </w:pPr>
            <w:r w:rsidRPr="009A1C8E">
              <w:t>2</w:t>
            </w:r>
          </w:p>
        </w:tc>
        <w:tc>
          <w:tcPr>
            <w:tcW w:w="2166" w:type="pct"/>
          </w:tcPr>
          <w:p w:rsidR="009C4EFB" w:rsidRPr="009A1C8E" w:rsidRDefault="009C4EFB" w:rsidP="00A14F68">
            <w:pPr>
              <w:spacing w:before="120" w:after="120" w:line="276" w:lineRule="auto"/>
            </w:pPr>
            <w:r w:rsidRPr="009A1C8E">
              <w:t>Occupational therapist</w:t>
            </w:r>
          </w:p>
        </w:tc>
        <w:tc>
          <w:tcPr>
            <w:tcW w:w="2314" w:type="pct"/>
          </w:tcPr>
          <w:p w:rsidR="009C4EFB" w:rsidRPr="009A1C8E" w:rsidRDefault="009C4EFB" w:rsidP="00A14F68">
            <w:pPr>
              <w:spacing w:before="120" w:after="120" w:line="276" w:lineRule="auto"/>
            </w:pPr>
            <w:r w:rsidRPr="009A1C8E">
              <w:t>Physiotherapist</w:t>
            </w:r>
          </w:p>
        </w:tc>
      </w:tr>
      <w:tr w:rsidR="009C4EFB" w:rsidRPr="009A1C8E" w:rsidTr="00AD536F">
        <w:tc>
          <w:tcPr>
            <w:tcW w:w="520" w:type="pct"/>
          </w:tcPr>
          <w:p w:rsidR="009C4EFB" w:rsidRPr="009A1C8E" w:rsidRDefault="009C4EFB" w:rsidP="00A14F68">
            <w:pPr>
              <w:spacing w:before="120" w:after="120" w:line="276" w:lineRule="auto"/>
            </w:pPr>
            <w:r w:rsidRPr="009A1C8E">
              <w:t>3</w:t>
            </w:r>
          </w:p>
        </w:tc>
        <w:tc>
          <w:tcPr>
            <w:tcW w:w="2166" w:type="pct"/>
          </w:tcPr>
          <w:p w:rsidR="009C4EFB" w:rsidRPr="009A1C8E" w:rsidRDefault="009C4EFB" w:rsidP="00A14F68">
            <w:pPr>
              <w:spacing w:before="120" w:after="120" w:line="276" w:lineRule="auto"/>
            </w:pPr>
            <w:r w:rsidRPr="009A1C8E">
              <w:t>Disability support worker</w:t>
            </w:r>
          </w:p>
        </w:tc>
        <w:tc>
          <w:tcPr>
            <w:tcW w:w="2314" w:type="pct"/>
          </w:tcPr>
          <w:p w:rsidR="009C4EFB" w:rsidRPr="009A1C8E" w:rsidRDefault="009C4EFB" w:rsidP="00A14F68">
            <w:pPr>
              <w:spacing w:before="120" w:after="120" w:line="276" w:lineRule="auto"/>
            </w:pPr>
            <w:r w:rsidRPr="009A1C8E">
              <w:t>Speech therapist</w:t>
            </w:r>
          </w:p>
        </w:tc>
      </w:tr>
      <w:tr w:rsidR="009C4EFB" w:rsidRPr="009A1C8E" w:rsidTr="00AD536F">
        <w:tc>
          <w:tcPr>
            <w:tcW w:w="520" w:type="pct"/>
          </w:tcPr>
          <w:p w:rsidR="009C4EFB" w:rsidRPr="009A1C8E" w:rsidRDefault="009C4EFB" w:rsidP="00A14F68">
            <w:pPr>
              <w:spacing w:before="120" w:after="120" w:line="276" w:lineRule="auto"/>
            </w:pPr>
            <w:r w:rsidRPr="009A1C8E">
              <w:t>4</w:t>
            </w:r>
          </w:p>
        </w:tc>
        <w:tc>
          <w:tcPr>
            <w:tcW w:w="2166" w:type="pct"/>
          </w:tcPr>
          <w:p w:rsidR="009C4EFB" w:rsidRPr="009A1C8E" w:rsidRDefault="009C4EFB" w:rsidP="00A14F68">
            <w:pPr>
              <w:spacing w:before="120" w:after="120" w:line="276" w:lineRule="auto"/>
            </w:pPr>
            <w:r w:rsidRPr="009A1C8E">
              <w:t>Speech therapist</w:t>
            </w:r>
          </w:p>
        </w:tc>
        <w:tc>
          <w:tcPr>
            <w:tcW w:w="2314" w:type="pct"/>
          </w:tcPr>
          <w:p w:rsidR="009C4EFB" w:rsidRPr="009A1C8E" w:rsidRDefault="009C4EFB" w:rsidP="00A14F68">
            <w:pPr>
              <w:spacing w:before="120" w:after="120" w:line="276" w:lineRule="auto"/>
            </w:pPr>
            <w:r w:rsidRPr="009A1C8E">
              <w:t>Occupational therapist</w:t>
            </w:r>
          </w:p>
        </w:tc>
      </w:tr>
      <w:tr w:rsidR="009C4EFB" w:rsidRPr="009A1C8E" w:rsidTr="00AD536F">
        <w:tc>
          <w:tcPr>
            <w:tcW w:w="520" w:type="pct"/>
          </w:tcPr>
          <w:p w:rsidR="009C4EFB" w:rsidRPr="009A1C8E" w:rsidRDefault="009C4EFB" w:rsidP="00A14F68">
            <w:pPr>
              <w:spacing w:before="120" w:after="120" w:line="276" w:lineRule="auto"/>
            </w:pPr>
            <w:r w:rsidRPr="009A1C8E">
              <w:t>5</w:t>
            </w:r>
          </w:p>
        </w:tc>
        <w:tc>
          <w:tcPr>
            <w:tcW w:w="2166" w:type="pct"/>
          </w:tcPr>
          <w:p w:rsidR="009C4EFB" w:rsidRPr="009A1C8E" w:rsidRDefault="00AC6BE6" w:rsidP="00A14F68">
            <w:pPr>
              <w:spacing w:before="120" w:after="120" w:line="276" w:lineRule="auto"/>
            </w:pPr>
            <w:r w:rsidRPr="009A1C8E">
              <w:t>Support coordinator</w:t>
            </w:r>
          </w:p>
        </w:tc>
        <w:tc>
          <w:tcPr>
            <w:tcW w:w="2314" w:type="pct"/>
          </w:tcPr>
          <w:p w:rsidR="009C4EFB" w:rsidRPr="009A1C8E" w:rsidRDefault="009C4EFB" w:rsidP="00A14F68">
            <w:pPr>
              <w:spacing w:before="120" w:after="120" w:line="276" w:lineRule="auto"/>
            </w:pPr>
            <w:r w:rsidRPr="009A1C8E">
              <w:t>Local Area Coordinator / Planner</w:t>
            </w:r>
          </w:p>
        </w:tc>
      </w:tr>
    </w:tbl>
    <w:p w:rsidR="002E06F7" w:rsidRDefault="002E06F7">
      <w:pPr>
        <w:spacing w:line="259" w:lineRule="auto"/>
        <w:rPr>
          <w:rFonts w:eastAsiaTheme="majorEastAsia" w:cs="Arial"/>
          <w:b/>
          <w:sz w:val="28"/>
        </w:rPr>
      </w:pPr>
      <w:r>
        <w:br w:type="page"/>
      </w:r>
    </w:p>
    <w:p w:rsidR="00956508" w:rsidRDefault="00956508" w:rsidP="00830706">
      <w:pPr>
        <w:pStyle w:val="Heading3"/>
      </w:pPr>
      <w:r>
        <w:lastRenderedPageBreak/>
        <w:t>Appendix 3C</w:t>
      </w:r>
    </w:p>
    <w:p w:rsidR="009C4EFB" w:rsidRPr="009A1C8E" w:rsidRDefault="009C4EFB" w:rsidP="00956508">
      <w:proofErr w:type="gramStart"/>
      <w:r w:rsidRPr="009A1C8E">
        <w:t>Top 5 ‘extremely or moderately difficult’ occupations to recruit in the past financial year.</w:t>
      </w:r>
      <w:proofErr w:type="gramEnd"/>
      <w:r w:rsidRPr="009A1C8E">
        <w:t xml:space="preserve"> </w:t>
      </w:r>
      <w:proofErr w:type="gramStart"/>
      <w:r w:rsidRPr="009A1C8E">
        <w:t>Geographical group analysis.</w:t>
      </w:r>
      <w:proofErr w:type="gramEnd"/>
    </w:p>
    <w:p w:rsidR="009C4EFB" w:rsidRPr="009A1C8E" w:rsidRDefault="009C4EFB" w:rsidP="00A14F68">
      <w:pPr>
        <w:spacing w:before="120" w:after="120" w:line="276" w:lineRule="auto"/>
      </w:pPr>
      <w:r w:rsidRPr="009A1C8E">
        <w:rPr>
          <w:noProof/>
          <w:lang w:eastAsia="en-AU"/>
        </w:rPr>
        <w:drawing>
          <wp:inline distT="0" distB="0" distL="0" distR="0">
            <wp:extent cx="5943600" cy="2984500"/>
            <wp:effectExtent l="0" t="0" r="0" b="6350"/>
            <wp:docPr id="30" name="Chart 30" descr="Psychologist - Metro 100%, Regional 71%, State-wide 33%.&#10;Occupational therapist - Metro 83%, Regional 50%, State-wide 40%.&#10;Disability Support Worker - Metro 50%, Regional 52%, State-wide 47%.&#10;Speech Therapist - Metro 75%, Regional 56%, State-wide 33%.&#10;Support Coordinator - Metro 29%, Regional 67%, State-wide 5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7C333F75-7C2C-434B-A1B8-6E028AAE8B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56508" w:rsidRDefault="00956508" w:rsidP="00830706">
      <w:pPr>
        <w:pStyle w:val="Heading3"/>
      </w:pPr>
      <w:r>
        <w:t>Appendix 3D</w:t>
      </w:r>
    </w:p>
    <w:p w:rsidR="009C4EFB" w:rsidRPr="009A1C8E" w:rsidRDefault="009C4EFB" w:rsidP="00956508">
      <w:proofErr w:type="gramStart"/>
      <w:r w:rsidRPr="009A1C8E">
        <w:t>Top 5 ‘extremely or moderately difficult’ occupations to retain in the past financial year.</w:t>
      </w:r>
      <w:proofErr w:type="gramEnd"/>
      <w:r w:rsidRPr="009A1C8E">
        <w:t xml:space="preserve"> </w:t>
      </w:r>
      <w:proofErr w:type="gramStart"/>
      <w:r w:rsidRPr="009A1C8E">
        <w:t>Victoria</w:t>
      </w:r>
      <w:r w:rsidR="00C37E56" w:rsidRPr="009A1C8E">
        <w:t>n</w:t>
      </w:r>
      <w:r w:rsidRPr="009A1C8E">
        <w:t xml:space="preserve"> and national analysis.</w:t>
      </w:r>
      <w:proofErr w:type="gramEnd"/>
    </w:p>
    <w:tbl>
      <w:tblPr>
        <w:tblStyle w:val="TableGrid"/>
        <w:tblW w:w="5076" w:type="pct"/>
        <w:tblLook w:val="04A0"/>
      </w:tblPr>
      <w:tblGrid>
        <w:gridCol w:w="1012"/>
        <w:gridCol w:w="4355"/>
        <w:gridCol w:w="4355"/>
      </w:tblGrid>
      <w:tr w:rsidR="009C4EFB" w:rsidRPr="009A1C8E" w:rsidTr="00880536">
        <w:trPr>
          <w:tblHeader/>
        </w:trPr>
        <w:tc>
          <w:tcPr>
            <w:tcW w:w="5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97594"/>
          </w:tcPr>
          <w:p w:rsidR="009C4EFB" w:rsidRPr="00FE0D23" w:rsidRDefault="009C4EFB" w:rsidP="00A14F68">
            <w:pPr>
              <w:spacing w:before="120" w:after="120" w:line="276" w:lineRule="auto"/>
              <w:rPr>
                <w:b/>
                <w:color w:val="FFFFFF" w:themeColor="background1"/>
              </w:rPr>
            </w:pPr>
            <w:bookmarkStart w:id="75" w:name="Title_6" w:colFirst="0" w:colLast="0"/>
            <w:r w:rsidRPr="00FE0D23">
              <w:rPr>
                <w:b/>
                <w:color w:val="FFFFFF" w:themeColor="background1"/>
              </w:rPr>
              <w:t>Top 5</w:t>
            </w:r>
          </w:p>
        </w:tc>
        <w:tc>
          <w:tcPr>
            <w:tcW w:w="22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97594"/>
          </w:tcPr>
          <w:p w:rsidR="009C4EFB" w:rsidRPr="00FE0D23" w:rsidRDefault="009C4EFB" w:rsidP="00A14F68">
            <w:pPr>
              <w:spacing w:before="120" w:after="120" w:line="276" w:lineRule="auto"/>
              <w:rPr>
                <w:b/>
                <w:color w:val="FFFFFF" w:themeColor="background1"/>
              </w:rPr>
            </w:pPr>
            <w:r w:rsidRPr="00FE0D23">
              <w:rPr>
                <w:b/>
                <w:color w:val="FFFFFF" w:themeColor="background1"/>
              </w:rPr>
              <w:t>Victoria</w:t>
            </w:r>
          </w:p>
        </w:tc>
        <w:tc>
          <w:tcPr>
            <w:tcW w:w="22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97594"/>
          </w:tcPr>
          <w:p w:rsidR="009C4EFB" w:rsidRPr="00FE0D23" w:rsidRDefault="009C4EFB" w:rsidP="00A14F68">
            <w:pPr>
              <w:spacing w:before="120" w:after="120" w:line="276" w:lineRule="auto"/>
              <w:rPr>
                <w:b/>
                <w:color w:val="FFFFFF" w:themeColor="background1"/>
              </w:rPr>
            </w:pPr>
            <w:r w:rsidRPr="00FE0D23">
              <w:rPr>
                <w:b/>
                <w:color w:val="FFFFFF" w:themeColor="background1"/>
              </w:rPr>
              <w:t>National</w:t>
            </w:r>
          </w:p>
        </w:tc>
      </w:tr>
      <w:bookmarkEnd w:id="75"/>
      <w:tr w:rsidR="009C4EFB" w:rsidRPr="009A1C8E" w:rsidTr="00880536">
        <w:tc>
          <w:tcPr>
            <w:tcW w:w="520" w:type="pct"/>
            <w:tcBorders>
              <w:top w:val="single" w:sz="4" w:space="0" w:color="FFFFFF" w:themeColor="background1"/>
            </w:tcBorders>
          </w:tcPr>
          <w:p w:rsidR="009C4EFB" w:rsidRPr="009A1C8E" w:rsidRDefault="009C4EFB" w:rsidP="00A14F68">
            <w:pPr>
              <w:spacing w:before="120" w:after="120" w:line="276" w:lineRule="auto"/>
            </w:pPr>
            <w:r w:rsidRPr="009A1C8E">
              <w:t>1</w:t>
            </w:r>
          </w:p>
        </w:tc>
        <w:tc>
          <w:tcPr>
            <w:tcW w:w="2240" w:type="pct"/>
            <w:tcBorders>
              <w:top w:val="single" w:sz="4" w:space="0" w:color="FFFFFF" w:themeColor="background1"/>
            </w:tcBorders>
          </w:tcPr>
          <w:p w:rsidR="009C4EFB" w:rsidRPr="009A1C8E" w:rsidRDefault="009C4EFB" w:rsidP="00A14F68">
            <w:pPr>
              <w:spacing w:before="120" w:after="120" w:line="276" w:lineRule="auto"/>
            </w:pPr>
            <w:r w:rsidRPr="009A1C8E">
              <w:t>Disability support worker</w:t>
            </w:r>
          </w:p>
        </w:tc>
        <w:tc>
          <w:tcPr>
            <w:tcW w:w="2240" w:type="pct"/>
            <w:tcBorders>
              <w:top w:val="single" w:sz="4" w:space="0" w:color="FFFFFF" w:themeColor="background1"/>
            </w:tcBorders>
          </w:tcPr>
          <w:p w:rsidR="009C4EFB" w:rsidRPr="009A1C8E" w:rsidRDefault="009C4EFB" w:rsidP="00A14F68">
            <w:pPr>
              <w:spacing w:before="120" w:after="120" w:line="276" w:lineRule="auto"/>
            </w:pPr>
            <w:r w:rsidRPr="009A1C8E">
              <w:t>Psychologist</w:t>
            </w:r>
          </w:p>
        </w:tc>
      </w:tr>
      <w:tr w:rsidR="009C4EFB" w:rsidRPr="009A1C8E" w:rsidTr="00AD536F">
        <w:tc>
          <w:tcPr>
            <w:tcW w:w="520" w:type="pct"/>
          </w:tcPr>
          <w:p w:rsidR="009C4EFB" w:rsidRPr="009A1C8E" w:rsidRDefault="009C4EFB" w:rsidP="00A14F68">
            <w:pPr>
              <w:spacing w:before="120" w:after="120" w:line="276" w:lineRule="auto"/>
            </w:pPr>
            <w:r w:rsidRPr="009A1C8E">
              <w:t>2</w:t>
            </w:r>
          </w:p>
        </w:tc>
        <w:tc>
          <w:tcPr>
            <w:tcW w:w="2240" w:type="pct"/>
          </w:tcPr>
          <w:p w:rsidR="009C4EFB" w:rsidRPr="009A1C8E" w:rsidRDefault="009C4EFB" w:rsidP="00A14F68">
            <w:pPr>
              <w:spacing w:before="120" w:after="120" w:line="276" w:lineRule="auto"/>
            </w:pPr>
            <w:r w:rsidRPr="009A1C8E">
              <w:t>Psychologist</w:t>
            </w:r>
          </w:p>
        </w:tc>
        <w:tc>
          <w:tcPr>
            <w:tcW w:w="2240" w:type="pct"/>
          </w:tcPr>
          <w:p w:rsidR="009C4EFB" w:rsidRPr="009A1C8E" w:rsidRDefault="009C4EFB" w:rsidP="00A14F68">
            <w:pPr>
              <w:spacing w:before="120" w:after="120" w:line="276" w:lineRule="auto"/>
            </w:pPr>
            <w:r w:rsidRPr="009A1C8E">
              <w:t>Speech therapist</w:t>
            </w:r>
          </w:p>
        </w:tc>
      </w:tr>
      <w:tr w:rsidR="009C4EFB" w:rsidRPr="009A1C8E" w:rsidTr="00AD536F">
        <w:tc>
          <w:tcPr>
            <w:tcW w:w="520" w:type="pct"/>
          </w:tcPr>
          <w:p w:rsidR="009C4EFB" w:rsidRPr="009A1C8E" w:rsidRDefault="009C4EFB" w:rsidP="00A14F68">
            <w:pPr>
              <w:spacing w:before="120" w:after="120" w:line="276" w:lineRule="auto"/>
            </w:pPr>
            <w:r w:rsidRPr="009A1C8E">
              <w:t>3</w:t>
            </w:r>
          </w:p>
        </w:tc>
        <w:tc>
          <w:tcPr>
            <w:tcW w:w="2240" w:type="pct"/>
          </w:tcPr>
          <w:p w:rsidR="009C4EFB" w:rsidRPr="009A1C8E" w:rsidRDefault="00AC6BE6" w:rsidP="00A14F68">
            <w:pPr>
              <w:spacing w:before="120" w:after="120" w:line="276" w:lineRule="auto"/>
            </w:pPr>
            <w:r w:rsidRPr="009A1C8E">
              <w:t>Support coordinator</w:t>
            </w:r>
          </w:p>
        </w:tc>
        <w:tc>
          <w:tcPr>
            <w:tcW w:w="2240" w:type="pct"/>
          </w:tcPr>
          <w:p w:rsidR="009C4EFB" w:rsidRPr="009A1C8E" w:rsidRDefault="009C4EFB" w:rsidP="00A14F68">
            <w:pPr>
              <w:spacing w:before="120" w:after="120" w:line="276" w:lineRule="auto"/>
            </w:pPr>
            <w:r w:rsidRPr="009A1C8E">
              <w:t>Physiotherapist</w:t>
            </w:r>
          </w:p>
        </w:tc>
      </w:tr>
      <w:tr w:rsidR="009C4EFB" w:rsidRPr="009A1C8E" w:rsidTr="00AD536F">
        <w:tc>
          <w:tcPr>
            <w:tcW w:w="520" w:type="pct"/>
          </w:tcPr>
          <w:p w:rsidR="009C4EFB" w:rsidRPr="009A1C8E" w:rsidRDefault="009C4EFB" w:rsidP="00A14F68">
            <w:pPr>
              <w:spacing w:before="120" w:after="120" w:line="276" w:lineRule="auto"/>
            </w:pPr>
            <w:r w:rsidRPr="009A1C8E">
              <w:t>4</w:t>
            </w:r>
          </w:p>
        </w:tc>
        <w:tc>
          <w:tcPr>
            <w:tcW w:w="2240" w:type="pct"/>
          </w:tcPr>
          <w:p w:rsidR="009C4EFB" w:rsidRPr="009A1C8E" w:rsidRDefault="009C4EFB" w:rsidP="00A14F68">
            <w:pPr>
              <w:spacing w:before="120" w:after="120" w:line="276" w:lineRule="auto"/>
            </w:pPr>
            <w:r w:rsidRPr="009A1C8E">
              <w:t>Managers/ supervisors of disability support workers</w:t>
            </w:r>
          </w:p>
        </w:tc>
        <w:tc>
          <w:tcPr>
            <w:tcW w:w="2240" w:type="pct"/>
          </w:tcPr>
          <w:p w:rsidR="009C4EFB" w:rsidRPr="009A1C8E" w:rsidRDefault="009C4EFB" w:rsidP="00A14F68">
            <w:pPr>
              <w:spacing w:before="120" w:after="120" w:line="276" w:lineRule="auto"/>
            </w:pPr>
            <w:r w:rsidRPr="009A1C8E">
              <w:t>Disability support worker</w:t>
            </w:r>
          </w:p>
        </w:tc>
      </w:tr>
      <w:tr w:rsidR="009C4EFB" w:rsidRPr="009A1C8E" w:rsidTr="00AD536F">
        <w:tc>
          <w:tcPr>
            <w:tcW w:w="520" w:type="pct"/>
          </w:tcPr>
          <w:p w:rsidR="009C4EFB" w:rsidRPr="009A1C8E" w:rsidRDefault="009C4EFB" w:rsidP="00A14F68">
            <w:pPr>
              <w:spacing w:before="120" w:after="120" w:line="276" w:lineRule="auto"/>
            </w:pPr>
            <w:r w:rsidRPr="009A1C8E">
              <w:t>5</w:t>
            </w:r>
          </w:p>
        </w:tc>
        <w:tc>
          <w:tcPr>
            <w:tcW w:w="2240" w:type="pct"/>
          </w:tcPr>
          <w:p w:rsidR="009C4EFB" w:rsidRPr="009A1C8E" w:rsidRDefault="009C4EFB" w:rsidP="00A14F68">
            <w:pPr>
              <w:spacing w:before="120" w:after="120" w:line="276" w:lineRule="auto"/>
            </w:pPr>
            <w:r w:rsidRPr="009A1C8E">
              <w:t>Occupational therapist</w:t>
            </w:r>
          </w:p>
        </w:tc>
        <w:tc>
          <w:tcPr>
            <w:tcW w:w="2240" w:type="pct"/>
          </w:tcPr>
          <w:p w:rsidR="009C4EFB" w:rsidRPr="009A1C8E" w:rsidRDefault="009C4EFB" w:rsidP="00A14F68">
            <w:pPr>
              <w:spacing w:before="120" w:after="120" w:line="276" w:lineRule="auto"/>
            </w:pPr>
            <w:proofErr w:type="spellStart"/>
            <w:r w:rsidRPr="009A1C8E">
              <w:t>Dietitian</w:t>
            </w:r>
            <w:proofErr w:type="spellEnd"/>
          </w:p>
        </w:tc>
      </w:tr>
    </w:tbl>
    <w:p w:rsidR="002E06F7" w:rsidRDefault="002E06F7">
      <w:pPr>
        <w:spacing w:line="259" w:lineRule="auto"/>
        <w:rPr>
          <w:rFonts w:eastAsiaTheme="majorEastAsia" w:cs="Arial"/>
          <w:b/>
          <w:sz w:val="28"/>
        </w:rPr>
      </w:pPr>
      <w:r>
        <w:br w:type="page"/>
      </w:r>
    </w:p>
    <w:p w:rsidR="00956508" w:rsidRDefault="00956508" w:rsidP="00830706">
      <w:pPr>
        <w:pStyle w:val="Heading3"/>
      </w:pPr>
      <w:r>
        <w:lastRenderedPageBreak/>
        <w:t>Appendix 3E</w:t>
      </w:r>
    </w:p>
    <w:p w:rsidR="009C4EFB" w:rsidRPr="009A1C8E" w:rsidRDefault="009C4EFB" w:rsidP="00956508">
      <w:proofErr w:type="gramStart"/>
      <w:r w:rsidRPr="009A1C8E">
        <w:t>Top 5 ‘extremely or moderately difficult’ occupations to retain in the past financial year.</w:t>
      </w:r>
      <w:proofErr w:type="gramEnd"/>
      <w:r w:rsidRPr="009A1C8E">
        <w:t xml:space="preserve"> </w:t>
      </w:r>
      <w:proofErr w:type="gramStart"/>
      <w:r w:rsidRPr="009A1C8E">
        <w:t>Geographical group analysis.</w:t>
      </w:r>
      <w:proofErr w:type="gramEnd"/>
    </w:p>
    <w:p w:rsidR="009C4EFB" w:rsidRPr="009A1C8E" w:rsidRDefault="009C4EFB" w:rsidP="00A14F68">
      <w:pPr>
        <w:spacing w:before="120" w:after="120" w:line="276" w:lineRule="auto"/>
      </w:pPr>
      <w:r w:rsidRPr="009A1C8E">
        <w:rPr>
          <w:noProof/>
          <w:lang w:eastAsia="en-AU"/>
        </w:rPr>
        <w:drawing>
          <wp:inline distT="0" distB="0" distL="0" distR="0">
            <wp:extent cx="5734050" cy="2959100"/>
            <wp:effectExtent l="0" t="0" r="0" b="0"/>
            <wp:docPr id="32" name="Chart 32" descr="Disability Support Worker - Metro 6%, Regional 19%, State-wide 28%.&#10;Psychologist - Metro 25%, Regional 17%, State-wide 11%.&#10;Support Coordinator - Metro 8%, Regional 19%, State-wide 13%.&#10;Managers/Supervisors of Disability Support Workers - Metro 7%, Regional 13%, State-wide 21%.&#10;Occupational Therapist - Metro 33%, Regional and State-wide 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3FABF9D1-2B49-DC45-B379-B6B583DDE1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73CD7" w:rsidRDefault="00F73CD7" w:rsidP="00830706">
      <w:pPr>
        <w:pStyle w:val="Heading3"/>
      </w:pPr>
      <w:r>
        <w:t>Appendix 3F</w:t>
      </w:r>
    </w:p>
    <w:p w:rsidR="009C4EFB" w:rsidRPr="009A1C8E" w:rsidRDefault="009C4EFB" w:rsidP="00F73CD7">
      <w:proofErr w:type="gramStart"/>
      <w:r w:rsidRPr="009A1C8E">
        <w:t>Improving HR strategy and workforce planning in the next 12 months.</w:t>
      </w:r>
      <w:proofErr w:type="gramEnd"/>
      <w:r w:rsidRPr="009A1C8E">
        <w:t xml:space="preserve"> </w:t>
      </w:r>
      <w:proofErr w:type="gramStart"/>
      <w:r w:rsidRPr="009A1C8E">
        <w:t>Geographical group analysis.</w:t>
      </w:r>
      <w:proofErr w:type="gramEnd"/>
    </w:p>
    <w:p w:rsidR="009C4EFB" w:rsidRPr="009A1C8E" w:rsidRDefault="009C4EFB" w:rsidP="00A14F68">
      <w:pPr>
        <w:spacing w:before="120" w:after="120" w:line="276" w:lineRule="auto"/>
        <w:sectPr w:rsidR="009C4EFB" w:rsidRPr="009A1C8E" w:rsidSect="00AC237C">
          <w:pgSz w:w="12240" w:h="15840"/>
          <w:pgMar w:top="1440" w:right="1440" w:bottom="1440" w:left="1440" w:header="720" w:footer="720" w:gutter="0"/>
          <w:cols w:space="720"/>
          <w:docGrid w:linePitch="360"/>
        </w:sectPr>
      </w:pPr>
      <w:r w:rsidRPr="009A1C8E">
        <w:rPr>
          <w:noProof/>
          <w:lang w:eastAsia="en-AU"/>
        </w:rPr>
        <w:drawing>
          <wp:inline distT="0" distB="0" distL="0" distR="0">
            <wp:extent cx="5886450" cy="2804160"/>
            <wp:effectExtent l="0" t="0" r="0" b="0"/>
            <wp:docPr id="31" name="Chart 31" descr="State-wide - 1st ranked 60%, 2nd ranked 40%, 3rd 4th and 5th ranked 0.&#10;Regional - 1st ranked 20%, 2nd and 3rd ranked 27%, 4th ranked 7%, 5th ranked 20%.&#10;Metro - 1st 2nd and 3rd ranked 27%, 4th and 5th ranked 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306E40FC-0732-D545-8D43-6E6E289123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C4EFB" w:rsidRPr="009A1C8E" w:rsidRDefault="009C4EFB" w:rsidP="00830706">
      <w:pPr>
        <w:pStyle w:val="Heading2"/>
      </w:pPr>
      <w:bookmarkStart w:id="76" w:name="_Toc5290124"/>
      <w:bookmarkStart w:id="77" w:name="_Toc5308613"/>
      <w:bookmarkStart w:id="78" w:name="_Toc5860523"/>
      <w:bookmarkStart w:id="79" w:name="_Toc5860563"/>
      <w:bookmarkStart w:id="80" w:name="_Toc7614966"/>
      <w:r w:rsidRPr="009A1C8E">
        <w:lastRenderedPageBreak/>
        <w:t>Appendix 4: Propensity to discontinue</w:t>
      </w:r>
      <w:bookmarkEnd w:id="76"/>
      <w:bookmarkEnd w:id="77"/>
      <w:bookmarkEnd w:id="78"/>
      <w:bookmarkEnd w:id="79"/>
      <w:bookmarkEnd w:id="80"/>
    </w:p>
    <w:p w:rsidR="00313972" w:rsidRDefault="00313972" w:rsidP="00830706">
      <w:pPr>
        <w:pStyle w:val="Heading3"/>
      </w:pPr>
      <w:r>
        <w:t>Appendix 4A</w:t>
      </w:r>
    </w:p>
    <w:p w:rsidR="009C4EFB" w:rsidRPr="009A1C8E" w:rsidRDefault="009C4EFB" w:rsidP="00313972">
      <w:r w:rsidRPr="009A1C8E">
        <w:t>Services that organisations provided less of in the last 12 months compared to the year prior.</w:t>
      </w:r>
      <w:r w:rsidR="0081480C" w:rsidRPr="009A1C8E">
        <w:t xml:space="preserve"> </w:t>
      </w:r>
      <w:proofErr w:type="gramStart"/>
      <w:r w:rsidRPr="009A1C8E">
        <w:t>Victoria</w:t>
      </w:r>
      <w:r w:rsidR="00C37E56" w:rsidRPr="009A1C8E">
        <w:t>n</w:t>
      </w:r>
      <w:r w:rsidRPr="009A1C8E">
        <w:t xml:space="preserve"> and national analysis.</w:t>
      </w:r>
      <w:proofErr w:type="gramEnd"/>
    </w:p>
    <w:tbl>
      <w:tblPr>
        <w:tblStyle w:val="TableGrid"/>
        <w:tblW w:w="9492" w:type="dxa"/>
        <w:tblLook w:val="04A0"/>
      </w:tblPr>
      <w:tblGrid>
        <w:gridCol w:w="988"/>
        <w:gridCol w:w="4394"/>
        <w:gridCol w:w="4110"/>
      </w:tblGrid>
      <w:tr w:rsidR="009C4EFB" w:rsidRPr="009A1C8E" w:rsidTr="00880536">
        <w:trPr>
          <w:tblHeader/>
        </w:trPr>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97594"/>
          </w:tcPr>
          <w:p w:rsidR="009C4EFB" w:rsidRPr="00AC237C" w:rsidRDefault="009C4EFB" w:rsidP="00A14F68">
            <w:pPr>
              <w:spacing w:before="120" w:after="120" w:line="276" w:lineRule="auto"/>
              <w:rPr>
                <w:b/>
                <w:color w:val="FFFFFF" w:themeColor="background1"/>
              </w:rPr>
            </w:pPr>
            <w:bookmarkStart w:id="81" w:name="Title_7" w:colFirst="0" w:colLast="0"/>
            <w:r w:rsidRPr="00AC237C">
              <w:rPr>
                <w:b/>
                <w:color w:val="FFFFFF" w:themeColor="background1"/>
              </w:rPr>
              <w:t>Top 5</w:t>
            </w:r>
          </w:p>
        </w:tc>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97594"/>
          </w:tcPr>
          <w:p w:rsidR="009C4EFB" w:rsidRPr="00AC237C" w:rsidRDefault="009C4EFB" w:rsidP="00A14F68">
            <w:pPr>
              <w:spacing w:before="120" w:after="120" w:line="276" w:lineRule="auto"/>
              <w:rPr>
                <w:b/>
                <w:color w:val="FFFFFF" w:themeColor="background1"/>
              </w:rPr>
            </w:pPr>
            <w:r w:rsidRPr="00AC237C">
              <w:rPr>
                <w:b/>
                <w:color w:val="FFFFFF" w:themeColor="background1"/>
              </w:rPr>
              <w:t>Victoria</w:t>
            </w:r>
          </w:p>
        </w:tc>
        <w:tc>
          <w:tcPr>
            <w:tcW w:w="4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97594"/>
          </w:tcPr>
          <w:p w:rsidR="009C4EFB" w:rsidRPr="00AC237C" w:rsidRDefault="009C4EFB" w:rsidP="00A14F68">
            <w:pPr>
              <w:spacing w:before="120" w:after="120" w:line="276" w:lineRule="auto"/>
              <w:rPr>
                <w:b/>
                <w:color w:val="FFFFFF" w:themeColor="background1"/>
              </w:rPr>
            </w:pPr>
            <w:r w:rsidRPr="00AC237C">
              <w:rPr>
                <w:b/>
                <w:color w:val="FFFFFF" w:themeColor="background1"/>
              </w:rPr>
              <w:t>Nationally</w:t>
            </w:r>
          </w:p>
        </w:tc>
      </w:tr>
      <w:bookmarkEnd w:id="81"/>
      <w:tr w:rsidR="009C4EFB" w:rsidRPr="009A1C8E" w:rsidTr="00880536">
        <w:tc>
          <w:tcPr>
            <w:tcW w:w="988" w:type="dxa"/>
            <w:tcBorders>
              <w:top w:val="single" w:sz="4" w:space="0" w:color="FFFFFF" w:themeColor="background1"/>
            </w:tcBorders>
          </w:tcPr>
          <w:p w:rsidR="009C4EFB" w:rsidRPr="009A1C8E" w:rsidRDefault="009C4EFB" w:rsidP="00A14F68">
            <w:pPr>
              <w:spacing w:before="120" w:after="120" w:line="276" w:lineRule="auto"/>
            </w:pPr>
            <w:r w:rsidRPr="009A1C8E">
              <w:t>1</w:t>
            </w:r>
          </w:p>
        </w:tc>
        <w:tc>
          <w:tcPr>
            <w:tcW w:w="4394" w:type="dxa"/>
            <w:tcBorders>
              <w:top w:val="single" w:sz="4" w:space="0" w:color="FFFFFF" w:themeColor="background1"/>
            </w:tcBorders>
          </w:tcPr>
          <w:p w:rsidR="009C4EFB" w:rsidRPr="009A1C8E" w:rsidRDefault="009C4EFB" w:rsidP="00A14F68">
            <w:pPr>
              <w:spacing w:before="120" w:after="120" w:line="276" w:lineRule="auto"/>
            </w:pPr>
            <w:r w:rsidRPr="009A1C8E">
              <w:t>Community Nursing Care (n=1, 25%)</w:t>
            </w:r>
          </w:p>
        </w:tc>
        <w:tc>
          <w:tcPr>
            <w:tcW w:w="4110" w:type="dxa"/>
            <w:tcBorders>
              <w:top w:val="single" w:sz="4" w:space="0" w:color="FFFFFF" w:themeColor="background1"/>
            </w:tcBorders>
          </w:tcPr>
          <w:p w:rsidR="009C4EFB" w:rsidRPr="009A1C8E" w:rsidRDefault="009C4EFB" w:rsidP="00A14F68">
            <w:pPr>
              <w:spacing w:before="120" w:after="120" w:line="276" w:lineRule="auto"/>
            </w:pPr>
            <w:r w:rsidRPr="009A1C8E">
              <w:t>Assistive Technology (n=12, 20%)</w:t>
            </w:r>
          </w:p>
        </w:tc>
      </w:tr>
      <w:tr w:rsidR="009C4EFB" w:rsidRPr="009A1C8E" w:rsidTr="00AD536F">
        <w:tc>
          <w:tcPr>
            <w:tcW w:w="988" w:type="dxa"/>
          </w:tcPr>
          <w:p w:rsidR="009C4EFB" w:rsidRPr="009A1C8E" w:rsidRDefault="009C4EFB" w:rsidP="00A14F68">
            <w:pPr>
              <w:spacing w:before="120" w:after="120" w:line="276" w:lineRule="auto"/>
            </w:pPr>
            <w:r w:rsidRPr="009A1C8E">
              <w:t>2</w:t>
            </w:r>
          </w:p>
        </w:tc>
        <w:tc>
          <w:tcPr>
            <w:tcW w:w="4394" w:type="dxa"/>
          </w:tcPr>
          <w:p w:rsidR="009C4EFB" w:rsidRPr="009A1C8E" w:rsidRDefault="009C4EFB" w:rsidP="00A14F68">
            <w:pPr>
              <w:spacing w:before="120" w:after="120" w:line="276" w:lineRule="auto"/>
            </w:pPr>
            <w:r w:rsidRPr="009A1C8E">
              <w:t>Home modification (n=1, 11%)</w:t>
            </w:r>
          </w:p>
        </w:tc>
        <w:tc>
          <w:tcPr>
            <w:tcW w:w="4110" w:type="dxa"/>
          </w:tcPr>
          <w:p w:rsidR="009C4EFB" w:rsidRPr="009A1C8E" w:rsidRDefault="009C4EFB" w:rsidP="00A14F68">
            <w:pPr>
              <w:spacing w:before="120" w:after="120" w:line="276" w:lineRule="auto"/>
            </w:pPr>
            <w:r w:rsidRPr="009A1C8E">
              <w:t>Specialised supported employment (n=10, 23%)</w:t>
            </w:r>
          </w:p>
        </w:tc>
      </w:tr>
      <w:tr w:rsidR="009C4EFB" w:rsidRPr="009A1C8E" w:rsidTr="00AD536F">
        <w:tc>
          <w:tcPr>
            <w:tcW w:w="988" w:type="dxa"/>
          </w:tcPr>
          <w:p w:rsidR="009C4EFB" w:rsidRPr="009A1C8E" w:rsidRDefault="009C4EFB" w:rsidP="00A14F68">
            <w:pPr>
              <w:spacing w:before="120" w:after="120" w:line="276" w:lineRule="auto"/>
            </w:pPr>
            <w:r w:rsidRPr="009A1C8E">
              <w:t>3</w:t>
            </w:r>
          </w:p>
        </w:tc>
        <w:tc>
          <w:tcPr>
            <w:tcW w:w="4394" w:type="dxa"/>
          </w:tcPr>
          <w:p w:rsidR="009C4EFB" w:rsidRPr="009A1C8E" w:rsidRDefault="009C4EFB" w:rsidP="00A14F68">
            <w:pPr>
              <w:spacing w:before="120" w:after="120" w:line="276" w:lineRule="auto"/>
            </w:pPr>
            <w:r w:rsidRPr="009A1C8E">
              <w:t>Assistive Technology (n=1, 11%)</w:t>
            </w:r>
          </w:p>
        </w:tc>
        <w:tc>
          <w:tcPr>
            <w:tcW w:w="4110" w:type="dxa"/>
          </w:tcPr>
          <w:p w:rsidR="009C4EFB" w:rsidRPr="009A1C8E" w:rsidRDefault="009C4EFB" w:rsidP="00A14F68">
            <w:pPr>
              <w:spacing w:before="120" w:after="120" w:line="276" w:lineRule="auto"/>
            </w:pPr>
            <w:r w:rsidRPr="009A1C8E">
              <w:t>Hearing Services and Specialised Hearing Services (n=4, 17%)</w:t>
            </w:r>
          </w:p>
        </w:tc>
      </w:tr>
      <w:tr w:rsidR="009C4EFB" w:rsidRPr="009A1C8E" w:rsidTr="00AD536F">
        <w:tc>
          <w:tcPr>
            <w:tcW w:w="988" w:type="dxa"/>
          </w:tcPr>
          <w:p w:rsidR="009C4EFB" w:rsidRPr="009A1C8E" w:rsidRDefault="009C4EFB" w:rsidP="00A14F68">
            <w:pPr>
              <w:spacing w:before="120" w:after="120" w:line="276" w:lineRule="auto"/>
            </w:pPr>
            <w:r w:rsidRPr="009A1C8E">
              <w:t>4</w:t>
            </w:r>
          </w:p>
        </w:tc>
        <w:tc>
          <w:tcPr>
            <w:tcW w:w="4394" w:type="dxa"/>
          </w:tcPr>
          <w:p w:rsidR="009C4EFB" w:rsidRPr="009A1C8E" w:rsidRDefault="009C4EFB" w:rsidP="00A14F68">
            <w:pPr>
              <w:spacing w:before="120" w:after="120" w:line="276" w:lineRule="auto"/>
            </w:pPr>
            <w:r w:rsidRPr="009A1C8E">
              <w:t>Specialised supported employment (n=1, 11%)</w:t>
            </w:r>
          </w:p>
        </w:tc>
        <w:tc>
          <w:tcPr>
            <w:tcW w:w="4110" w:type="dxa"/>
          </w:tcPr>
          <w:p w:rsidR="009C4EFB" w:rsidRPr="009A1C8E" w:rsidRDefault="009C4EFB" w:rsidP="00A14F68">
            <w:pPr>
              <w:spacing w:before="120" w:after="120" w:line="276" w:lineRule="auto"/>
            </w:pPr>
            <w:r w:rsidRPr="009A1C8E">
              <w:t>Early Childhood Supports (n=11, 14%)</w:t>
            </w:r>
          </w:p>
        </w:tc>
      </w:tr>
      <w:tr w:rsidR="009C4EFB" w:rsidRPr="009A1C8E" w:rsidTr="00AD536F">
        <w:tc>
          <w:tcPr>
            <w:tcW w:w="988" w:type="dxa"/>
          </w:tcPr>
          <w:p w:rsidR="009C4EFB" w:rsidRPr="009A1C8E" w:rsidRDefault="009C4EFB" w:rsidP="00A14F68">
            <w:pPr>
              <w:spacing w:before="120" w:after="120" w:line="276" w:lineRule="auto"/>
            </w:pPr>
            <w:r w:rsidRPr="009A1C8E">
              <w:t>5</w:t>
            </w:r>
          </w:p>
        </w:tc>
        <w:tc>
          <w:tcPr>
            <w:tcW w:w="4394" w:type="dxa"/>
          </w:tcPr>
          <w:p w:rsidR="009C4EFB" w:rsidRPr="009A1C8E" w:rsidRDefault="009C4EFB" w:rsidP="00A14F68">
            <w:pPr>
              <w:spacing w:before="120" w:after="120" w:line="276" w:lineRule="auto"/>
            </w:pPr>
            <w:r w:rsidRPr="009A1C8E">
              <w:t>Exercise physiology and physical wellbeing activities (n=1, 11%)</w:t>
            </w:r>
          </w:p>
        </w:tc>
        <w:tc>
          <w:tcPr>
            <w:tcW w:w="4110" w:type="dxa"/>
          </w:tcPr>
          <w:p w:rsidR="009C4EFB" w:rsidRPr="009A1C8E" w:rsidRDefault="009C4EFB" w:rsidP="00A14F68">
            <w:pPr>
              <w:spacing w:before="120" w:after="120" w:line="276" w:lineRule="auto"/>
            </w:pPr>
            <w:r w:rsidRPr="009A1C8E">
              <w:t>Vision equipment (n=1, 14%)</w:t>
            </w:r>
          </w:p>
        </w:tc>
      </w:tr>
    </w:tbl>
    <w:p w:rsidR="00780F39" w:rsidRDefault="009C4EFB" w:rsidP="00830706">
      <w:pPr>
        <w:pStyle w:val="Heading3"/>
      </w:pPr>
      <w:r w:rsidRPr="009A1C8E">
        <w:t>Appen</w:t>
      </w:r>
      <w:r w:rsidR="00780F39">
        <w:t>dix 4B</w:t>
      </w:r>
    </w:p>
    <w:p w:rsidR="009C4EFB" w:rsidRPr="009A1C8E" w:rsidRDefault="009C4EFB" w:rsidP="00780F39">
      <w:proofErr w:type="gramStart"/>
      <w:r w:rsidRPr="009A1C8E">
        <w:t>Services that providers plan on stopping and reducing in the next 12 months.</w:t>
      </w:r>
      <w:proofErr w:type="gramEnd"/>
      <w:r w:rsidRPr="009A1C8E">
        <w:t xml:space="preserve"> </w:t>
      </w:r>
      <w:proofErr w:type="gramStart"/>
      <w:r w:rsidRPr="009A1C8E">
        <w:t>Victoria</w:t>
      </w:r>
      <w:r w:rsidR="00C37E56" w:rsidRPr="009A1C8E">
        <w:t>n</w:t>
      </w:r>
      <w:r w:rsidRPr="009A1C8E">
        <w:t xml:space="preserve"> and national analysis.</w:t>
      </w:r>
      <w:proofErr w:type="gramEnd"/>
    </w:p>
    <w:tbl>
      <w:tblPr>
        <w:tblStyle w:val="TableGrid"/>
        <w:tblW w:w="9492" w:type="dxa"/>
        <w:tblLook w:val="04A0"/>
      </w:tblPr>
      <w:tblGrid>
        <w:gridCol w:w="988"/>
        <w:gridCol w:w="4394"/>
        <w:gridCol w:w="4110"/>
      </w:tblGrid>
      <w:tr w:rsidR="009C4EFB" w:rsidRPr="009A1C8E" w:rsidTr="00AC237C">
        <w:trPr>
          <w:tblHeader/>
        </w:trPr>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97594"/>
          </w:tcPr>
          <w:p w:rsidR="009C4EFB" w:rsidRPr="00AC237C" w:rsidRDefault="009C4EFB" w:rsidP="00A14F68">
            <w:pPr>
              <w:spacing w:before="120" w:after="120" w:line="276" w:lineRule="auto"/>
              <w:rPr>
                <w:b/>
                <w:color w:val="FFFFFF" w:themeColor="background1"/>
              </w:rPr>
            </w:pPr>
            <w:bookmarkStart w:id="82" w:name="Title_8" w:colFirst="0" w:colLast="0"/>
            <w:r w:rsidRPr="00AC237C">
              <w:rPr>
                <w:b/>
                <w:color w:val="FFFFFF" w:themeColor="background1"/>
              </w:rPr>
              <w:t>Top 5</w:t>
            </w:r>
          </w:p>
        </w:tc>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97594"/>
          </w:tcPr>
          <w:p w:rsidR="009C4EFB" w:rsidRPr="00AC237C" w:rsidRDefault="009C4EFB" w:rsidP="00A14F68">
            <w:pPr>
              <w:spacing w:before="120" w:after="120" w:line="276" w:lineRule="auto"/>
              <w:rPr>
                <w:b/>
                <w:color w:val="FFFFFF" w:themeColor="background1"/>
              </w:rPr>
            </w:pPr>
            <w:r w:rsidRPr="00AC237C">
              <w:rPr>
                <w:b/>
                <w:color w:val="FFFFFF" w:themeColor="background1"/>
              </w:rPr>
              <w:t>Victoria</w:t>
            </w:r>
          </w:p>
        </w:tc>
        <w:tc>
          <w:tcPr>
            <w:tcW w:w="4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97594"/>
          </w:tcPr>
          <w:p w:rsidR="009C4EFB" w:rsidRPr="00AC237C" w:rsidRDefault="009C4EFB" w:rsidP="00A14F68">
            <w:pPr>
              <w:spacing w:before="120" w:after="120" w:line="276" w:lineRule="auto"/>
              <w:rPr>
                <w:b/>
                <w:color w:val="FFFFFF" w:themeColor="background1"/>
              </w:rPr>
            </w:pPr>
            <w:r w:rsidRPr="00AC237C">
              <w:rPr>
                <w:b/>
                <w:color w:val="FFFFFF" w:themeColor="background1"/>
              </w:rPr>
              <w:t>Nationally</w:t>
            </w:r>
          </w:p>
        </w:tc>
      </w:tr>
      <w:bookmarkEnd w:id="82"/>
      <w:tr w:rsidR="009C4EFB" w:rsidRPr="009A1C8E" w:rsidTr="00AC237C">
        <w:tc>
          <w:tcPr>
            <w:tcW w:w="988" w:type="dxa"/>
            <w:tcBorders>
              <w:top w:val="single" w:sz="4" w:space="0" w:color="FFFFFF" w:themeColor="background1"/>
            </w:tcBorders>
          </w:tcPr>
          <w:p w:rsidR="009C4EFB" w:rsidRPr="009A1C8E" w:rsidRDefault="009C4EFB" w:rsidP="00A14F68">
            <w:pPr>
              <w:spacing w:before="120" w:after="120" w:line="276" w:lineRule="auto"/>
            </w:pPr>
            <w:r w:rsidRPr="009A1C8E">
              <w:t>1</w:t>
            </w:r>
          </w:p>
        </w:tc>
        <w:tc>
          <w:tcPr>
            <w:tcW w:w="4394" w:type="dxa"/>
            <w:tcBorders>
              <w:top w:val="single" w:sz="4" w:space="0" w:color="FFFFFF" w:themeColor="background1"/>
            </w:tcBorders>
          </w:tcPr>
          <w:p w:rsidR="009C4EFB" w:rsidRPr="009A1C8E" w:rsidRDefault="009C4EFB" w:rsidP="00A14F68">
            <w:pPr>
              <w:spacing w:before="120" w:after="120" w:line="276" w:lineRule="auto"/>
            </w:pPr>
            <w:r w:rsidRPr="009A1C8E">
              <w:t>Home modification (n=3, 33%)</w:t>
            </w:r>
          </w:p>
        </w:tc>
        <w:tc>
          <w:tcPr>
            <w:tcW w:w="4110" w:type="dxa"/>
            <w:tcBorders>
              <w:top w:val="single" w:sz="4" w:space="0" w:color="FFFFFF" w:themeColor="background1"/>
            </w:tcBorders>
          </w:tcPr>
          <w:p w:rsidR="009C4EFB" w:rsidRPr="009A1C8E" w:rsidRDefault="009C4EFB" w:rsidP="00A14F68">
            <w:pPr>
              <w:spacing w:before="120" w:after="120" w:line="276" w:lineRule="auto"/>
            </w:pPr>
            <w:r w:rsidRPr="009A1C8E">
              <w:t>Plan management (n=18, 18%)</w:t>
            </w:r>
          </w:p>
        </w:tc>
      </w:tr>
      <w:tr w:rsidR="009C4EFB" w:rsidRPr="009A1C8E" w:rsidTr="00AD536F">
        <w:tc>
          <w:tcPr>
            <w:tcW w:w="988" w:type="dxa"/>
          </w:tcPr>
          <w:p w:rsidR="009C4EFB" w:rsidRPr="009A1C8E" w:rsidRDefault="009C4EFB" w:rsidP="00A14F68">
            <w:pPr>
              <w:spacing w:before="120" w:after="120" w:line="276" w:lineRule="auto"/>
            </w:pPr>
            <w:r w:rsidRPr="009A1C8E">
              <w:t>2</w:t>
            </w:r>
          </w:p>
        </w:tc>
        <w:tc>
          <w:tcPr>
            <w:tcW w:w="4394" w:type="dxa"/>
          </w:tcPr>
          <w:p w:rsidR="009C4EFB" w:rsidRPr="009A1C8E" w:rsidRDefault="009C4EFB" w:rsidP="00A14F68">
            <w:pPr>
              <w:spacing w:before="120" w:after="120" w:line="276" w:lineRule="auto"/>
            </w:pPr>
            <w:r w:rsidRPr="009A1C8E">
              <w:t>Vehicle modifications (n=2, 25%)</w:t>
            </w:r>
          </w:p>
        </w:tc>
        <w:tc>
          <w:tcPr>
            <w:tcW w:w="4110" w:type="dxa"/>
          </w:tcPr>
          <w:p w:rsidR="009C4EFB" w:rsidRPr="009A1C8E" w:rsidRDefault="009C4EFB" w:rsidP="00A14F68">
            <w:pPr>
              <w:spacing w:before="120" w:after="120" w:line="276" w:lineRule="auto"/>
            </w:pPr>
            <w:r w:rsidRPr="009A1C8E">
              <w:t>Assistance with travel and transport (n=22, 15%)</w:t>
            </w:r>
          </w:p>
        </w:tc>
      </w:tr>
      <w:tr w:rsidR="009C4EFB" w:rsidRPr="009A1C8E" w:rsidTr="00AD536F">
        <w:tc>
          <w:tcPr>
            <w:tcW w:w="988" w:type="dxa"/>
          </w:tcPr>
          <w:p w:rsidR="009C4EFB" w:rsidRPr="009A1C8E" w:rsidRDefault="009C4EFB" w:rsidP="00A14F68">
            <w:pPr>
              <w:spacing w:before="120" w:after="120" w:line="276" w:lineRule="auto"/>
            </w:pPr>
            <w:r w:rsidRPr="009A1C8E">
              <w:t>3</w:t>
            </w:r>
          </w:p>
        </w:tc>
        <w:tc>
          <w:tcPr>
            <w:tcW w:w="4394" w:type="dxa"/>
          </w:tcPr>
          <w:p w:rsidR="009C4EFB" w:rsidRPr="009A1C8E" w:rsidRDefault="009C4EFB" w:rsidP="00A14F68">
            <w:pPr>
              <w:spacing w:before="120" w:after="120" w:line="276" w:lineRule="auto"/>
            </w:pPr>
            <w:r w:rsidRPr="009A1C8E">
              <w:t>Assistive Technology (n=2, 22%)</w:t>
            </w:r>
          </w:p>
        </w:tc>
        <w:tc>
          <w:tcPr>
            <w:tcW w:w="4110" w:type="dxa"/>
          </w:tcPr>
          <w:p w:rsidR="009C4EFB" w:rsidRPr="009A1C8E" w:rsidRDefault="009C4EFB" w:rsidP="00A14F68">
            <w:pPr>
              <w:spacing w:before="120" w:after="120" w:line="276" w:lineRule="auto"/>
            </w:pPr>
            <w:r w:rsidRPr="009A1C8E">
              <w:t>Behaviour support (n=15, 13%)</w:t>
            </w:r>
          </w:p>
        </w:tc>
      </w:tr>
      <w:tr w:rsidR="009C4EFB" w:rsidRPr="009A1C8E" w:rsidTr="00AD536F">
        <w:tc>
          <w:tcPr>
            <w:tcW w:w="988" w:type="dxa"/>
          </w:tcPr>
          <w:p w:rsidR="009C4EFB" w:rsidRPr="009A1C8E" w:rsidRDefault="009C4EFB" w:rsidP="00A14F68">
            <w:pPr>
              <w:spacing w:before="120" w:after="120" w:line="276" w:lineRule="auto"/>
            </w:pPr>
            <w:r w:rsidRPr="009A1C8E">
              <w:t>4</w:t>
            </w:r>
          </w:p>
        </w:tc>
        <w:tc>
          <w:tcPr>
            <w:tcW w:w="4394" w:type="dxa"/>
          </w:tcPr>
          <w:p w:rsidR="009C4EFB" w:rsidRPr="009A1C8E" w:rsidRDefault="009C4EFB" w:rsidP="00A14F68">
            <w:pPr>
              <w:spacing w:before="120" w:after="120" w:line="276" w:lineRule="auto"/>
            </w:pPr>
            <w:r w:rsidRPr="009A1C8E">
              <w:t>Assistance with travel and transport (n=7, 20%)</w:t>
            </w:r>
          </w:p>
        </w:tc>
        <w:tc>
          <w:tcPr>
            <w:tcW w:w="4110" w:type="dxa"/>
          </w:tcPr>
          <w:p w:rsidR="009C4EFB" w:rsidRPr="009A1C8E" w:rsidRDefault="009C4EFB" w:rsidP="00A14F68">
            <w:pPr>
              <w:spacing w:before="120" w:after="120" w:line="276" w:lineRule="auto"/>
            </w:pPr>
            <w:r w:rsidRPr="009A1C8E">
              <w:t>Therapeutic supports (n=14, 9%)</w:t>
            </w:r>
          </w:p>
        </w:tc>
      </w:tr>
      <w:tr w:rsidR="009C4EFB" w:rsidRPr="009A1C8E" w:rsidTr="00AD536F">
        <w:tc>
          <w:tcPr>
            <w:tcW w:w="988" w:type="dxa"/>
          </w:tcPr>
          <w:p w:rsidR="009C4EFB" w:rsidRPr="009A1C8E" w:rsidRDefault="009C4EFB" w:rsidP="00A14F68">
            <w:pPr>
              <w:spacing w:before="120" w:after="120" w:line="276" w:lineRule="auto"/>
            </w:pPr>
            <w:r w:rsidRPr="009A1C8E">
              <w:t>5</w:t>
            </w:r>
          </w:p>
        </w:tc>
        <w:tc>
          <w:tcPr>
            <w:tcW w:w="4394" w:type="dxa"/>
          </w:tcPr>
          <w:p w:rsidR="009C4EFB" w:rsidRPr="009A1C8E" w:rsidRDefault="009C4EFB" w:rsidP="00A14F68">
            <w:pPr>
              <w:spacing w:before="120" w:after="120" w:line="276" w:lineRule="auto"/>
            </w:pPr>
            <w:r w:rsidRPr="009A1C8E">
              <w:t>High intensity daily personal activities (n=5, 18%)</w:t>
            </w:r>
          </w:p>
        </w:tc>
        <w:tc>
          <w:tcPr>
            <w:tcW w:w="4110" w:type="dxa"/>
          </w:tcPr>
          <w:p w:rsidR="009C4EFB" w:rsidRPr="009A1C8E" w:rsidRDefault="009C4EFB" w:rsidP="00A14F68">
            <w:pPr>
              <w:spacing w:before="120" w:after="120" w:line="276" w:lineRule="auto"/>
            </w:pPr>
            <w:r w:rsidRPr="009A1C8E">
              <w:t>Household tasks (n=13, 9%)</w:t>
            </w:r>
          </w:p>
        </w:tc>
      </w:tr>
    </w:tbl>
    <w:p w:rsidR="00C504AF" w:rsidRDefault="00C504AF" w:rsidP="00830706">
      <w:pPr>
        <w:pStyle w:val="Heading3"/>
        <w:sectPr w:rsidR="00C504AF" w:rsidSect="00AC237C">
          <w:pgSz w:w="12240" w:h="15840"/>
          <w:pgMar w:top="1440" w:right="1440" w:bottom="1440" w:left="1440" w:header="720" w:footer="720" w:gutter="0"/>
          <w:cols w:space="720"/>
          <w:docGrid w:linePitch="360"/>
        </w:sectPr>
      </w:pPr>
    </w:p>
    <w:p w:rsidR="00780F39" w:rsidRDefault="00780F39" w:rsidP="00830706">
      <w:pPr>
        <w:pStyle w:val="Heading3"/>
      </w:pPr>
      <w:r>
        <w:lastRenderedPageBreak/>
        <w:t>Appendix 4C</w:t>
      </w:r>
    </w:p>
    <w:p w:rsidR="009C4EFB" w:rsidRPr="009A1C8E" w:rsidRDefault="007A3796" w:rsidP="00780F39">
      <w:r w:rsidRPr="009A1C8E">
        <w:t>Regarding the services your organisation has not been able to provide, what do you think will happen in most cases?</w:t>
      </w:r>
      <w:r w:rsidR="009C4EFB" w:rsidRPr="009A1C8E">
        <w:t xml:space="preserve"> </w:t>
      </w:r>
      <w:proofErr w:type="gramStart"/>
      <w:r w:rsidR="009C4EFB" w:rsidRPr="009A1C8E">
        <w:t>Victoria</w:t>
      </w:r>
      <w:r w:rsidR="00C37E56" w:rsidRPr="009A1C8E">
        <w:t>n</w:t>
      </w:r>
      <w:r w:rsidR="009C4EFB" w:rsidRPr="009A1C8E">
        <w:t xml:space="preserve"> and national analysis.</w:t>
      </w:r>
      <w:proofErr w:type="gramEnd"/>
    </w:p>
    <w:p w:rsidR="009C4EFB" w:rsidRPr="009A1C8E" w:rsidRDefault="009C4EFB" w:rsidP="00A14F68">
      <w:pPr>
        <w:spacing w:before="120" w:after="120" w:line="276" w:lineRule="auto"/>
      </w:pPr>
      <w:r w:rsidRPr="009A1C8E">
        <w:rPr>
          <w:noProof/>
          <w:lang w:eastAsia="en-AU"/>
        </w:rPr>
        <w:drawing>
          <wp:inline distT="0" distB="0" distL="0" distR="0">
            <wp:extent cx="8223250" cy="3714750"/>
            <wp:effectExtent l="0" t="0" r="6350" b="0"/>
            <wp:docPr id="35" name="Chart 35" descr="I don't know - Victoria 6%, National 5%.&#10;I expect client needs will be fully met by other organisations - Victoria 12%, National 21%.&#10;I expect some client needs will not be met by other organisations - Victoria 37%, National 30%.&#10;I expect the family of the client or other unpaid supporters will provide the service - Victoria 8%,  National 5%.&#10;I expect these clients needs won't be met and they will go without service - Victoria 29%, National 34%.&#10;Other (please specfiy) - Victoria 8%, National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34D0983D-A75D-C945-8FDE-443F95C559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504AF" w:rsidRDefault="00C504AF">
      <w:pPr>
        <w:spacing w:line="259" w:lineRule="auto"/>
        <w:rPr>
          <w:rFonts w:eastAsiaTheme="majorEastAsia" w:cs="Arial"/>
          <w:b/>
          <w:sz w:val="28"/>
        </w:rPr>
      </w:pPr>
      <w:bookmarkStart w:id="83" w:name="OLE_LINK3"/>
      <w:r>
        <w:br w:type="page"/>
      </w:r>
    </w:p>
    <w:p w:rsidR="009F75BA" w:rsidRDefault="009F75BA" w:rsidP="00830706">
      <w:pPr>
        <w:pStyle w:val="Heading3"/>
      </w:pPr>
      <w:r>
        <w:lastRenderedPageBreak/>
        <w:t>Appendix 4D</w:t>
      </w:r>
    </w:p>
    <w:p w:rsidR="009C4EFB" w:rsidRPr="009A1C8E" w:rsidRDefault="007A3796" w:rsidP="009F75BA">
      <w:r w:rsidRPr="009A1C8E">
        <w:t xml:space="preserve">Regarding the services your organisation has not been able to provide, what do you think will happen in most cases? </w:t>
      </w:r>
      <w:bookmarkEnd w:id="83"/>
      <w:proofErr w:type="gramStart"/>
      <w:r w:rsidR="009C4EFB" w:rsidRPr="009A1C8E">
        <w:t>Geographical group analysis.</w:t>
      </w:r>
      <w:proofErr w:type="gramEnd"/>
    </w:p>
    <w:p w:rsidR="009C4EFB" w:rsidRPr="009A1C8E" w:rsidRDefault="009C4EFB" w:rsidP="00A14F68">
      <w:pPr>
        <w:spacing w:before="120" w:after="120" w:line="276" w:lineRule="auto"/>
      </w:pPr>
      <w:r w:rsidRPr="009A1C8E">
        <w:rPr>
          <w:noProof/>
          <w:lang w:eastAsia="en-AU"/>
        </w:rPr>
        <w:drawing>
          <wp:inline distT="0" distB="0" distL="0" distR="0">
            <wp:extent cx="8089900" cy="3924300"/>
            <wp:effectExtent l="0" t="0" r="6350" b="0"/>
            <wp:docPr id="36" name="Chart 36" descr="I don't know - Metro 7%, Regional 0, State-wide 11%.&#10;I expect client needs will be fully met by other organisations - Metro 7%, Regional 20%, State-wide 11%.&#10;I expect some client needs will not be met by other organisations - Metro 37%, Regional 30%, State-wide 44%.&#10;I expect the family of the client or other unpaid supporters will provide the service - Metro 0, Regional 10%, State-wide 17%.&#10;I expect these clients needs won't be met and they will go without service - Metro 41%, Regional 25%, State-wide 17%.&#10;Other (please specfiy) - Metro 7%, Regional 15%, State-wide 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504D6B75-09CC-654A-9EA1-84E226EC05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B5729C" w:rsidRDefault="00B5729C">
      <w:pPr>
        <w:spacing w:line="259" w:lineRule="auto"/>
        <w:rPr>
          <w:rFonts w:eastAsiaTheme="majorEastAsia" w:cs="Arial"/>
          <w:b/>
          <w:sz w:val="28"/>
        </w:rPr>
        <w:sectPr w:rsidR="00B5729C" w:rsidSect="00AC237C">
          <w:pgSz w:w="15840" w:h="12240" w:orient="landscape"/>
          <w:pgMar w:top="1440" w:right="1440" w:bottom="1440" w:left="1440" w:header="720" w:footer="720" w:gutter="0"/>
          <w:cols w:space="720"/>
          <w:docGrid w:linePitch="360"/>
        </w:sectPr>
      </w:pPr>
    </w:p>
    <w:p w:rsidR="009F75BA" w:rsidRDefault="009F75BA" w:rsidP="00830706">
      <w:pPr>
        <w:pStyle w:val="Heading3"/>
      </w:pPr>
      <w:r>
        <w:lastRenderedPageBreak/>
        <w:t>Appendix 4E</w:t>
      </w:r>
    </w:p>
    <w:p w:rsidR="009C4EFB" w:rsidRPr="009A1C8E" w:rsidRDefault="009C4EFB" w:rsidP="009F75BA">
      <w:proofErr w:type="gramStart"/>
      <w:r w:rsidRPr="009A1C8E">
        <w:t>Merger activity across Victoria.</w:t>
      </w:r>
      <w:proofErr w:type="gramEnd"/>
      <w:r w:rsidRPr="009A1C8E">
        <w:t xml:space="preserve"> </w:t>
      </w:r>
      <w:proofErr w:type="gramStart"/>
      <w:r w:rsidRPr="009A1C8E">
        <w:t>Geographical group analysis.</w:t>
      </w:r>
      <w:proofErr w:type="gramEnd"/>
    </w:p>
    <w:p w:rsidR="009C4EFB" w:rsidRPr="009A1C8E" w:rsidRDefault="009C4EFB" w:rsidP="00A14F68">
      <w:pPr>
        <w:spacing w:before="120" w:after="120" w:line="276" w:lineRule="auto"/>
      </w:pPr>
      <w:r w:rsidRPr="009A1C8E">
        <w:rPr>
          <w:noProof/>
          <w:lang w:eastAsia="en-AU"/>
        </w:rPr>
        <w:drawing>
          <wp:inline distT="0" distB="0" distL="0" distR="0">
            <wp:extent cx="5829300" cy="2813050"/>
            <wp:effectExtent l="0" t="0" r="0" b="6350"/>
            <wp:docPr id="33" name="Chart 33" descr="Discussed merger: Metro 35%, Regional 23%, State-wide 45%.&#10;Planning to undertake a merger: Metro 7%, Regional 7%, State-wide 18%.&#10;Currently undertaking a merger: Metro 3%, Regional 3%, State-wide 17%.&#10;Completed a merger in the last 12 months: Metro 3%, Regional 3%, State-wide 1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3E7D0DB1-03ED-C441-8C3B-9D765FEB14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B659D" w:rsidRDefault="001B659D" w:rsidP="00830706">
      <w:pPr>
        <w:pStyle w:val="Heading3"/>
      </w:pPr>
      <w:r>
        <w:t>Appendix 4F</w:t>
      </w:r>
    </w:p>
    <w:p w:rsidR="009C4EFB" w:rsidRPr="009A1C8E" w:rsidRDefault="00387D32" w:rsidP="001B659D">
      <w:r w:rsidRPr="009A1C8E">
        <w:t xml:space="preserve">How likely is it that this organisation will complete a merger in the next two years? </w:t>
      </w:r>
      <w:proofErr w:type="gramStart"/>
      <w:r w:rsidR="009C4EFB" w:rsidRPr="009A1C8E">
        <w:t>Geographical group analysis.</w:t>
      </w:r>
      <w:proofErr w:type="gramEnd"/>
    </w:p>
    <w:p w:rsidR="009C4EFB" w:rsidRPr="009A1C8E" w:rsidRDefault="009C4EFB" w:rsidP="00A14F68">
      <w:pPr>
        <w:spacing w:before="120" w:after="120" w:line="276" w:lineRule="auto"/>
      </w:pPr>
      <w:r w:rsidRPr="009A1C8E">
        <w:rPr>
          <w:noProof/>
          <w:lang w:eastAsia="en-AU"/>
        </w:rPr>
        <w:drawing>
          <wp:inline distT="0" distB="0" distL="0" distR="0">
            <wp:extent cx="5784850" cy="2851150"/>
            <wp:effectExtent l="0" t="0" r="6350" b="6350"/>
            <wp:docPr id="25" name="Chart 25" descr="Don't know: Metro and Regional 0, State-wide 10%.&#10;Very likely or likely: Metro 33%, Regional 43%, State-wide 40%.&#10;Neither likely nor unlikely: Metro 25%, Regional 29%, State-wide 0.&#10;Very unlikely or unlikely: Metro 42%, Regional 29%, State-wide 5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C13F004E-B1C3-484A-8291-9BEF70999F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56725" w:rsidRDefault="00A56725">
      <w:pPr>
        <w:spacing w:line="259" w:lineRule="auto"/>
        <w:rPr>
          <w:rFonts w:eastAsiaTheme="majorEastAsia" w:cs="Arial"/>
          <w:b/>
          <w:sz w:val="28"/>
        </w:rPr>
      </w:pPr>
      <w:r>
        <w:br w:type="page"/>
      </w:r>
    </w:p>
    <w:p w:rsidR="004B6782" w:rsidRDefault="004B6782" w:rsidP="00830706">
      <w:pPr>
        <w:pStyle w:val="Heading3"/>
      </w:pPr>
      <w:r>
        <w:lastRenderedPageBreak/>
        <w:t>Appendix 4G</w:t>
      </w:r>
    </w:p>
    <w:p w:rsidR="009C4EFB" w:rsidRPr="009A1C8E" w:rsidRDefault="00FC4312" w:rsidP="004B6782">
      <w:r w:rsidRPr="009A1C8E">
        <w:t xml:space="preserve">Over the last 12 months, has your organisation discussed </w:t>
      </w:r>
      <w:r w:rsidR="009C4EFB" w:rsidRPr="009A1C8E">
        <w:t>winding-up (closing) the organisation</w:t>
      </w:r>
      <w:r w:rsidRPr="009A1C8E">
        <w:t>?</w:t>
      </w:r>
      <w:r w:rsidR="009C4EFB" w:rsidRPr="009A1C8E">
        <w:t xml:space="preserve"> </w:t>
      </w:r>
      <w:proofErr w:type="gramStart"/>
      <w:r w:rsidR="009C4EFB" w:rsidRPr="009A1C8E">
        <w:t>Geographical group analysis.</w:t>
      </w:r>
      <w:proofErr w:type="gramEnd"/>
    </w:p>
    <w:p w:rsidR="00DD3740" w:rsidRPr="009A1C8E" w:rsidRDefault="009C4EFB" w:rsidP="00A14F68">
      <w:pPr>
        <w:spacing w:before="120" w:after="120" w:line="276" w:lineRule="auto"/>
      </w:pPr>
      <w:r w:rsidRPr="009A1C8E">
        <w:rPr>
          <w:noProof/>
          <w:lang w:eastAsia="en-AU"/>
        </w:rPr>
        <w:drawing>
          <wp:inline distT="0" distB="0" distL="0" distR="0">
            <wp:extent cx="5918200" cy="3086100"/>
            <wp:effectExtent l="0" t="0" r="6350" b="0"/>
            <wp:docPr id="34" name="Chart 34" descr="Don't know: Metro 6%, Regional 4%, State-wide 0.&#10;No: Metro 81%, Regional 79%, State-wide 95%.&#10;Yes: Metro 13%, Regional 18%, State-wide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3FA47011-8F97-9141-982B-2B1C1CD604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sectPr w:rsidR="00DD3740" w:rsidRPr="009A1C8E" w:rsidSect="00AC237C">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739D00" w16cid:durableId="2059649A"/>
  <w16cid:commentId w16cid:paraId="7703819F" w16cid:durableId="2058E0F2"/>
  <w16cid:commentId w16cid:paraId="57EDBA1B" w16cid:durableId="20583D4D"/>
  <w16cid:commentId w16cid:paraId="0FC390AB" w16cid:durableId="2059649E"/>
  <w16cid:commentId w16cid:paraId="272E7B86" w16cid:durableId="20583E6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A61" w:rsidRDefault="00411A61" w:rsidP="002F1219">
      <w:r>
        <w:separator/>
      </w:r>
    </w:p>
  </w:endnote>
  <w:endnote w:type="continuationSeparator" w:id="0">
    <w:p w:rsidR="00411A61" w:rsidRDefault="00411A61" w:rsidP="002F1219">
      <w:r>
        <w:continuationSeparator/>
      </w:r>
    </w:p>
  </w:endnote>
  <w:endnote w:type="continuationNotice" w:id="1">
    <w:p w:rsidR="00411A61" w:rsidRDefault="00411A61" w:rsidP="002F121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29" w:rsidRPr="00BC5033" w:rsidRDefault="002D37DC" w:rsidP="00830706">
    <w:pPr>
      <w:pStyle w:val="Footer"/>
      <w:spacing w:after="0"/>
      <w:rPr>
        <w:color w:val="497594"/>
        <w:szCs w:val="20"/>
      </w:rPr>
    </w:pPr>
    <w:sdt>
      <w:sdtPr>
        <w:rPr>
          <w:color w:val="497594"/>
          <w:szCs w:val="20"/>
        </w:rPr>
        <w:id w:val="2021649163"/>
        <w:docPartObj>
          <w:docPartGallery w:val="Page Numbers (Bottom of Page)"/>
          <w:docPartUnique/>
        </w:docPartObj>
      </w:sdtPr>
      <w:sdtContent>
        <w:sdt>
          <w:sdtPr>
            <w:rPr>
              <w:color w:val="497594"/>
              <w:szCs w:val="20"/>
            </w:rPr>
            <w:id w:val="1856847735"/>
            <w:docPartObj>
              <w:docPartGallery w:val="Page Numbers (Top of Page)"/>
              <w:docPartUnique/>
            </w:docPartObj>
          </w:sdtPr>
          <w:sdtContent>
            <w:r w:rsidR="005E0829" w:rsidRPr="00BC5033">
              <w:rPr>
                <w:color w:val="497594"/>
              </w:rPr>
              <w:t>Victorian NDIS Market Dynamics Study FINAL REPORT</w:t>
            </w:r>
            <w:r w:rsidR="005E0829" w:rsidRPr="00BC5033">
              <w:rPr>
                <w:color w:val="497594"/>
              </w:rPr>
              <w:tab/>
              <w:t xml:space="preserve"> </w:t>
            </w:r>
            <w:r w:rsidR="005E0829" w:rsidRPr="00BC5033">
              <w:rPr>
                <w:color w:val="497594"/>
                <w:szCs w:val="20"/>
              </w:rPr>
              <w:t xml:space="preserve">Page </w:t>
            </w:r>
            <w:r w:rsidRPr="00BC5033">
              <w:rPr>
                <w:color w:val="497594"/>
                <w:szCs w:val="20"/>
              </w:rPr>
              <w:fldChar w:fldCharType="begin"/>
            </w:r>
            <w:r w:rsidR="005E0829" w:rsidRPr="00BC5033">
              <w:rPr>
                <w:color w:val="497594"/>
                <w:szCs w:val="20"/>
              </w:rPr>
              <w:instrText xml:space="preserve"> PAGE </w:instrText>
            </w:r>
            <w:r w:rsidRPr="00BC5033">
              <w:rPr>
                <w:color w:val="497594"/>
                <w:szCs w:val="20"/>
              </w:rPr>
              <w:fldChar w:fldCharType="separate"/>
            </w:r>
            <w:r w:rsidR="00AB6823">
              <w:rPr>
                <w:noProof/>
                <w:color w:val="497594"/>
                <w:szCs w:val="20"/>
              </w:rPr>
              <w:t>81</w:t>
            </w:r>
            <w:r w:rsidRPr="00BC5033">
              <w:rPr>
                <w:color w:val="497594"/>
                <w:szCs w:val="20"/>
              </w:rPr>
              <w:fldChar w:fldCharType="end"/>
            </w:r>
            <w:r w:rsidR="005E0829" w:rsidRPr="00BC5033">
              <w:rPr>
                <w:color w:val="497594"/>
                <w:szCs w:val="20"/>
              </w:rPr>
              <w:t xml:space="preserve"> of </w:t>
            </w:r>
            <w:r w:rsidRPr="00BC5033">
              <w:rPr>
                <w:color w:val="497594"/>
                <w:szCs w:val="20"/>
              </w:rPr>
              <w:fldChar w:fldCharType="begin"/>
            </w:r>
            <w:r w:rsidR="005E0829" w:rsidRPr="00BC5033">
              <w:rPr>
                <w:color w:val="497594"/>
                <w:szCs w:val="20"/>
              </w:rPr>
              <w:instrText xml:space="preserve"> NUMPAGES  </w:instrText>
            </w:r>
            <w:r w:rsidRPr="00BC5033">
              <w:rPr>
                <w:color w:val="497594"/>
                <w:szCs w:val="20"/>
              </w:rPr>
              <w:fldChar w:fldCharType="separate"/>
            </w:r>
            <w:r w:rsidR="00AB6823">
              <w:rPr>
                <w:noProof/>
                <w:color w:val="497594"/>
                <w:szCs w:val="20"/>
              </w:rPr>
              <w:t>81</w:t>
            </w:r>
            <w:r w:rsidRPr="00BC5033">
              <w:rPr>
                <w:color w:val="497594"/>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A61" w:rsidRDefault="00411A61" w:rsidP="002F1219">
      <w:r>
        <w:separator/>
      </w:r>
    </w:p>
  </w:footnote>
  <w:footnote w:type="continuationSeparator" w:id="0">
    <w:p w:rsidR="00411A61" w:rsidRDefault="00411A61" w:rsidP="002F1219">
      <w:r>
        <w:continuationSeparator/>
      </w:r>
    </w:p>
  </w:footnote>
  <w:footnote w:type="continuationNotice" w:id="1">
    <w:p w:rsidR="00411A61" w:rsidRDefault="00411A61" w:rsidP="002F1219"/>
  </w:footnote>
  <w:footnote w:id="2">
    <w:p w:rsidR="005E0829" w:rsidRDefault="005E0829" w:rsidP="002F1219">
      <w:pPr>
        <w:pStyle w:val="FootnoteText"/>
      </w:pPr>
      <w:r w:rsidRPr="00E116BB">
        <w:rPr>
          <w:rStyle w:val="FootnoteReference"/>
          <w:sz w:val="28"/>
        </w:rPr>
        <w:footnoteRef/>
      </w:r>
      <w:r w:rsidRPr="00E116BB">
        <w:rPr>
          <w:sz w:val="24"/>
        </w:rPr>
        <w:t xml:space="preserve"> This does not take into account employees who may have resigned and become unemployed.</w:t>
      </w:r>
    </w:p>
  </w:footnote>
  <w:footnote w:id="3">
    <w:p w:rsidR="005E0829" w:rsidRDefault="005E0829" w:rsidP="002F1219">
      <w:pPr>
        <w:pStyle w:val="FootnoteText"/>
      </w:pPr>
      <w:r>
        <w:rPr>
          <w:rStyle w:val="FootnoteReference"/>
        </w:rPr>
        <w:footnoteRef/>
      </w:r>
      <w:r>
        <w:t xml:space="preserve"> </w:t>
      </w:r>
      <w:proofErr w:type="spellStart"/>
      <w:r>
        <w:t>Corporates</w:t>
      </w:r>
      <w:proofErr w:type="spellEnd"/>
      <w:r>
        <w:t xml:space="preserve"> ranged from the following sectors: consumer, retail, industrial, energy and natural resources, financial services, and health, ageing and human services. The disability sector was not included.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29" w:rsidRPr="00D62E47" w:rsidRDefault="005E0829" w:rsidP="00830706">
    <w:pPr>
      <w:pStyle w:val="Header"/>
      <w:spacing w:after="360"/>
      <w:rPr>
        <w:sz w:val="18"/>
      </w:rPr>
    </w:pPr>
    <w:r w:rsidRPr="00D62E47">
      <w:rPr>
        <w:noProof/>
        <w:sz w:val="18"/>
        <w:lang w:eastAsia="en-AU"/>
      </w:rPr>
      <w:drawing>
        <wp:inline distT="0" distB="0" distL="0" distR="0">
          <wp:extent cx="1913255" cy="721956"/>
          <wp:effectExtent l="0" t="0" r="0" b="2540"/>
          <wp:docPr id="29" name="Picture 29" descr="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DS_New_RGB.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7218"/>
                  <a:stretch/>
                </pic:blipFill>
                <pic:spPr bwMode="auto">
                  <a:xfrm>
                    <a:off x="0" y="0"/>
                    <a:ext cx="1920477" cy="72468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29" w:rsidRPr="00D62E47" w:rsidRDefault="005E0829" w:rsidP="00AC237C">
    <w:pPr>
      <w:pStyle w:val="Header"/>
      <w:spacing w:after="240"/>
      <w:rPr>
        <w:sz w:val="18"/>
      </w:rPr>
    </w:pPr>
    <w:r w:rsidRPr="00D62E47">
      <w:rPr>
        <w:noProof/>
        <w:sz w:val="18"/>
        <w:lang w:eastAsia="en-AU"/>
      </w:rPr>
      <w:drawing>
        <wp:inline distT="0" distB="0" distL="0" distR="0">
          <wp:extent cx="1766575" cy="618490"/>
          <wp:effectExtent l="0" t="0" r="5080" b="0"/>
          <wp:docPr id="2" name="Picture 2" descr="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DS_New_RG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86164" cy="62534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550B"/>
    <w:multiLevelType w:val="hybridMultilevel"/>
    <w:tmpl w:val="9234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A0855"/>
    <w:multiLevelType w:val="hybridMultilevel"/>
    <w:tmpl w:val="B4D0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365FC"/>
    <w:multiLevelType w:val="hybridMultilevel"/>
    <w:tmpl w:val="EB70D3DC"/>
    <w:lvl w:ilvl="0" w:tplc="9A6A718C">
      <w:start w:val="1"/>
      <w:numFmt w:val="decimal"/>
      <w:lvlText w:val="%1."/>
      <w:lvlJc w:val="left"/>
      <w:pPr>
        <w:ind w:left="720" w:hanging="360"/>
      </w:pPr>
      <w:rPr>
        <w:b/>
        <w:color w:val="497594"/>
      </w:rPr>
    </w:lvl>
    <w:lvl w:ilvl="1" w:tplc="41CA614C">
      <w:start w:val="1"/>
      <w:numFmt w:val="lowerLetter"/>
      <w:lvlText w:val="%2."/>
      <w:lvlJc w:val="left"/>
      <w:pPr>
        <w:ind w:left="1352" w:hanging="360"/>
      </w:pPr>
      <w:rPr>
        <w:color w:val="49759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23406"/>
    <w:multiLevelType w:val="hybridMultilevel"/>
    <w:tmpl w:val="2FF8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B59C5"/>
    <w:multiLevelType w:val="multilevel"/>
    <w:tmpl w:val="4BFA4C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AB79D7"/>
    <w:multiLevelType w:val="hybridMultilevel"/>
    <w:tmpl w:val="EB4A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AC2E43"/>
    <w:multiLevelType w:val="hybridMultilevel"/>
    <w:tmpl w:val="1E9E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27217"/>
    <w:multiLevelType w:val="hybridMultilevel"/>
    <w:tmpl w:val="1130C658"/>
    <w:lvl w:ilvl="0" w:tplc="8F261A0C">
      <w:start w:val="1"/>
      <w:numFmt w:val="decimal"/>
      <w:lvlText w:val="%1."/>
      <w:lvlJc w:val="left"/>
      <w:pPr>
        <w:ind w:left="720" w:hanging="360"/>
      </w:pPr>
      <w:rPr>
        <w:b/>
        <w:color w:val="497594"/>
      </w:rPr>
    </w:lvl>
    <w:lvl w:ilvl="1" w:tplc="D292C4A2">
      <w:start w:val="1"/>
      <w:numFmt w:val="lowerLetter"/>
      <w:lvlText w:val="%2."/>
      <w:lvlJc w:val="left"/>
      <w:pPr>
        <w:ind w:left="1440" w:hanging="360"/>
      </w:pPr>
      <w:rPr>
        <w:color w:val="49759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50058"/>
    <w:multiLevelType w:val="hybridMultilevel"/>
    <w:tmpl w:val="65B40E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24BFF"/>
    <w:multiLevelType w:val="hybridMultilevel"/>
    <w:tmpl w:val="820A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24A"/>
    <w:multiLevelType w:val="hybridMultilevel"/>
    <w:tmpl w:val="BA22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84C46"/>
    <w:multiLevelType w:val="multilevel"/>
    <w:tmpl w:val="14682224"/>
    <w:lvl w:ilvl="0">
      <w:start w:val="1"/>
      <w:numFmt w:val="decimal"/>
      <w:lvlText w:val="%1."/>
      <w:lvlJc w:val="left"/>
      <w:pPr>
        <w:ind w:left="720" w:hanging="360"/>
      </w:pPr>
      <w:rPr>
        <w:rFonts w:hint="default"/>
        <w:b/>
        <w:color w:val="497594"/>
      </w:rPr>
    </w:lvl>
    <w:lvl w:ilvl="1">
      <w:start w:val="4"/>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330628B6"/>
    <w:multiLevelType w:val="hybridMultilevel"/>
    <w:tmpl w:val="179C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66DE2"/>
    <w:multiLevelType w:val="hybridMultilevel"/>
    <w:tmpl w:val="99EA5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AD1616"/>
    <w:multiLevelType w:val="hybridMultilevel"/>
    <w:tmpl w:val="C8A4EE4A"/>
    <w:lvl w:ilvl="0" w:tplc="EED88C44">
      <w:start w:val="1"/>
      <w:numFmt w:val="decimal"/>
      <w:lvlText w:val="%1."/>
      <w:lvlJc w:val="left"/>
      <w:pPr>
        <w:ind w:left="720" w:hanging="360"/>
      </w:pPr>
      <w:rPr>
        <w:b/>
        <w:color w:val="497594"/>
      </w:rPr>
    </w:lvl>
    <w:lvl w:ilvl="1" w:tplc="153875F2">
      <w:start w:val="1"/>
      <w:numFmt w:val="lowerLetter"/>
      <w:lvlText w:val="%2."/>
      <w:lvlJc w:val="left"/>
      <w:pPr>
        <w:ind w:left="1440" w:hanging="360"/>
      </w:pPr>
      <w:rPr>
        <w:color w:val="49759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E4377"/>
    <w:multiLevelType w:val="hybridMultilevel"/>
    <w:tmpl w:val="29C4A160"/>
    <w:lvl w:ilvl="0" w:tplc="0809000F">
      <w:start w:val="1"/>
      <w:numFmt w:val="decimal"/>
      <w:lvlText w:val="%1."/>
      <w:lvlJc w:val="left"/>
      <w:pPr>
        <w:ind w:left="720" w:hanging="360"/>
      </w:pPr>
      <w:rPr>
        <w:rFonts w:eastAsia="Times New Roman"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E536C0"/>
    <w:multiLevelType w:val="hybridMultilevel"/>
    <w:tmpl w:val="49F8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5A532E"/>
    <w:multiLevelType w:val="hybridMultilevel"/>
    <w:tmpl w:val="A9B0666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nsid w:val="3FA56EDD"/>
    <w:multiLevelType w:val="hybridMultilevel"/>
    <w:tmpl w:val="E2D6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00794F"/>
    <w:multiLevelType w:val="hybridMultilevel"/>
    <w:tmpl w:val="4C6E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9314F5"/>
    <w:multiLevelType w:val="hybridMultilevel"/>
    <w:tmpl w:val="7E5C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314D05"/>
    <w:multiLevelType w:val="hybridMultilevel"/>
    <w:tmpl w:val="17009D5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nsid w:val="45B26F20"/>
    <w:multiLevelType w:val="hybridMultilevel"/>
    <w:tmpl w:val="A474837A"/>
    <w:lvl w:ilvl="0" w:tplc="0409000F">
      <w:start w:val="1"/>
      <w:numFmt w:val="decimal"/>
      <w:lvlText w:val="%1."/>
      <w:lvlJc w:val="left"/>
      <w:pPr>
        <w:ind w:left="720" w:hanging="360"/>
      </w:pPr>
    </w:lvl>
    <w:lvl w:ilvl="1" w:tplc="591AD090">
      <w:start w:val="1"/>
      <w:numFmt w:val="lowerLetter"/>
      <w:lvlText w:val="%2."/>
      <w:lvlJc w:val="left"/>
      <w:pPr>
        <w:ind w:left="1440" w:hanging="360"/>
      </w:pPr>
      <w:rPr>
        <w:color w:val="49759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A95E19"/>
    <w:multiLevelType w:val="hybridMultilevel"/>
    <w:tmpl w:val="3A648AB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FB0B16"/>
    <w:multiLevelType w:val="hybridMultilevel"/>
    <w:tmpl w:val="08E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6213A0"/>
    <w:multiLevelType w:val="hybridMultilevel"/>
    <w:tmpl w:val="34CE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CA0007"/>
    <w:multiLevelType w:val="hybridMultilevel"/>
    <w:tmpl w:val="AF4445AA"/>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7">
    <w:nsid w:val="5CFC05EB"/>
    <w:multiLevelType w:val="hybridMultilevel"/>
    <w:tmpl w:val="4E56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C036CF"/>
    <w:multiLevelType w:val="hybridMultilevel"/>
    <w:tmpl w:val="E1B6AAA4"/>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4386C5C0">
      <w:start w:val="1"/>
      <w:numFmt w:val="decimal"/>
      <w:lvlText w:val="%4."/>
      <w:lvlJc w:val="left"/>
      <w:pPr>
        <w:ind w:left="2880" w:hanging="360"/>
      </w:pPr>
    </w:lvl>
    <w:lvl w:ilvl="4" w:tplc="D924E640">
      <w:start w:val="1"/>
      <w:numFmt w:val="lowerLetter"/>
      <w:lvlText w:val="%5."/>
      <w:lvlJc w:val="left"/>
      <w:pPr>
        <w:ind w:left="3600" w:hanging="360"/>
      </w:pPr>
    </w:lvl>
    <w:lvl w:ilvl="5" w:tplc="EA3A4D68">
      <w:start w:val="1"/>
      <w:numFmt w:val="lowerRoman"/>
      <w:lvlText w:val="%6."/>
      <w:lvlJc w:val="right"/>
      <w:pPr>
        <w:ind w:left="4320" w:hanging="180"/>
      </w:pPr>
    </w:lvl>
    <w:lvl w:ilvl="6" w:tplc="E03012A4">
      <w:start w:val="1"/>
      <w:numFmt w:val="decimal"/>
      <w:lvlText w:val="%7."/>
      <w:lvlJc w:val="left"/>
      <w:pPr>
        <w:ind w:left="5040" w:hanging="360"/>
      </w:pPr>
    </w:lvl>
    <w:lvl w:ilvl="7" w:tplc="7F62698A">
      <w:start w:val="1"/>
      <w:numFmt w:val="lowerLetter"/>
      <w:lvlText w:val="%8."/>
      <w:lvlJc w:val="left"/>
      <w:pPr>
        <w:ind w:left="5760" w:hanging="360"/>
      </w:pPr>
    </w:lvl>
    <w:lvl w:ilvl="8" w:tplc="4036CA40">
      <w:start w:val="1"/>
      <w:numFmt w:val="lowerRoman"/>
      <w:lvlText w:val="%9."/>
      <w:lvlJc w:val="right"/>
      <w:pPr>
        <w:ind w:left="6480" w:hanging="180"/>
      </w:pPr>
    </w:lvl>
  </w:abstractNum>
  <w:abstractNum w:abstractNumId="29">
    <w:nsid w:val="62B16579"/>
    <w:multiLevelType w:val="hybridMultilevel"/>
    <w:tmpl w:val="46D8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2654AF"/>
    <w:multiLevelType w:val="hybridMultilevel"/>
    <w:tmpl w:val="9CFE5F68"/>
    <w:lvl w:ilvl="0" w:tplc="A81A6F82">
      <w:start w:val="1"/>
      <w:numFmt w:val="decimal"/>
      <w:lvlText w:val="%1."/>
      <w:lvlJc w:val="left"/>
      <w:pPr>
        <w:ind w:left="720" w:hanging="360"/>
      </w:pPr>
      <w:rPr>
        <w:rFonts w:hint="default"/>
        <w:b/>
        <w:color w:val="497594"/>
      </w:rPr>
    </w:lvl>
    <w:lvl w:ilvl="1" w:tplc="0C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0B186A"/>
    <w:multiLevelType w:val="hybridMultilevel"/>
    <w:tmpl w:val="9E04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A65E05"/>
    <w:multiLevelType w:val="hybridMultilevel"/>
    <w:tmpl w:val="61D8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054122"/>
    <w:multiLevelType w:val="hybridMultilevel"/>
    <w:tmpl w:val="28C20966"/>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7A42CC"/>
    <w:multiLevelType w:val="hybridMultilevel"/>
    <w:tmpl w:val="65DE8A3E"/>
    <w:lvl w:ilvl="0" w:tplc="0A34C8EA">
      <w:start w:val="1"/>
      <w:numFmt w:val="lowerLetter"/>
      <w:lvlText w:val="%1."/>
      <w:lvlJc w:val="left"/>
      <w:pPr>
        <w:ind w:left="1440" w:hanging="360"/>
      </w:pPr>
      <w:rPr>
        <w:color w:val="49759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A6B52F3"/>
    <w:multiLevelType w:val="hybridMultilevel"/>
    <w:tmpl w:val="D07A6F6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3C3686"/>
    <w:multiLevelType w:val="hybridMultilevel"/>
    <w:tmpl w:val="C99AB6F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7">
    <w:nsid w:val="6BFB582E"/>
    <w:multiLevelType w:val="hybridMultilevel"/>
    <w:tmpl w:val="3A6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2C06B2"/>
    <w:multiLevelType w:val="hybridMultilevel"/>
    <w:tmpl w:val="7178A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446043"/>
    <w:multiLevelType w:val="hybridMultilevel"/>
    <w:tmpl w:val="5326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FA1898"/>
    <w:multiLevelType w:val="hybridMultilevel"/>
    <w:tmpl w:val="6020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B80419"/>
    <w:multiLevelType w:val="hybridMultilevel"/>
    <w:tmpl w:val="E73EB35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2">
    <w:nsid w:val="792C66EE"/>
    <w:multiLevelType w:val="hybridMultilevel"/>
    <w:tmpl w:val="2F58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30670B"/>
    <w:multiLevelType w:val="hybridMultilevel"/>
    <w:tmpl w:val="9786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43537C"/>
    <w:multiLevelType w:val="hybridMultilevel"/>
    <w:tmpl w:val="0BF2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651FA5"/>
    <w:multiLevelType w:val="hybridMultilevel"/>
    <w:tmpl w:val="30EAEB8E"/>
    <w:lvl w:ilvl="0" w:tplc="53F0A6A6">
      <w:start w:val="1"/>
      <w:numFmt w:val="decimal"/>
      <w:lvlText w:val="%1."/>
      <w:lvlJc w:val="left"/>
      <w:pPr>
        <w:ind w:left="1440" w:hanging="360"/>
      </w:pPr>
      <w:rPr>
        <w:b/>
        <w:color w:val="49759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4742B5"/>
    <w:multiLevelType w:val="hybridMultilevel"/>
    <w:tmpl w:val="D8D4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DC5EED"/>
    <w:multiLevelType w:val="hybridMultilevel"/>
    <w:tmpl w:val="88F80BE6"/>
    <w:lvl w:ilvl="0" w:tplc="FBB04476">
      <w:start w:val="1"/>
      <w:numFmt w:val="decimal"/>
      <w:lvlText w:val="%1."/>
      <w:lvlJc w:val="left"/>
      <w:pPr>
        <w:ind w:left="720" w:hanging="360"/>
      </w:pPr>
      <w:rPr>
        <w:b/>
        <w:color w:val="497594"/>
      </w:rPr>
    </w:lvl>
    <w:lvl w:ilvl="1" w:tplc="F47CED76">
      <w:start w:val="1"/>
      <w:numFmt w:val="lowerLetter"/>
      <w:lvlText w:val="%2."/>
      <w:lvlJc w:val="left"/>
      <w:pPr>
        <w:ind w:left="1440" w:hanging="360"/>
      </w:pPr>
      <w:rPr>
        <w:color w:val="49759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9"/>
  </w:num>
  <w:num w:numId="3">
    <w:abstractNumId w:val="8"/>
  </w:num>
  <w:num w:numId="4">
    <w:abstractNumId w:val="43"/>
  </w:num>
  <w:num w:numId="5">
    <w:abstractNumId w:val="44"/>
  </w:num>
  <w:num w:numId="6">
    <w:abstractNumId w:val="45"/>
  </w:num>
  <w:num w:numId="7">
    <w:abstractNumId w:val="37"/>
  </w:num>
  <w:num w:numId="8">
    <w:abstractNumId w:val="39"/>
  </w:num>
  <w:num w:numId="9">
    <w:abstractNumId w:val="19"/>
  </w:num>
  <w:num w:numId="10">
    <w:abstractNumId w:val="31"/>
  </w:num>
  <w:num w:numId="11">
    <w:abstractNumId w:val="0"/>
  </w:num>
  <w:num w:numId="12">
    <w:abstractNumId w:val="5"/>
  </w:num>
  <w:num w:numId="13">
    <w:abstractNumId w:val="20"/>
  </w:num>
  <w:num w:numId="14">
    <w:abstractNumId w:val="33"/>
  </w:num>
  <w:num w:numId="15">
    <w:abstractNumId w:val="1"/>
  </w:num>
  <w:num w:numId="16">
    <w:abstractNumId w:val="18"/>
  </w:num>
  <w:num w:numId="17">
    <w:abstractNumId w:val="46"/>
  </w:num>
  <w:num w:numId="18">
    <w:abstractNumId w:val="27"/>
  </w:num>
  <w:num w:numId="19">
    <w:abstractNumId w:val="6"/>
  </w:num>
  <w:num w:numId="20">
    <w:abstractNumId w:val="26"/>
  </w:num>
  <w:num w:numId="21">
    <w:abstractNumId w:val="10"/>
  </w:num>
  <w:num w:numId="22">
    <w:abstractNumId w:val="29"/>
  </w:num>
  <w:num w:numId="23">
    <w:abstractNumId w:val="21"/>
  </w:num>
  <w:num w:numId="24">
    <w:abstractNumId w:val="11"/>
  </w:num>
  <w:num w:numId="25">
    <w:abstractNumId w:val="40"/>
  </w:num>
  <w:num w:numId="26">
    <w:abstractNumId w:val="16"/>
  </w:num>
  <w:num w:numId="27">
    <w:abstractNumId w:val="30"/>
  </w:num>
  <w:num w:numId="28">
    <w:abstractNumId w:val="3"/>
  </w:num>
  <w:num w:numId="29">
    <w:abstractNumId w:val="24"/>
  </w:num>
  <w:num w:numId="30">
    <w:abstractNumId w:val="36"/>
  </w:num>
  <w:num w:numId="31">
    <w:abstractNumId w:val="7"/>
  </w:num>
  <w:num w:numId="32">
    <w:abstractNumId w:val="22"/>
  </w:num>
  <w:num w:numId="33">
    <w:abstractNumId w:val="2"/>
  </w:num>
  <w:num w:numId="34">
    <w:abstractNumId w:val="17"/>
  </w:num>
  <w:num w:numId="35">
    <w:abstractNumId w:val="28"/>
  </w:num>
  <w:num w:numId="36">
    <w:abstractNumId w:val="25"/>
  </w:num>
  <w:num w:numId="37">
    <w:abstractNumId w:val="13"/>
  </w:num>
  <w:num w:numId="38">
    <w:abstractNumId w:val="12"/>
  </w:num>
  <w:num w:numId="39">
    <w:abstractNumId w:val="32"/>
  </w:num>
  <w:num w:numId="40">
    <w:abstractNumId w:val="41"/>
  </w:num>
  <w:num w:numId="41">
    <w:abstractNumId w:val="23"/>
  </w:num>
  <w:num w:numId="42">
    <w:abstractNumId w:val="38"/>
  </w:num>
  <w:num w:numId="43">
    <w:abstractNumId w:val="4"/>
  </w:num>
  <w:num w:numId="44">
    <w:abstractNumId w:val="15"/>
  </w:num>
  <w:num w:numId="45">
    <w:abstractNumId w:val="47"/>
  </w:num>
  <w:num w:numId="46">
    <w:abstractNumId w:val="34"/>
  </w:num>
  <w:num w:numId="47">
    <w:abstractNumId w:val="14"/>
  </w:num>
  <w:num w:numId="48">
    <w:abstractNumId w:val="3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6"/>
  </w:hdrShapeDefaults>
  <w:footnotePr>
    <w:footnote w:id="-1"/>
    <w:footnote w:id="0"/>
    <w:footnote w:id="1"/>
  </w:footnotePr>
  <w:endnotePr>
    <w:endnote w:id="-1"/>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afe02tlezsd7ef59c5s9fdse5ze52xw2ta&quot;&gt;My EndNote Library&lt;record-ids&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88&lt;/item&gt;&lt;item&gt;289&lt;/item&gt;&lt;/record-ids&gt;&lt;/item&gt;&lt;/Libraries&gt;"/>
  </w:docVars>
  <w:rsids>
    <w:rsidRoot w:val="57934481"/>
    <w:rsid w:val="00000634"/>
    <w:rsid w:val="00000BD8"/>
    <w:rsid w:val="0000103A"/>
    <w:rsid w:val="000018D2"/>
    <w:rsid w:val="0000215A"/>
    <w:rsid w:val="00002299"/>
    <w:rsid w:val="00002318"/>
    <w:rsid w:val="00002DC1"/>
    <w:rsid w:val="00003C0A"/>
    <w:rsid w:val="00004081"/>
    <w:rsid w:val="0000459A"/>
    <w:rsid w:val="00004E50"/>
    <w:rsid w:val="00004E59"/>
    <w:rsid w:val="00005421"/>
    <w:rsid w:val="000058ED"/>
    <w:rsid w:val="00005C75"/>
    <w:rsid w:val="00005DE4"/>
    <w:rsid w:val="00005EF5"/>
    <w:rsid w:val="000063D4"/>
    <w:rsid w:val="00007A1B"/>
    <w:rsid w:val="00007B19"/>
    <w:rsid w:val="0001033F"/>
    <w:rsid w:val="00010551"/>
    <w:rsid w:val="00010EAF"/>
    <w:rsid w:val="000112D6"/>
    <w:rsid w:val="00011564"/>
    <w:rsid w:val="00011EE0"/>
    <w:rsid w:val="000126B0"/>
    <w:rsid w:val="00014020"/>
    <w:rsid w:val="00014374"/>
    <w:rsid w:val="0001440C"/>
    <w:rsid w:val="0001463D"/>
    <w:rsid w:val="00014ABB"/>
    <w:rsid w:val="00015208"/>
    <w:rsid w:val="00015649"/>
    <w:rsid w:val="0001572E"/>
    <w:rsid w:val="000165A0"/>
    <w:rsid w:val="0001662D"/>
    <w:rsid w:val="00016639"/>
    <w:rsid w:val="00017243"/>
    <w:rsid w:val="00017734"/>
    <w:rsid w:val="0001795C"/>
    <w:rsid w:val="00017A25"/>
    <w:rsid w:val="00017BC4"/>
    <w:rsid w:val="00020746"/>
    <w:rsid w:val="00020EB3"/>
    <w:rsid w:val="000219DB"/>
    <w:rsid w:val="00022227"/>
    <w:rsid w:val="00022AF3"/>
    <w:rsid w:val="00022D13"/>
    <w:rsid w:val="00022FA1"/>
    <w:rsid w:val="0002306C"/>
    <w:rsid w:val="000230BC"/>
    <w:rsid w:val="0002381B"/>
    <w:rsid w:val="00023E24"/>
    <w:rsid w:val="000245C6"/>
    <w:rsid w:val="00024634"/>
    <w:rsid w:val="00024CB5"/>
    <w:rsid w:val="0002591B"/>
    <w:rsid w:val="00025EBE"/>
    <w:rsid w:val="000265F2"/>
    <w:rsid w:val="00026BF6"/>
    <w:rsid w:val="00026DF3"/>
    <w:rsid w:val="00026F1C"/>
    <w:rsid w:val="000270E2"/>
    <w:rsid w:val="000272C9"/>
    <w:rsid w:val="000275CB"/>
    <w:rsid w:val="00027699"/>
    <w:rsid w:val="00027C6D"/>
    <w:rsid w:val="00030161"/>
    <w:rsid w:val="000302B1"/>
    <w:rsid w:val="00030747"/>
    <w:rsid w:val="00030F90"/>
    <w:rsid w:val="00031730"/>
    <w:rsid w:val="000327CE"/>
    <w:rsid w:val="000344A1"/>
    <w:rsid w:val="000347AC"/>
    <w:rsid w:val="00034CE8"/>
    <w:rsid w:val="00035267"/>
    <w:rsid w:val="000352B8"/>
    <w:rsid w:val="000354A3"/>
    <w:rsid w:val="0003564E"/>
    <w:rsid w:val="00035A07"/>
    <w:rsid w:val="00035C7C"/>
    <w:rsid w:val="00035FA7"/>
    <w:rsid w:val="00036D21"/>
    <w:rsid w:val="00036D3F"/>
    <w:rsid w:val="00037252"/>
    <w:rsid w:val="00037821"/>
    <w:rsid w:val="00037B8E"/>
    <w:rsid w:val="00040641"/>
    <w:rsid w:val="0004168C"/>
    <w:rsid w:val="0004184A"/>
    <w:rsid w:val="00042C11"/>
    <w:rsid w:val="00043040"/>
    <w:rsid w:val="00043122"/>
    <w:rsid w:val="0004369F"/>
    <w:rsid w:val="000440C3"/>
    <w:rsid w:val="000444F3"/>
    <w:rsid w:val="0004587F"/>
    <w:rsid w:val="00045F6F"/>
    <w:rsid w:val="00046407"/>
    <w:rsid w:val="000479C9"/>
    <w:rsid w:val="00047B19"/>
    <w:rsid w:val="00050232"/>
    <w:rsid w:val="000506AD"/>
    <w:rsid w:val="00051270"/>
    <w:rsid w:val="000514BF"/>
    <w:rsid w:val="00051C08"/>
    <w:rsid w:val="00051E40"/>
    <w:rsid w:val="00052605"/>
    <w:rsid w:val="00052A70"/>
    <w:rsid w:val="000532FD"/>
    <w:rsid w:val="00053389"/>
    <w:rsid w:val="00053A53"/>
    <w:rsid w:val="00053BAF"/>
    <w:rsid w:val="00053EC0"/>
    <w:rsid w:val="00054516"/>
    <w:rsid w:val="000547AE"/>
    <w:rsid w:val="00055620"/>
    <w:rsid w:val="000558B2"/>
    <w:rsid w:val="00055A95"/>
    <w:rsid w:val="00055C56"/>
    <w:rsid w:val="00056894"/>
    <w:rsid w:val="00056A10"/>
    <w:rsid w:val="00056C2A"/>
    <w:rsid w:val="00056F95"/>
    <w:rsid w:val="00057028"/>
    <w:rsid w:val="000576F3"/>
    <w:rsid w:val="000577AB"/>
    <w:rsid w:val="00057B22"/>
    <w:rsid w:val="00057B76"/>
    <w:rsid w:val="00060970"/>
    <w:rsid w:val="00061BB0"/>
    <w:rsid w:val="00061DF5"/>
    <w:rsid w:val="00061E2E"/>
    <w:rsid w:val="000625B2"/>
    <w:rsid w:val="00062D04"/>
    <w:rsid w:val="00063896"/>
    <w:rsid w:val="00063A44"/>
    <w:rsid w:val="00063A55"/>
    <w:rsid w:val="0006446A"/>
    <w:rsid w:val="00065231"/>
    <w:rsid w:val="000653E6"/>
    <w:rsid w:val="00065828"/>
    <w:rsid w:val="00065C96"/>
    <w:rsid w:val="0006670E"/>
    <w:rsid w:val="0006740E"/>
    <w:rsid w:val="00067C42"/>
    <w:rsid w:val="0007067D"/>
    <w:rsid w:val="00070A4D"/>
    <w:rsid w:val="00070A5D"/>
    <w:rsid w:val="000717BE"/>
    <w:rsid w:val="000719BC"/>
    <w:rsid w:val="00071E4A"/>
    <w:rsid w:val="0007208F"/>
    <w:rsid w:val="000725BE"/>
    <w:rsid w:val="000732C6"/>
    <w:rsid w:val="000738EE"/>
    <w:rsid w:val="00073AE7"/>
    <w:rsid w:val="00074434"/>
    <w:rsid w:val="000745F2"/>
    <w:rsid w:val="00075174"/>
    <w:rsid w:val="00075552"/>
    <w:rsid w:val="00075AFD"/>
    <w:rsid w:val="00075CAA"/>
    <w:rsid w:val="000764AC"/>
    <w:rsid w:val="00076DB2"/>
    <w:rsid w:val="00076DC8"/>
    <w:rsid w:val="00076DE5"/>
    <w:rsid w:val="0007747B"/>
    <w:rsid w:val="00077EDA"/>
    <w:rsid w:val="00080451"/>
    <w:rsid w:val="00080581"/>
    <w:rsid w:val="000810DB"/>
    <w:rsid w:val="000818AF"/>
    <w:rsid w:val="00081B8A"/>
    <w:rsid w:val="00081E80"/>
    <w:rsid w:val="00082194"/>
    <w:rsid w:val="00082209"/>
    <w:rsid w:val="0008244C"/>
    <w:rsid w:val="00083EA2"/>
    <w:rsid w:val="00084D7F"/>
    <w:rsid w:val="000851FE"/>
    <w:rsid w:val="00085211"/>
    <w:rsid w:val="00085837"/>
    <w:rsid w:val="00085FD3"/>
    <w:rsid w:val="0008649D"/>
    <w:rsid w:val="000865B9"/>
    <w:rsid w:val="0008681B"/>
    <w:rsid w:val="00087507"/>
    <w:rsid w:val="0008761B"/>
    <w:rsid w:val="00087D6B"/>
    <w:rsid w:val="00087E86"/>
    <w:rsid w:val="0009017A"/>
    <w:rsid w:val="00090481"/>
    <w:rsid w:val="00090500"/>
    <w:rsid w:val="000905AB"/>
    <w:rsid w:val="00090684"/>
    <w:rsid w:val="000913CC"/>
    <w:rsid w:val="0009166B"/>
    <w:rsid w:val="000917AE"/>
    <w:rsid w:val="00091BBC"/>
    <w:rsid w:val="00092133"/>
    <w:rsid w:val="000924DA"/>
    <w:rsid w:val="00092C3A"/>
    <w:rsid w:val="0009311D"/>
    <w:rsid w:val="0009326C"/>
    <w:rsid w:val="0009346A"/>
    <w:rsid w:val="00093A8F"/>
    <w:rsid w:val="00093FDD"/>
    <w:rsid w:val="00094B95"/>
    <w:rsid w:val="00094F6E"/>
    <w:rsid w:val="0009512A"/>
    <w:rsid w:val="00095236"/>
    <w:rsid w:val="00095C20"/>
    <w:rsid w:val="00095DD5"/>
    <w:rsid w:val="000966B1"/>
    <w:rsid w:val="00096AE7"/>
    <w:rsid w:val="00096AF2"/>
    <w:rsid w:val="00096E95"/>
    <w:rsid w:val="000972F4"/>
    <w:rsid w:val="000973DE"/>
    <w:rsid w:val="000978A3"/>
    <w:rsid w:val="00097D98"/>
    <w:rsid w:val="00097E77"/>
    <w:rsid w:val="00097EDF"/>
    <w:rsid w:val="000A03E2"/>
    <w:rsid w:val="000A07AC"/>
    <w:rsid w:val="000A0D1F"/>
    <w:rsid w:val="000A0EAF"/>
    <w:rsid w:val="000A0F08"/>
    <w:rsid w:val="000A17D0"/>
    <w:rsid w:val="000A1DE4"/>
    <w:rsid w:val="000A1FAD"/>
    <w:rsid w:val="000A2774"/>
    <w:rsid w:val="000A42E5"/>
    <w:rsid w:val="000A4B7B"/>
    <w:rsid w:val="000A513F"/>
    <w:rsid w:val="000A5A1D"/>
    <w:rsid w:val="000A5D0C"/>
    <w:rsid w:val="000A601F"/>
    <w:rsid w:val="000A6197"/>
    <w:rsid w:val="000A64C9"/>
    <w:rsid w:val="000A6852"/>
    <w:rsid w:val="000A69D7"/>
    <w:rsid w:val="000A6C1D"/>
    <w:rsid w:val="000A6D80"/>
    <w:rsid w:val="000A6E03"/>
    <w:rsid w:val="000A700E"/>
    <w:rsid w:val="000A7235"/>
    <w:rsid w:val="000A76C5"/>
    <w:rsid w:val="000A77A0"/>
    <w:rsid w:val="000B05B4"/>
    <w:rsid w:val="000B07BC"/>
    <w:rsid w:val="000B1092"/>
    <w:rsid w:val="000B10EA"/>
    <w:rsid w:val="000B1567"/>
    <w:rsid w:val="000B1B4B"/>
    <w:rsid w:val="000B1E7C"/>
    <w:rsid w:val="000B2037"/>
    <w:rsid w:val="000B2B93"/>
    <w:rsid w:val="000B2F50"/>
    <w:rsid w:val="000B3A89"/>
    <w:rsid w:val="000B4A97"/>
    <w:rsid w:val="000B4EB3"/>
    <w:rsid w:val="000B54AF"/>
    <w:rsid w:val="000B5977"/>
    <w:rsid w:val="000B5ABB"/>
    <w:rsid w:val="000B5BFB"/>
    <w:rsid w:val="000B6446"/>
    <w:rsid w:val="000B64F0"/>
    <w:rsid w:val="000B70FF"/>
    <w:rsid w:val="000B7C15"/>
    <w:rsid w:val="000B7F45"/>
    <w:rsid w:val="000C0610"/>
    <w:rsid w:val="000C090E"/>
    <w:rsid w:val="000C1DC2"/>
    <w:rsid w:val="000C1EBE"/>
    <w:rsid w:val="000C2464"/>
    <w:rsid w:val="000C2993"/>
    <w:rsid w:val="000C2C80"/>
    <w:rsid w:val="000C3194"/>
    <w:rsid w:val="000C31AA"/>
    <w:rsid w:val="000C32EF"/>
    <w:rsid w:val="000C3AF7"/>
    <w:rsid w:val="000C47B3"/>
    <w:rsid w:val="000C48A3"/>
    <w:rsid w:val="000C5442"/>
    <w:rsid w:val="000C5E51"/>
    <w:rsid w:val="000C6510"/>
    <w:rsid w:val="000C6CEE"/>
    <w:rsid w:val="000C7060"/>
    <w:rsid w:val="000C7773"/>
    <w:rsid w:val="000C78AD"/>
    <w:rsid w:val="000C79F1"/>
    <w:rsid w:val="000C7AC9"/>
    <w:rsid w:val="000C7AF1"/>
    <w:rsid w:val="000C7BC0"/>
    <w:rsid w:val="000C7DEC"/>
    <w:rsid w:val="000D05C2"/>
    <w:rsid w:val="000D0A4F"/>
    <w:rsid w:val="000D0B01"/>
    <w:rsid w:val="000D0B7E"/>
    <w:rsid w:val="000D100D"/>
    <w:rsid w:val="000D117C"/>
    <w:rsid w:val="000D11F6"/>
    <w:rsid w:val="000D1F77"/>
    <w:rsid w:val="000D1FED"/>
    <w:rsid w:val="000D215A"/>
    <w:rsid w:val="000D25A5"/>
    <w:rsid w:val="000D25E7"/>
    <w:rsid w:val="000D2872"/>
    <w:rsid w:val="000D2B4C"/>
    <w:rsid w:val="000D2D11"/>
    <w:rsid w:val="000D2E7F"/>
    <w:rsid w:val="000D30CD"/>
    <w:rsid w:val="000D362F"/>
    <w:rsid w:val="000D38CC"/>
    <w:rsid w:val="000D410A"/>
    <w:rsid w:val="000D460E"/>
    <w:rsid w:val="000D5833"/>
    <w:rsid w:val="000D5B46"/>
    <w:rsid w:val="000D5C81"/>
    <w:rsid w:val="000D6608"/>
    <w:rsid w:val="000D6EA9"/>
    <w:rsid w:val="000D7578"/>
    <w:rsid w:val="000D75B9"/>
    <w:rsid w:val="000D7AA7"/>
    <w:rsid w:val="000D7D03"/>
    <w:rsid w:val="000E0122"/>
    <w:rsid w:val="000E0366"/>
    <w:rsid w:val="000E0DDD"/>
    <w:rsid w:val="000E14B5"/>
    <w:rsid w:val="000E1B54"/>
    <w:rsid w:val="000E1C33"/>
    <w:rsid w:val="000E2390"/>
    <w:rsid w:val="000E29AA"/>
    <w:rsid w:val="000E2D0A"/>
    <w:rsid w:val="000E2EEF"/>
    <w:rsid w:val="000E32EB"/>
    <w:rsid w:val="000E3B09"/>
    <w:rsid w:val="000E3C3E"/>
    <w:rsid w:val="000E415B"/>
    <w:rsid w:val="000E41D9"/>
    <w:rsid w:val="000E41EB"/>
    <w:rsid w:val="000E5CE6"/>
    <w:rsid w:val="000E6C11"/>
    <w:rsid w:val="000E6E44"/>
    <w:rsid w:val="000E7176"/>
    <w:rsid w:val="000E7C66"/>
    <w:rsid w:val="000F03FE"/>
    <w:rsid w:val="000F0508"/>
    <w:rsid w:val="000F18AD"/>
    <w:rsid w:val="000F18DF"/>
    <w:rsid w:val="000F191B"/>
    <w:rsid w:val="000F23A4"/>
    <w:rsid w:val="000F25A5"/>
    <w:rsid w:val="000F29E5"/>
    <w:rsid w:val="000F36B5"/>
    <w:rsid w:val="000F3BB3"/>
    <w:rsid w:val="000F3FE2"/>
    <w:rsid w:val="000F45AD"/>
    <w:rsid w:val="000F4616"/>
    <w:rsid w:val="000F4658"/>
    <w:rsid w:val="000F4C46"/>
    <w:rsid w:val="000F55E4"/>
    <w:rsid w:val="000F5867"/>
    <w:rsid w:val="000F5D4A"/>
    <w:rsid w:val="000F5DBB"/>
    <w:rsid w:val="000F5ECC"/>
    <w:rsid w:val="000F605F"/>
    <w:rsid w:val="000F635B"/>
    <w:rsid w:val="000F68AE"/>
    <w:rsid w:val="000F7B73"/>
    <w:rsid w:val="000F7E27"/>
    <w:rsid w:val="0010015F"/>
    <w:rsid w:val="001002EF"/>
    <w:rsid w:val="0010057E"/>
    <w:rsid w:val="00100734"/>
    <w:rsid w:val="0010073A"/>
    <w:rsid w:val="0010074F"/>
    <w:rsid w:val="00102319"/>
    <w:rsid w:val="00102C69"/>
    <w:rsid w:val="00102DD1"/>
    <w:rsid w:val="00102ED5"/>
    <w:rsid w:val="00103139"/>
    <w:rsid w:val="0010328A"/>
    <w:rsid w:val="00103EE6"/>
    <w:rsid w:val="001040C9"/>
    <w:rsid w:val="00104275"/>
    <w:rsid w:val="00104B3B"/>
    <w:rsid w:val="0010535C"/>
    <w:rsid w:val="00105A81"/>
    <w:rsid w:val="00105B25"/>
    <w:rsid w:val="00106124"/>
    <w:rsid w:val="001061F0"/>
    <w:rsid w:val="001064BE"/>
    <w:rsid w:val="001068CF"/>
    <w:rsid w:val="001071A1"/>
    <w:rsid w:val="00107462"/>
    <w:rsid w:val="00107604"/>
    <w:rsid w:val="00107BFD"/>
    <w:rsid w:val="0011006C"/>
    <w:rsid w:val="001103A5"/>
    <w:rsid w:val="001108F8"/>
    <w:rsid w:val="00110ECB"/>
    <w:rsid w:val="0011112F"/>
    <w:rsid w:val="001112C5"/>
    <w:rsid w:val="00111AF4"/>
    <w:rsid w:val="00111E06"/>
    <w:rsid w:val="00111EFB"/>
    <w:rsid w:val="001120D8"/>
    <w:rsid w:val="00112943"/>
    <w:rsid w:val="00112B08"/>
    <w:rsid w:val="001130D3"/>
    <w:rsid w:val="001132D4"/>
    <w:rsid w:val="00113382"/>
    <w:rsid w:val="00113D6F"/>
    <w:rsid w:val="001145D5"/>
    <w:rsid w:val="001147A3"/>
    <w:rsid w:val="001153CB"/>
    <w:rsid w:val="001157D6"/>
    <w:rsid w:val="00115FB4"/>
    <w:rsid w:val="00116072"/>
    <w:rsid w:val="00116239"/>
    <w:rsid w:val="00116404"/>
    <w:rsid w:val="00116498"/>
    <w:rsid w:val="00117199"/>
    <w:rsid w:val="0011728F"/>
    <w:rsid w:val="0011746B"/>
    <w:rsid w:val="001178CA"/>
    <w:rsid w:val="00117F5B"/>
    <w:rsid w:val="001204E2"/>
    <w:rsid w:val="00120EEA"/>
    <w:rsid w:val="00121D34"/>
    <w:rsid w:val="00121E22"/>
    <w:rsid w:val="00121E90"/>
    <w:rsid w:val="0012202A"/>
    <w:rsid w:val="001221F8"/>
    <w:rsid w:val="00122247"/>
    <w:rsid w:val="001224B1"/>
    <w:rsid w:val="00122B56"/>
    <w:rsid w:val="00122C2A"/>
    <w:rsid w:val="00122EB4"/>
    <w:rsid w:val="00123100"/>
    <w:rsid w:val="0012322B"/>
    <w:rsid w:val="00123579"/>
    <w:rsid w:val="00123618"/>
    <w:rsid w:val="0012371D"/>
    <w:rsid w:val="0012427E"/>
    <w:rsid w:val="00124297"/>
    <w:rsid w:val="001248A3"/>
    <w:rsid w:val="00124926"/>
    <w:rsid w:val="00125DC6"/>
    <w:rsid w:val="00126563"/>
    <w:rsid w:val="001270CC"/>
    <w:rsid w:val="00127B94"/>
    <w:rsid w:val="00127C3D"/>
    <w:rsid w:val="00127CFD"/>
    <w:rsid w:val="001302E6"/>
    <w:rsid w:val="001303E6"/>
    <w:rsid w:val="001313EC"/>
    <w:rsid w:val="00131CF1"/>
    <w:rsid w:val="00131FAE"/>
    <w:rsid w:val="001328AC"/>
    <w:rsid w:val="00133FF4"/>
    <w:rsid w:val="001343A2"/>
    <w:rsid w:val="00134CEF"/>
    <w:rsid w:val="00135CA0"/>
    <w:rsid w:val="0013631A"/>
    <w:rsid w:val="00136BFA"/>
    <w:rsid w:val="0013769D"/>
    <w:rsid w:val="0013791B"/>
    <w:rsid w:val="00137A20"/>
    <w:rsid w:val="001402E4"/>
    <w:rsid w:val="00140527"/>
    <w:rsid w:val="00140731"/>
    <w:rsid w:val="0014095B"/>
    <w:rsid w:val="00140D3A"/>
    <w:rsid w:val="00141102"/>
    <w:rsid w:val="001412AD"/>
    <w:rsid w:val="00141A9F"/>
    <w:rsid w:val="00141B0A"/>
    <w:rsid w:val="00141D89"/>
    <w:rsid w:val="0014228D"/>
    <w:rsid w:val="001422C0"/>
    <w:rsid w:val="00142455"/>
    <w:rsid w:val="00142491"/>
    <w:rsid w:val="001428BB"/>
    <w:rsid w:val="00142EC0"/>
    <w:rsid w:val="0014348B"/>
    <w:rsid w:val="00143B34"/>
    <w:rsid w:val="00144223"/>
    <w:rsid w:val="001449A4"/>
    <w:rsid w:val="00144AE1"/>
    <w:rsid w:val="00144CCD"/>
    <w:rsid w:val="00144DA4"/>
    <w:rsid w:val="0014578C"/>
    <w:rsid w:val="00145AB6"/>
    <w:rsid w:val="00146264"/>
    <w:rsid w:val="00146C6A"/>
    <w:rsid w:val="00146D4A"/>
    <w:rsid w:val="00147149"/>
    <w:rsid w:val="0014727D"/>
    <w:rsid w:val="00147370"/>
    <w:rsid w:val="0014768F"/>
    <w:rsid w:val="00147D8E"/>
    <w:rsid w:val="00147FAF"/>
    <w:rsid w:val="00150072"/>
    <w:rsid w:val="001502E3"/>
    <w:rsid w:val="001513A7"/>
    <w:rsid w:val="0015163B"/>
    <w:rsid w:val="001519FA"/>
    <w:rsid w:val="00151A97"/>
    <w:rsid w:val="00151E92"/>
    <w:rsid w:val="0015215B"/>
    <w:rsid w:val="001524DC"/>
    <w:rsid w:val="00152652"/>
    <w:rsid w:val="00152CA1"/>
    <w:rsid w:val="00152CE5"/>
    <w:rsid w:val="001538ED"/>
    <w:rsid w:val="00153F36"/>
    <w:rsid w:val="00154145"/>
    <w:rsid w:val="0015419A"/>
    <w:rsid w:val="001545B4"/>
    <w:rsid w:val="00155193"/>
    <w:rsid w:val="00156347"/>
    <w:rsid w:val="001564A2"/>
    <w:rsid w:val="00156954"/>
    <w:rsid w:val="00156BBC"/>
    <w:rsid w:val="00157138"/>
    <w:rsid w:val="00157607"/>
    <w:rsid w:val="00157713"/>
    <w:rsid w:val="00157E77"/>
    <w:rsid w:val="00160971"/>
    <w:rsid w:val="00160F50"/>
    <w:rsid w:val="00160FF9"/>
    <w:rsid w:val="001611FC"/>
    <w:rsid w:val="00161F65"/>
    <w:rsid w:val="00162140"/>
    <w:rsid w:val="00162437"/>
    <w:rsid w:val="00162B65"/>
    <w:rsid w:val="001631EC"/>
    <w:rsid w:val="001632CE"/>
    <w:rsid w:val="00163495"/>
    <w:rsid w:val="00163ADE"/>
    <w:rsid w:val="00163FB3"/>
    <w:rsid w:val="0016414D"/>
    <w:rsid w:val="001649F5"/>
    <w:rsid w:val="00164C6A"/>
    <w:rsid w:val="001658E8"/>
    <w:rsid w:val="0016655D"/>
    <w:rsid w:val="0016668F"/>
    <w:rsid w:val="0016680B"/>
    <w:rsid w:val="00166813"/>
    <w:rsid w:val="0016713D"/>
    <w:rsid w:val="001701F2"/>
    <w:rsid w:val="0017029C"/>
    <w:rsid w:val="00170349"/>
    <w:rsid w:val="00170F0E"/>
    <w:rsid w:val="00171354"/>
    <w:rsid w:val="00171390"/>
    <w:rsid w:val="001715AE"/>
    <w:rsid w:val="001717E7"/>
    <w:rsid w:val="0017267E"/>
    <w:rsid w:val="00172DCF"/>
    <w:rsid w:val="001734CE"/>
    <w:rsid w:val="0017356B"/>
    <w:rsid w:val="001736D1"/>
    <w:rsid w:val="00173FB2"/>
    <w:rsid w:val="001750F8"/>
    <w:rsid w:val="001756D4"/>
    <w:rsid w:val="00176366"/>
    <w:rsid w:val="00176B1A"/>
    <w:rsid w:val="00177214"/>
    <w:rsid w:val="001777F0"/>
    <w:rsid w:val="00177C9D"/>
    <w:rsid w:val="001804A8"/>
    <w:rsid w:val="001815AD"/>
    <w:rsid w:val="001818B1"/>
    <w:rsid w:val="00181BBF"/>
    <w:rsid w:val="00182339"/>
    <w:rsid w:val="00182422"/>
    <w:rsid w:val="00182745"/>
    <w:rsid w:val="001828CF"/>
    <w:rsid w:val="00182A34"/>
    <w:rsid w:val="00182F6C"/>
    <w:rsid w:val="00183817"/>
    <w:rsid w:val="00184459"/>
    <w:rsid w:val="00184AE7"/>
    <w:rsid w:val="00185028"/>
    <w:rsid w:val="00185576"/>
    <w:rsid w:val="00185B0A"/>
    <w:rsid w:val="00185FCA"/>
    <w:rsid w:val="001861ED"/>
    <w:rsid w:val="00186453"/>
    <w:rsid w:val="00186A57"/>
    <w:rsid w:val="00186C7D"/>
    <w:rsid w:val="00187575"/>
    <w:rsid w:val="00187EFB"/>
    <w:rsid w:val="00190436"/>
    <w:rsid w:val="001907F2"/>
    <w:rsid w:val="00190802"/>
    <w:rsid w:val="0019143E"/>
    <w:rsid w:val="001915CF"/>
    <w:rsid w:val="001915E5"/>
    <w:rsid w:val="00191620"/>
    <w:rsid w:val="00191709"/>
    <w:rsid w:val="00191F5E"/>
    <w:rsid w:val="00192279"/>
    <w:rsid w:val="0019234C"/>
    <w:rsid w:val="0019268E"/>
    <w:rsid w:val="00192808"/>
    <w:rsid w:val="00192FB1"/>
    <w:rsid w:val="0019316D"/>
    <w:rsid w:val="001934D2"/>
    <w:rsid w:val="00193672"/>
    <w:rsid w:val="00193F08"/>
    <w:rsid w:val="0019424D"/>
    <w:rsid w:val="001948FC"/>
    <w:rsid w:val="00194B73"/>
    <w:rsid w:val="0019556E"/>
    <w:rsid w:val="001958EC"/>
    <w:rsid w:val="00195913"/>
    <w:rsid w:val="0019593B"/>
    <w:rsid w:val="00195A35"/>
    <w:rsid w:val="00195C35"/>
    <w:rsid w:val="00195CB5"/>
    <w:rsid w:val="00195F29"/>
    <w:rsid w:val="00196B42"/>
    <w:rsid w:val="001978E7"/>
    <w:rsid w:val="001A04E9"/>
    <w:rsid w:val="001A0A9C"/>
    <w:rsid w:val="001A0B03"/>
    <w:rsid w:val="001A0DAC"/>
    <w:rsid w:val="001A0FF3"/>
    <w:rsid w:val="001A165D"/>
    <w:rsid w:val="001A2173"/>
    <w:rsid w:val="001A2316"/>
    <w:rsid w:val="001A231C"/>
    <w:rsid w:val="001A2F42"/>
    <w:rsid w:val="001A3292"/>
    <w:rsid w:val="001A43A4"/>
    <w:rsid w:val="001A4494"/>
    <w:rsid w:val="001A4900"/>
    <w:rsid w:val="001A5584"/>
    <w:rsid w:val="001A5838"/>
    <w:rsid w:val="001A6073"/>
    <w:rsid w:val="001A68E3"/>
    <w:rsid w:val="001A6934"/>
    <w:rsid w:val="001A7762"/>
    <w:rsid w:val="001A7886"/>
    <w:rsid w:val="001A7B6D"/>
    <w:rsid w:val="001A7BD3"/>
    <w:rsid w:val="001A7DA8"/>
    <w:rsid w:val="001B0033"/>
    <w:rsid w:val="001B011C"/>
    <w:rsid w:val="001B0322"/>
    <w:rsid w:val="001B0C48"/>
    <w:rsid w:val="001B15D3"/>
    <w:rsid w:val="001B22E2"/>
    <w:rsid w:val="001B26C2"/>
    <w:rsid w:val="001B2B75"/>
    <w:rsid w:val="001B3069"/>
    <w:rsid w:val="001B33B2"/>
    <w:rsid w:val="001B38C1"/>
    <w:rsid w:val="001B3E8A"/>
    <w:rsid w:val="001B45F7"/>
    <w:rsid w:val="001B5449"/>
    <w:rsid w:val="001B553C"/>
    <w:rsid w:val="001B5B9A"/>
    <w:rsid w:val="001B5CE5"/>
    <w:rsid w:val="001B5D14"/>
    <w:rsid w:val="001B5E66"/>
    <w:rsid w:val="001B5FA0"/>
    <w:rsid w:val="001B6238"/>
    <w:rsid w:val="001B648B"/>
    <w:rsid w:val="001B659D"/>
    <w:rsid w:val="001B6971"/>
    <w:rsid w:val="001B6A41"/>
    <w:rsid w:val="001B7055"/>
    <w:rsid w:val="001B7B0F"/>
    <w:rsid w:val="001C0040"/>
    <w:rsid w:val="001C0380"/>
    <w:rsid w:val="001C0535"/>
    <w:rsid w:val="001C05AD"/>
    <w:rsid w:val="001C0840"/>
    <w:rsid w:val="001C0FBC"/>
    <w:rsid w:val="001C1062"/>
    <w:rsid w:val="001C1D6A"/>
    <w:rsid w:val="001C218A"/>
    <w:rsid w:val="001C2289"/>
    <w:rsid w:val="001C230F"/>
    <w:rsid w:val="001C27A1"/>
    <w:rsid w:val="001C2D5B"/>
    <w:rsid w:val="001C2D73"/>
    <w:rsid w:val="001C3004"/>
    <w:rsid w:val="001C38D4"/>
    <w:rsid w:val="001C3A52"/>
    <w:rsid w:val="001C3AB5"/>
    <w:rsid w:val="001C41BD"/>
    <w:rsid w:val="001C4562"/>
    <w:rsid w:val="001C525D"/>
    <w:rsid w:val="001C5A79"/>
    <w:rsid w:val="001C63A7"/>
    <w:rsid w:val="001C63C5"/>
    <w:rsid w:val="001C6E68"/>
    <w:rsid w:val="001C6FD7"/>
    <w:rsid w:val="001C7152"/>
    <w:rsid w:val="001D0311"/>
    <w:rsid w:val="001D0370"/>
    <w:rsid w:val="001D06AA"/>
    <w:rsid w:val="001D2300"/>
    <w:rsid w:val="001D2F7E"/>
    <w:rsid w:val="001D34A0"/>
    <w:rsid w:val="001D3616"/>
    <w:rsid w:val="001D39C2"/>
    <w:rsid w:val="001D3A78"/>
    <w:rsid w:val="001D3CFE"/>
    <w:rsid w:val="001D41D9"/>
    <w:rsid w:val="001D4439"/>
    <w:rsid w:val="001D487D"/>
    <w:rsid w:val="001D4E9E"/>
    <w:rsid w:val="001D4F76"/>
    <w:rsid w:val="001D572D"/>
    <w:rsid w:val="001D5B9A"/>
    <w:rsid w:val="001D5C91"/>
    <w:rsid w:val="001D6639"/>
    <w:rsid w:val="001D6D7C"/>
    <w:rsid w:val="001D6D8A"/>
    <w:rsid w:val="001D710F"/>
    <w:rsid w:val="001D7710"/>
    <w:rsid w:val="001E0769"/>
    <w:rsid w:val="001E1371"/>
    <w:rsid w:val="001E1456"/>
    <w:rsid w:val="001E1FC7"/>
    <w:rsid w:val="001E20E2"/>
    <w:rsid w:val="001E250A"/>
    <w:rsid w:val="001E2E79"/>
    <w:rsid w:val="001E35A4"/>
    <w:rsid w:val="001E3E89"/>
    <w:rsid w:val="001E41F6"/>
    <w:rsid w:val="001E4B73"/>
    <w:rsid w:val="001E55CF"/>
    <w:rsid w:val="001E566F"/>
    <w:rsid w:val="001E58ED"/>
    <w:rsid w:val="001E5962"/>
    <w:rsid w:val="001E5C6C"/>
    <w:rsid w:val="001E6751"/>
    <w:rsid w:val="001E730C"/>
    <w:rsid w:val="001E7528"/>
    <w:rsid w:val="001E77BD"/>
    <w:rsid w:val="001E7B9F"/>
    <w:rsid w:val="001F049C"/>
    <w:rsid w:val="001F0F74"/>
    <w:rsid w:val="001F12FA"/>
    <w:rsid w:val="001F1A44"/>
    <w:rsid w:val="001F213B"/>
    <w:rsid w:val="001F2214"/>
    <w:rsid w:val="001F2769"/>
    <w:rsid w:val="001F34C9"/>
    <w:rsid w:val="001F3FCF"/>
    <w:rsid w:val="001F46CD"/>
    <w:rsid w:val="001F4AA5"/>
    <w:rsid w:val="001F4ACA"/>
    <w:rsid w:val="001F514F"/>
    <w:rsid w:val="001F5AEC"/>
    <w:rsid w:val="001F5AFD"/>
    <w:rsid w:val="001F609A"/>
    <w:rsid w:val="001F73A7"/>
    <w:rsid w:val="001F78BF"/>
    <w:rsid w:val="001F7DE8"/>
    <w:rsid w:val="001F7E94"/>
    <w:rsid w:val="0020005E"/>
    <w:rsid w:val="0020045C"/>
    <w:rsid w:val="00200626"/>
    <w:rsid w:val="00200AB6"/>
    <w:rsid w:val="00200BA8"/>
    <w:rsid w:val="0020120A"/>
    <w:rsid w:val="00202934"/>
    <w:rsid w:val="00202C75"/>
    <w:rsid w:val="00202ECB"/>
    <w:rsid w:val="00203185"/>
    <w:rsid w:val="00203576"/>
    <w:rsid w:val="002037E5"/>
    <w:rsid w:val="00203B05"/>
    <w:rsid w:val="002044D3"/>
    <w:rsid w:val="00204667"/>
    <w:rsid w:val="0020539D"/>
    <w:rsid w:val="0020569D"/>
    <w:rsid w:val="002056E7"/>
    <w:rsid w:val="0020594B"/>
    <w:rsid w:val="00205A41"/>
    <w:rsid w:val="00205D41"/>
    <w:rsid w:val="00205FAA"/>
    <w:rsid w:val="00206136"/>
    <w:rsid w:val="002062B6"/>
    <w:rsid w:val="0020643A"/>
    <w:rsid w:val="002066AF"/>
    <w:rsid w:val="00206E00"/>
    <w:rsid w:val="00207AD6"/>
    <w:rsid w:val="00207E09"/>
    <w:rsid w:val="002103FD"/>
    <w:rsid w:val="0021040A"/>
    <w:rsid w:val="00210573"/>
    <w:rsid w:val="00210AE6"/>
    <w:rsid w:val="002112AE"/>
    <w:rsid w:val="002113F0"/>
    <w:rsid w:val="002117FD"/>
    <w:rsid w:val="00211892"/>
    <w:rsid w:val="00211EBF"/>
    <w:rsid w:val="002121C6"/>
    <w:rsid w:val="0021267E"/>
    <w:rsid w:val="002126A2"/>
    <w:rsid w:val="00214548"/>
    <w:rsid w:val="0021475D"/>
    <w:rsid w:val="00214915"/>
    <w:rsid w:val="00214DD3"/>
    <w:rsid w:val="00215006"/>
    <w:rsid w:val="002156B1"/>
    <w:rsid w:val="00216239"/>
    <w:rsid w:val="0021643B"/>
    <w:rsid w:val="00216535"/>
    <w:rsid w:val="002166C9"/>
    <w:rsid w:val="00216ACB"/>
    <w:rsid w:val="002170FF"/>
    <w:rsid w:val="00217186"/>
    <w:rsid w:val="00217C9B"/>
    <w:rsid w:val="0022019F"/>
    <w:rsid w:val="00220947"/>
    <w:rsid w:val="00220F76"/>
    <w:rsid w:val="00221AE6"/>
    <w:rsid w:val="0022415A"/>
    <w:rsid w:val="002249CA"/>
    <w:rsid w:val="002251F6"/>
    <w:rsid w:val="00225217"/>
    <w:rsid w:val="0022575F"/>
    <w:rsid w:val="00225AD9"/>
    <w:rsid w:val="00225C8A"/>
    <w:rsid w:val="00226216"/>
    <w:rsid w:val="002263E9"/>
    <w:rsid w:val="002264FB"/>
    <w:rsid w:val="00226ACC"/>
    <w:rsid w:val="002270D6"/>
    <w:rsid w:val="002273BB"/>
    <w:rsid w:val="0022747C"/>
    <w:rsid w:val="002277AD"/>
    <w:rsid w:val="00230A6D"/>
    <w:rsid w:val="00230DB8"/>
    <w:rsid w:val="0023171E"/>
    <w:rsid w:val="00231930"/>
    <w:rsid w:val="0023238A"/>
    <w:rsid w:val="00232595"/>
    <w:rsid w:val="00232A85"/>
    <w:rsid w:val="00232BC4"/>
    <w:rsid w:val="00232C27"/>
    <w:rsid w:val="00232D1B"/>
    <w:rsid w:val="00232E4C"/>
    <w:rsid w:val="00232F9B"/>
    <w:rsid w:val="002332E2"/>
    <w:rsid w:val="0023351D"/>
    <w:rsid w:val="0023372B"/>
    <w:rsid w:val="002339B8"/>
    <w:rsid w:val="00233CEC"/>
    <w:rsid w:val="00234B58"/>
    <w:rsid w:val="00235288"/>
    <w:rsid w:val="0023602D"/>
    <w:rsid w:val="002361C4"/>
    <w:rsid w:val="00236C33"/>
    <w:rsid w:val="00237744"/>
    <w:rsid w:val="00237EA2"/>
    <w:rsid w:val="002402C2"/>
    <w:rsid w:val="002405DD"/>
    <w:rsid w:val="00240B0D"/>
    <w:rsid w:val="00240BE3"/>
    <w:rsid w:val="00240C6C"/>
    <w:rsid w:val="00241AE0"/>
    <w:rsid w:val="00241B91"/>
    <w:rsid w:val="00241CDB"/>
    <w:rsid w:val="00241D87"/>
    <w:rsid w:val="00241E5A"/>
    <w:rsid w:val="0024219B"/>
    <w:rsid w:val="00242330"/>
    <w:rsid w:val="002424C5"/>
    <w:rsid w:val="00244064"/>
    <w:rsid w:val="0024439A"/>
    <w:rsid w:val="00246FDC"/>
    <w:rsid w:val="002470C1"/>
    <w:rsid w:val="00247311"/>
    <w:rsid w:val="00247C7D"/>
    <w:rsid w:val="00247EEC"/>
    <w:rsid w:val="00250187"/>
    <w:rsid w:val="00250448"/>
    <w:rsid w:val="00250AD6"/>
    <w:rsid w:val="00250C2B"/>
    <w:rsid w:val="00251045"/>
    <w:rsid w:val="00251FC8"/>
    <w:rsid w:val="0025259B"/>
    <w:rsid w:val="002526EC"/>
    <w:rsid w:val="00252A93"/>
    <w:rsid w:val="00252C0D"/>
    <w:rsid w:val="00252F64"/>
    <w:rsid w:val="00253900"/>
    <w:rsid w:val="00253C25"/>
    <w:rsid w:val="002540D7"/>
    <w:rsid w:val="0025495D"/>
    <w:rsid w:val="00255A7F"/>
    <w:rsid w:val="00255D47"/>
    <w:rsid w:val="0025605F"/>
    <w:rsid w:val="002560D5"/>
    <w:rsid w:val="002560E4"/>
    <w:rsid w:val="00256614"/>
    <w:rsid w:val="002571B3"/>
    <w:rsid w:val="00257865"/>
    <w:rsid w:val="0025789D"/>
    <w:rsid w:val="00257A4C"/>
    <w:rsid w:val="00257F22"/>
    <w:rsid w:val="002600E3"/>
    <w:rsid w:val="00260FF9"/>
    <w:rsid w:val="00261557"/>
    <w:rsid w:val="00261EA8"/>
    <w:rsid w:val="00262105"/>
    <w:rsid w:val="0026247C"/>
    <w:rsid w:val="00262755"/>
    <w:rsid w:val="002627A8"/>
    <w:rsid w:val="002628A5"/>
    <w:rsid w:val="00262A88"/>
    <w:rsid w:val="0026417E"/>
    <w:rsid w:val="00264572"/>
    <w:rsid w:val="002646AB"/>
    <w:rsid w:val="00264B55"/>
    <w:rsid w:val="00264C40"/>
    <w:rsid w:val="002651BA"/>
    <w:rsid w:val="002655E7"/>
    <w:rsid w:val="002662E3"/>
    <w:rsid w:val="0026727E"/>
    <w:rsid w:val="00267486"/>
    <w:rsid w:val="00267957"/>
    <w:rsid w:val="00267ADD"/>
    <w:rsid w:val="002703F2"/>
    <w:rsid w:val="002705D1"/>
    <w:rsid w:val="0027064F"/>
    <w:rsid w:val="0027086A"/>
    <w:rsid w:val="00270F36"/>
    <w:rsid w:val="0027128F"/>
    <w:rsid w:val="00271682"/>
    <w:rsid w:val="00271BAD"/>
    <w:rsid w:val="00271D57"/>
    <w:rsid w:val="002725B6"/>
    <w:rsid w:val="00272AC3"/>
    <w:rsid w:val="00272EE3"/>
    <w:rsid w:val="00273AB3"/>
    <w:rsid w:val="00273CFB"/>
    <w:rsid w:val="00273E86"/>
    <w:rsid w:val="0027407E"/>
    <w:rsid w:val="0027427B"/>
    <w:rsid w:val="00274654"/>
    <w:rsid w:val="0027483E"/>
    <w:rsid w:val="00274C90"/>
    <w:rsid w:val="00275B8C"/>
    <w:rsid w:val="00275D30"/>
    <w:rsid w:val="00276030"/>
    <w:rsid w:val="002804DF"/>
    <w:rsid w:val="002806C5"/>
    <w:rsid w:val="00282204"/>
    <w:rsid w:val="002823D7"/>
    <w:rsid w:val="00282664"/>
    <w:rsid w:val="00282883"/>
    <w:rsid w:val="0028297D"/>
    <w:rsid w:val="00282A09"/>
    <w:rsid w:val="00282D2F"/>
    <w:rsid w:val="00282FEF"/>
    <w:rsid w:val="002833F6"/>
    <w:rsid w:val="002835A9"/>
    <w:rsid w:val="00283744"/>
    <w:rsid w:val="0028378D"/>
    <w:rsid w:val="00283B5D"/>
    <w:rsid w:val="00283D84"/>
    <w:rsid w:val="0028406A"/>
    <w:rsid w:val="0028554E"/>
    <w:rsid w:val="00285A95"/>
    <w:rsid w:val="0028634C"/>
    <w:rsid w:val="00286940"/>
    <w:rsid w:val="00286A19"/>
    <w:rsid w:val="00286DD1"/>
    <w:rsid w:val="0028703F"/>
    <w:rsid w:val="00287546"/>
    <w:rsid w:val="0028775C"/>
    <w:rsid w:val="00287911"/>
    <w:rsid w:val="002879D4"/>
    <w:rsid w:val="00287B99"/>
    <w:rsid w:val="002900D5"/>
    <w:rsid w:val="002903E2"/>
    <w:rsid w:val="0029057B"/>
    <w:rsid w:val="002906CB"/>
    <w:rsid w:val="00290B41"/>
    <w:rsid w:val="0029120C"/>
    <w:rsid w:val="0029148A"/>
    <w:rsid w:val="00291495"/>
    <w:rsid w:val="00291689"/>
    <w:rsid w:val="00291E68"/>
    <w:rsid w:val="00291EA7"/>
    <w:rsid w:val="002927CA"/>
    <w:rsid w:val="0029334D"/>
    <w:rsid w:val="00293A55"/>
    <w:rsid w:val="0029406D"/>
    <w:rsid w:val="0029447D"/>
    <w:rsid w:val="00294747"/>
    <w:rsid w:val="002948F9"/>
    <w:rsid w:val="002953AA"/>
    <w:rsid w:val="0029571A"/>
    <w:rsid w:val="00295776"/>
    <w:rsid w:val="002962B0"/>
    <w:rsid w:val="002964D1"/>
    <w:rsid w:val="00297F5A"/>
    <w:rsid w:val="002A06EF"/>
    <w:rsid w:val="002A0966"/>
    <w:rsid w:val="002A131F"/>
    <w:rsid w:val="002A14C1"/>
    <w:rsid w:val="002A1904"/>
    <w:rsid w:val="002A201A"/>
    <w:rsid w:val="002A2245"/>
    <w:rsid w:val="002A25EC"/>
    <w:rsid w:val="002A277F"/>
    <w:rsid w:val="002A27E1"/>
    <w:rsid w:val="002A2864"/>
    <w:rsid w:val="002A2B9E"/>
    <w:rsid w:val="002A2C81"/>
    <w:rsid w:val="002A4182"/>
    <w:rsid w:val="002A4346"/>
    <w:rsid w:val="002A4568"/>
    <w:rsid w:val="002A461D"/>
    <w:rsid w:val="002A4751"/>
    <w:rsid w:val="002A5461"/>
    <w:rsid w:val="002A5A7D"/>
    <w:rsid w:val="002A62F2"/>
    <w:rsid w:val="002A6447"/>
    <w:rsid w:val="002A7D84"/>
    <w:rsid w:val="002A7E86"/>
    <w:rsid w:val="002B0B97"/>
    <w:rsid w:val="002B1813"/>
    <w:rsid w:val="002B1B75"/>
    <w:rsid w:val="002B1BC2"/>
    <w:rsid w:val="002B1CF8"/>
    <w:rsid w:val="002B2D08"/>
    <w:rsid w:val="002B2F81"/>
    <w:rsid w:val="002B3329"/>
    <w:rsid w:val="002B35AE"/>
    <w:rsid w:val="002B395A"/>
    <w:rsid w:val="002B3B7D"/>
    <w:rsid w:val="002B3CA6"/>
    <w:rsid w:val="002B4153"/>
    <w:rsid w:val="002B4383"/>
    <w:rsid w:val="002B4878"/>
    <w:rsid w:val="002B4D01"/>
    <w:rsid w:val="002B4D87"/>
    <w:rsid w:val="002B5603"/>
    <w:rsid w:val="002B5769"/>
    <w:rsid w:val="002B5A4E"/>
    <w:rsid w:val="002B5F2C"/>
    <w:rsid w:val="002B6292"/>
    <w:rsid w:val="002B6384"/>
    <w:rsid w:val="002B75E4"/>
    <w:rsid w:val="002B7CF8"/>
    <w:rsid w:val="002C00FE"/>
    <w:rsid w:val="002C0567"/>
    <w:rsid w:val="002C1086"/>
    <w:rsid w:val="002C1B19"/>
    <w:rsid w:val="002C2376"/>
    <w:rsid w:val="002C2540"/>
    <w:rsid w:val="002C2949"/>
    <w:rsid w:val="002C2A0A"/>
    <w:rsid w:val="002C2C23"/>
    <w:rsid w:val="002C3B35"/>
    <w:rsid w:val="002C3BBC"/>
    <w:rsid w:val="002C3F85"/>
    <w:rsid w:val="002C4436"/>
    <w:rsid w:val="002C4A18"/>
    <w:rsid w:val="002C4D1C"/>
    <w:rsid w:val="002C4E57"/>
    <w:rsid w:val="002C4F1E"/>
    <w:rsid w:val="002C5AB3"/>
    <w:rsid w:val="002C5BB4"/>
    <w:rsid w:val="002C62CC"/>
    <w:rsid w:val="002C660E"/>
    <w:rsid w:val="002C6E26"/>
    <w:rsid w:val="002C7898"/>
    <w:rsid w:val="002C7BB7"/>
    <w:rsid w:val="002D001C"/>
    <w:rsid w:val="002D048A"/>
    <w:rsid w:val="002D07D8"/>
    <w:rsid w:val="002D086A"/>
    <w:rsid w:val="002D0D92"/>
    <w:rsid w:val="002D0DF4"/>
    <w:rsid w:val="002D1005"/>
    <w:rsid w:val="002D1C6C"/>
    <w:rsid w:val="002D1E4E"/>
    <w:rsid w:val="002D2062"/>
    <w:rsid w:val="002D2326"/>
    <w:rsid w:val="002D2F59"/>
    <w:rsid w:val="002D3083"/>
    <w:rsid w:val="002D32BB"/>
    <w:rsid w:val="002D3691"/>
    <w:rsid w:val="002D37DC"/>
    <w:rsid w:val="002D3809"/>
    <w:rsid w:val="002D403C"/>
    <w:rsid w:val="002D4089"/>
    <w:rsid w:val="002D4C74"/>
    <w:rsid w:val="002D4E4C"/>
    <w:rsid w:val="002D5294"/>
    <w:rsid w:val="002D5A4E"/>
    <w:rsid w:val="002D612B"/>
    <w:rsid w:val="002D6B6C"/>
    <w:rsid w:val="002D6CE9"/>
    <w:rsid w:val="002D6F34"/>
    <w:rsid w:val="002D735A"/>
    <w:rsid w:val="002D7C3E"/>
    <w:rsid w:val="002E06F7"/>
    <w:rsid w:val="002E07B5"/>
    <w:rsid w:val="002E07DB"/>
    <w:rsid w:val="002E0A3B"/>
    <w:rsid w:val="002E0C2A"/>
    <w:rsid w:val="002E18CE"/>
    <w:rsid w:val="002E1A4E"/>
    <w:rsid w:val="002E20C3"/>
    <w:rsid w:val="002E21EA"/>
    <w:rsid w:val="002E24AD"/>
    <w:rsid w:val="002E3C85"/>
    <w:rsid w:val="002E3D04"/>
    <w:rsid w:val="002E3E5B"/>
    <w:rsid w:val="002E44CE"/>
    <w:rsid w:val="002E4BD0"/>
    <w:rsid w:val="002E5297"/>
    <w:rsid w:val="002E5552"/>
    <w:rsid w:val="002E59A1"/>
    <w:rsid w:val="002E6130"/>
    <w:rsid w:val="002E645F"/>
    <w:rsid w:val="002E6686"/>
    <w:rsid w:val="002E6A2D"/>
    <w:rsid w:val="002E72DF"/>
    <w:rsid w:val="002F0266"/>
    <w:rsid w:val="002F08A3"/>
    <w:rsid w:val="002F0BCF"/>
    <w:rsid w:val="002F0D3F"/>
    <w:rsid w:val="002F0ECE"/>
    <w:rsid w:val="002F1219"/>
    <w:rsid w:val="002F14C8"/>
    <w:rsid w:val="002F168F"/>
    <w:rsid w:val="002F1FA4"/>
    <w:rsid w:val="002F242B"/>
    <w:rsid w:val="002F2737"/>
    <w:rsid w:val="002F287C"/>
    <w:rsid w:val="002F2D2E"/>
    <w:rsid w:val="002F3362"/>
    <w:rsid w:val="002F338A"/>
    <w:rsid w:val="002F34CC"/>
    <w:rsid w:val="002F36EE"/>
    <w:rsid w:val="002F3989"/>
    <w:rsid w:val="002F3F86"/>
    <w:rsid w:val="002F42D9"/>
    <w:rsid w:val="002F47B1"/>
    <w:rsid w:val="002F48A1"/>
    <w:rsid w:val="002F4C92"/>
    <w:rsid w:val="002F50F2"/>
    <w:rsid w:val="002F51DD"/>
    <w:rsid w:val="002F5266"/>
    <w:rsid w:val="002F5BE8"/>
    <w:rsid w:val="002F677C"/>
    <w:rsid w:val="002F7048"/>
    <w:rsid w:val="002F7149"/>
    <w:rsid w:val="002F799F"/>
    <w:rsid w:val="002F7C8E"/>
    <w:rsid w:val="00300096"/>
    <w:rsid w:val="00300136"/>
    <w:rsid w:val="00300363"/>
    <w:rsid w:val="003003FE"/>
    <w:rsid w:val="00300A31"/>
    <w:rsid w:val="00300B7C"/>
    <w:rsid w:val="00300DEF"/>
    <w:rsid w:val="003012BB"/>
    <w:rsid w:val="00301A44"/>
    <w:rsid w:val="00301F37"/>
    <w:rsid w:val="00302730"/>
    <w:rsid w:val="00302952"/>
    <w:rsid w:val="0030307D"/>
    <w:rsid w:val="00303DA9"/>
    <w:rsid w:val="00303FD9"/>
    <w:rsid w:val="003041A7"/>
    <w:rsid w:val="0030477E"/>
    <w:rsid w:val="00304DA5"/>
    <w:rsid w:val="00305C4F"/>
    <w:rsid w:val="00306305"/>
    <w:rsid w:val="003064DF"/>
    <w:rsid w:val="003071FA"/>
    <w:rsid w:val="003076A5"/>
    <w:rsid w:val="00307C36"/>
    <w:rsid w:val="00310B64"/>
    <w:rsid w:val="00311432"/>
    <w:rsid w:val="0031188C"/>
    <w:rsid w:val="003119FB"/>
    <w:rsid w:val="00311B92"/>
    <w:rsid w:val="00311F48"/>
    <w:rsid w:val="0031238B"/>
    <w:rsid w:val="00312721"/>
    <w:rsid w:val="00312C7A"/>
    <w:rsid w:val="00313972"/>
    <w:rsid w:val="00313A9D"/>
    <w:rsid w:val="00313BBB"/>
    <w:rsid w:val="003145F3"/>
    <w:rsid w:val="00314A18"/>
    <w:rsid w:val="0031533E"/>
    <w:rsid w:val="003153EA"/>
    <w:rsid w:val="003157E6"/>
    <w:rsid w:val="0031591E"/>
    <w:rsid w:val="00316083"/>
    <w:rsid w:val="00316368"/>
    <w:rsid w:val="00316635"/>
    <w:rsid w:val="0031740A"/>
    <w:rsid w:val="00317490"/>
    <w:rsid w:val="00317504"/>
    <w:rsid w:val="0031792E"/>
    <w:rsid w:val="00317B13"/>
    <w:rsid w:val="003201A8"/>
    <w:rsid w:val="00320619"/>
    <w:rsid w:val="00320B04"/>
    <w:rsid w:val="00320B1C"/>
    <w:rsid w:val="0032122C"/>
    <w:rsid w:val="0032227F"/>
    <w:rsid w:val="00322727"/>
    <w:rsid w:val="00322D0B"/>
    <w:rsid w:val="003231D3"/>
    <w:rsid w:val="00323354"/>
    <w:rsid w:val="00323492"/>
    <w:rsid w:val="003245BB"/>
    <w:rsid w:val="00324703"/>
    <w:rsid w:val="003248C0"/>
    <w:rsid w:val="0032561B"/>
    <w:rsid w:val="00325B32"/>
    <w:rsid w:val="003267DF"/>
    <w:rsid w:val="00326924"/>
    <w:rsid w:val="003269BB"/>
    <w:rsid w:val="00327178"/>
    <w:rsid w:val="00327701"/>
    <w:rsid w:val="00327805"/>
    <w:rsid w:val="00327EBA"/>
    <w:rsid w:val="00327EC6"/>
    <w:rsid w:val="003306E4"/>
    <w:rsid w:val="00331B54"/>
    <w:rsid w:val="0033280E"/>
    <w:rsid w:val="003337CA"/>
    <w:rsid w:val="00333A8C"/>
    <w:rsid w:val="00334617"/>
    <w:rsid w:val="0033465C"/>
    <w:rsid w:val="003346C8"/>
    <w:rsid w:val="00334F37"/>
    <w:rsid w:val="00335265"/>
    <w:rsid w:val="00335360"/>
    <w:rsid w:val="003353A6"/>
    <w:rsid w:val="00335A41"/>
    <w:rsid w:val="00335D1B"/>
    <w:rsid w:val="00335FCC"/>
    <w:rsid w:val="00336815"/>
    <w:rsid w:val="003369AE"/>
    <w:rsid w:val="00336A8D"/>
    <w:rsid w:val="00336B28"/>
    <w:rsid w:val="00336F13"/>
    <w:rsid w:val="00337300"/>
    <w:rsid w:val="0033757F"/>
    <w:rsid w:val="003377B7"/>
    <w:rsid w:val="00337DFA"/>
    <w:rsid w:val="0034009C"/>
    <w:rsid w:val="00340677"/>
    <w:rsid w:val="003407EF"/>
    <w:rsid w:val="00340EE1"/>
    <w:rsid w:val="00341862"/>
    <w:rsid w:val="00341BF2"/>
    <w:rsid w:val="00341E5C"/>
    <w:rsid w:val="00342552"/>
    <w:rsid w:val="0034268C"/>
    <w:rsid w:val="00342D9E"/>
    <w:rsid w:val="00342FBA"/>
    <w:rsid w:val="003437C0"/>
    <w:rsid w:val="00343869"/>
    <w:rsid w:val="0034387B"/>
    <w:rsid w:val="00343E7B"/>
    <w:rsid w:val="0034458A"/>
    <w:rsid w:val="0034472A"/>
    <w:rsid w:val="003461E0"/>
    <w:rsid w:val="00346293"/>
    <w:rsid w:val="003474D9"/>
    <w:rsid w:val="003476B2"/>
    <w:rsid w:val="00347C41"/>
    <w:rsid w:val="00347F54"/>
    <w:rsid w:val="003512B1"/>
    <w:rsid w:val="00351579"/>
    <w:rsid w:val="00351EE2"/>
    <w:rsid w:val="003521F3"/>
    <w:rsid w:val="0035243C"/>
    <w:rsid w:val="00352CFF"/>
    <w:rsid w:val="00353599"/>
    <w:rsid w:val="00353666"/>
    <w:rsid w:val="00353B43"/>
    <w:rsid w:val="00354368"/>
    <w:rsid w:val="00354529"/>
    <w:rsid w:val="0035470D"/>
    <w:rsid w:val="00354A2C"/>
    <w:rsid w:val="00354B91"/>
    <w:rsid w:val="00354C1D"/>
    <w:rsid w:val="00354D13"/>
    <w:rsid w:val="00354E34"/>
    <w:rsid w:val="003554BD"/>
    <w:rsid w:val="0035562F"/>
    <w:rsid w:val="00355CE0"/>
    <w:rsid w:val="003560F6"/>
    <w:rsid w:val="003565BC"/>
    <w:rsid w:val="003575FF"/>
    <w:rsid w:val="00357851"/>
    <w:rsid w:val="00357A96"/>
    <w:rsid w:val="00357C5C"/>
    <w:rsid w:val="00357EEB"/>
    <w:rsid w:val="00357F7A"/>
    <w:rsid w:val="0036035E"/>
    <w:rsid w:val="00360548"/>
    <w:rsid w:val="00360690"/>
    <w:rsid w:val="00360AEF"/>
    <w:rsid w:val="00360C1A"/>
    <w:rsid w:val="00360E7C"/>
    <w:rsid w:val="0036142E"/>
    <w:rsid w:val="00361E09"/>
    <w:rsid w:val="00362135"/>
    <w:rsid w:val="003629B1"/>
    <w:rsid w:val="00363245"/>
    <w:rsid w:val="0036449A"/>
    <w:rsid w:val="003644D5"/>
    <w:rsid w:val="00365575"/>
    <w:rsid w:val="003658AB"/>
    <w:rsid w:val="00366174"/>
    <w:rsid w:val="003662DF"/>
    <w:rsid w:val="00366838"/>
    <w:rsid w:val="003668BA"/>
    <w:rsid w:val="0036691D"/>
    <w:rsid w:val="00366BF8"/>
    <w:rsid w:val="0036734D"/>
    <w:rsid w:val="0036759F"/>
    <w:rsid w:val="003677E3"/>
    <w:rsid w:val="00367BEE"/>
    <w:rsid w:val="00370A9E"/>
    <w:rsid w:val="00371157"/>
    <w:rsid w:val="003711DE"/>
    <w:rsid w:val="0037141E"/>
    <w:rsid w:val="00371B6C"/>
    <w:rsid w:val="00371CDE"/>
    <w:rsid w:val="00371E5D"/>
    <w:rsid w:val="00371F97"/>
    <w:rsid w:val="00372176"/>
    <w:rsid w:val="00373293"/>
    <w:rsid w:val="003739E1"/>
    <w:rsid w:val="00373AF8"/>
    <w:rsid w:val="00373C39"/>
    <w:rsid w:val="00373C59"/>
    <w:rsid w:val="00373F9C"/>
    <w:rsid w:val="00374E1C"/>
    <w:rsid w:val="00375197"/>
    <w:rsid w:val="00375400"/>
    <w:rsid w:val="00375526"/>
    <w:rsid w:val="00375B84"/>
    <w:rsid w:val="00375C4D"/>
    <w:rsid w:val="0037661A"/>
    <w:rsid w:val="00376856"/>
    <w:rsid w:val="00376B39"/>
    <w:rsid w:val="00377A01"/>
    <w:rsid w:val="00380A83"/>
    <w:rsid w:val="00380D5B"/>
    <w:rsid w:val="00380E7C"/>
    <w:rsid w:val="003812D9"/>
    <w:rsid w:val="0038140A"/>
    <w:rsid w:val="003814F5"/>
    <w:rsid w:val="00381AE2"/>
    <w:rsid w:val="003821A3"/>
    <w:rsid w:val="00382838"/>
    <w:rsid w:val="00382961"/>
    <w:rsid w:val="00382BAB"/>
    <w:rsid w:val="00382CB1"/>
    <w:rsid w:val="003837A8"/>
    <w:rsid w:val="00383A62"/>
    <w:rsid w:val="003840CB"/>
    <w:rsid w:val="00385136"/>
    <w:rsid w:val="003852D4"/>
    <w:rsid w:val="00385A0A"/>
    <w:rsid w:val="00385F67"/>
    <w:rsid w:val="0038689F"/>
    <w:rsid w:val="00386C96"/>
    <w:rsid w:val="003877EA"/>
    <w:rsid w:val="003879F0"/>
    <w:rsid w:val="00387D10"/>
    <w:rsid w:val="00387D32"/>
    <w:rsid w:val="00390178"/>
    <w:rsid w:val="00390842"/>
    <w:rsid w:val="00390A57"/>
    <w:rsid w:val="00390DBE"/>
    <w:rsid w:val="003910E0"/>
    <w:rsid w:val="003915BF"/>
    <w:rsid w:val="00391986"/>
    <w:rsid w:val="00391ADA"/>
    <w:rsid w:val="00391D50"/>
    <w:rsid w:val="00391FDC"/>
    <w:rsid w:val="0039240C"/>
    <w:rsid w:val="0039241D"/>
    <w:rsid w:val="00392911"/>
    <w:rsid w:val="003929B2"/>
    <w:rsid w:val="00393431"/>
    <w:rsid w:val="003935EF"/>
    <w:rsid w:val="00393629"/>
    <w:rsid w:val="003939E1"/>
    <w:rsid w:val="00393B58"/>
    <w:rsid w:val="00394262"/>
    <w:rsid w:val="003947B5"/>
    <w:rsid w:val="0039533C"/>
    <w:rsid w:val="00395388"/>
    <w:rsid w:val="00395759"/>
    <w:rsid w:val="0039600D"/>
    <w:rsid w:val="003960FC"/>
    <w:rsid w:val="00396332"/>
    <w:rsid w:val="0039689E"/>
    <w:rsid w:val="0039690B"/>
    <w:rsid w:val="00396AA5"/>
    <w:rsid w:val="00396BC0"/>
    <w:rsid w:val="00397195"/>
    <w:rsid w:val="0039796A"/>
    <w:rsid w:val="00397C11"/>
    <w:rsid w:val="00397D82"/>
    <w:rsid w:val="003A09D4"/>
    <w:rsid w:val="003A0D81"/>
    <w:rsid w:val="003A0EE5"/>
    <w:rsid w:val="003A1596"/>
    <w:rsid w:val="003A2184"/>
    <w:rsid w:val="003A26C5"/>
    <w:rsid w:val="003A3487"/>
    <w:rsid w:val="003A3B31"/>
    <w:rsid w:val="003A52A5"/>
    <w:rsid w:val="003A5345"/>
    <w:rsid w:val="003A5B46"/>
    <w:rsid w:val="003A6972"/>
    <w:rsid w:val="003A6C04"/>
    <w:rsid w:val="003A6E0F"/>
    <w:rsid w:val="003A6F8F"/>
    <w:rsid w:val="003A73DB"/>
    <w:rsid w:val="003A77F9"/>
    <w:rsid w:val="003A7A26"/>
    <w:rsid w:val="003A7CFD"/>
    <w:rsid w:val="003B0FF5"/>
    <w:rsid w:val="003B12C6"/>
    <w:rsid w:val="003B1441"/>
    <w:rsid w:val="003B1D13"/>
    <w:rsid w:val="003B246C"/>
    <w:rsid w:val="003B247A"/>
    <w:rsid w:val="003B2669"/>
    <w:rsid w:val="003B2F3B"/>
    <w:rsid w:val="003B4017"/>
    <w:rsid w:val="003B488F"/>
    <w:rsid w:val="003B4D7D"/>
    <w:rsid w:val="003B4DC9"/>
    <w:rsid w:val="003B592E"/>
    <w:rsid w:val="003B5EE8"/>
    <w:rsid w:val="003B5FB0"/>
    <w:rsid w:val="003B6386"/>
    <w:rsid w:val="003B659E"/>
    <w:rsid w:val="003B65F8"/>
    <w:rsid w:val="003B6619"/>
    <w:rsid w:val="003B6778"/>
    <w:rsid w:val="003B6E6F"/>
    <w:rsid w:val="003B6FFB"/>
    <w:rsid w:val="003B77CC"/>
    <w:rsid w:val="003B78D2"/>
    <w:rsid w:val="003B7985"/>
    <w:rsid w:val="003B7A46"/>
    <w:rsid w:val="003B7B2A"/>
    <w:rsid w:val="003B7C90"/>
    <w:rsid w:val="003C0E8F"/>
    <w:rsid w:val="003C101B"/>
    <w:rsid w:val="003C15D9"/>
    <w:rsid w:val="003C1BD7"/>
    <w:rsid w:val="003C20BA"/>
    <w:rsid w:val="003C369D"/>
    <w:rsid w:val="003C3CE1"/>
    <w:rsid w:val="003C3FB2"/>
    <w:rsid w:val="003C449E"/>
    <w:rsid w:val="003C461C"/>
    <w:rsid w:val="003C4741"/>
    <w:rsid w:val="003C4C79"/>
    <w:rsid w:val="003C53E9"/>
    <w:rsid w:val="003C5566"/>
    <w:rsid w:val="003C5570"/>
    <w:rsid w:val="003C57A3"/>
    <w:rsid w:val="003C64F3"/>
    <w:rsid w:val="003C709C"/>
    <w:rsid w:val="003D05BF"/>
    <w:rsid w:val="003D211F"/>
    <w:rsid w:val="003D306D"/>
    <w:rsid w:val="003D3377"/>
    <w:rsid w:val="003D3954"/>
    <w:rsid w:val="003D4D4F"/>
    <w:rsid w:val="003D51C7"/>
    <w:rsid w:val="003D55DC"/>
    <w:rsid w:val="003D58BC"/>
    <w:rsid w:val="003D58D6"/>
    <w:rsid w:val="003D5D6D"/>
    <w:rsid w:val="003D7035"/>
    <w:rsid w:val="003D7103"/>
    <w:rsid w:val="003D7688"/>
    <w:rsid w:val="003D78B0"/>
    <w:rsid w:val="003D7F82"/>
    <w:rsid w:val="003E0275"/>
    <w:rsid w:val="003E0396"/>
    <w:rsid w:val="003E0766"/>
    <w:rsid w:val="003E082D"/>
    <w:rsid w:val="003E1246"/>
    <w:rsid w:val="003E130F"/>
    <w:rsid w:val="003E1842"/>
    <w:rsid w:val="003E2004"/>
    <w:rsid w:val="003E21D7"/>
    <w:rsid w:val="003E2254"/>
    <w:rsid w:val="003E2413"/>
    <w:rsid w:val="003E2D3A"/>
    <w:rsid w:val="003E2D54"/>
    <w:rsid w:val="003E2EB5"/>
    <w:rsid w:val="003E2EC8"/>
    <w:rsid w:val="003E2F6E"/>
    <w:rsid w:val="003E34D8"/>
    <w:rsid w:val="003E36D1"/>
    <w:rsid w:val="003E3CDB"/>
    <w:rsid w:val="003E420D"/>
    <w:rsid w:val="003E44AC"/>
    <w:rsid w:val="003E48C7"/>
    <w:rsid w:val="003E4CFC"/>
    <w:rsid w:val="003E62FA"/>
    <w:rsid w:val="003E63D6"/>
    <w:rsid w:val="003E6500"/>
    <w:rsid w:val="003E6B93"/>
    <w:rsid w:val="003E6E61"/>
    <w:rsid w:val="003E7007"/>
    <w:rsid w:val="003F0056"/>
    <w:rsid w:val="003F0181"/>
    <w:rsid w:val="003F0A5D"/>
    <w:rsid w:val="003F0DCC"/>
    <w:rsid w:val="003F166A"/>
    <w:rsid w:val="003F1885"/>
    <w:rsid w:val="003F1A50"/>
    <w:rsid w:val="003F20FF"/>
    <w:rsid w:val="003F25FC"/>
    <w:rsid w:val="003F270C"/>
    <w:rsid w:val="003F28D8"/>
    <w:rsid w:val="003F2EFD"/>
    <w:rsid w:val="003F33C5"/>
    <w:rsid w:val="003F34BF"/>
    <w:rsid w:val="003F3623"/>
    <w:rsid w:val="003F3660"/>
    <w:rsid w:val="003F3970"/>
    <w:rsid w:val="003F4536"/>
    <w:rsid w:val="003F478C"/>
    <w:rsid w:val="003F4B72"/>
    <w:rsid w:val="003F4C82"/>
    <w:rsid w:val="003F531C"/>
    <w:rsid w:val="003F5AA3"/>
    <w:rsid w:val="003F6106"/>
    <w:rsid w:val="003F6386"/>
    <w:rsid w:val="003F64C7"/>
    <w:rsid w:val="003F726C"/>
    <w:rsid w:val="0040018B"/>
    <w:rsid w:val="004002DF"/>
    <w:rsid w:val="004003CB"/>
    <w:rsid w:val="00400B0D"/>
    <w:rsid w:val="00401200"/>
    <w:rsid w:val="00401233"/>
    <w:rsid w:val="00401360"/>
    <w:rsid w:val="00401524"/>
    <w:rsid w:val="00401555"/>
    <w:rsid w:val="0040162E"/>
    <w:rsid w:val="0040178F"/>
    <w:rsid w:val="004018C1"/>
    <w:rsid w:val="00401B2B"/>
    <w:rsid w:val="004035CB"/>
    <w:rsid w:val="0040396E"/>
    <w:rsid w:val="00403C50"/>
    <w:rsid w:val="00403C56"/>
    <w:rsid w:val="00403F6A"/>
    <w:rsid w:val="00404051"/>
    <w:rsid w:val="0040444E"/>
    <w:rsid w:val="00404AB3"/>
    <w:rsid w:val="00404B78"/>
    <w:rsid w:val="00405AAA"/>
    <w:rsid w:val="00405D37"/>
    <w:rsid w:val="00405D82"/>
    <w:rsid w:val="00406339"/>
    <w:rsid w:val="00406CA6"/>
    <w:rsid w:val="0040732B"/>
    <w:rsid w:val="0040736B"/>
    <w:rsid w:val="004074AA"/>
    <w:rsid w:val="00407888"/>
    <w:rsid w:val="00407FF4"/>
    <w:rsid w:val="004100E8"/>
    <w:rsid w:val="004108ED"/>
    <w:rsid w:val="00410B3C"/>
    <w:rsid w:val="00410BE5"/>
    <w:rsid w:val="00411144"/>
    <w:rsid w:val="00411281"/>
    <w:rsid w:val="00411A61"/>
    <w:rsid w:val="004125E0"/>
    <w:rsid w:val="004125F5"/>
    <w:rsid w:val="004126A2"/>
    <w:rsid w:val="00412986"/>
    <w:rsid w:val="00413420"/>
    <w:rsid w:val="004137DF"/>
    <w:rsid w:val="0041399F"/>
    <w:rsid w:val="00413CA3"/>
    <w:rsid w:val="004143B9"/>
    <w:rsid w:val="00414CCC"/>
    <w:rsid w:val="00414F0D"/>
    <w:rsid w:val="004158CB"/>
    <w:rsid w:val="00415A54"/>
    <w:rsid w:val="00415C56"/>
    <w:rsid w:val="00415EEC"/>
    <w:rsid w:val="00416138"/>
    <w:rsid w:val="00416F6C"/>
    <w:rsid w:val="0041708B"/>
    <w:rsid w:val="004179E7"/>
    <w:rsid w:val="00420291"/>
    <w:rsid w:val="00420310"/>
    <w:rsid w:val="00421183"/>
    <w:rsid w:val="004217AD"/>
    <w:rsid w:val="00421AFD"/>
    <w:rsid w:val="00421D75"/>
    <w:rsid w:val="004223C4"/>
    <w:rsid w:val="00422DD6"/>
    <w:rsid w:val="00423037"/>
    <w:rsid w:val="0042365C"/>
    <w:rsid w:val="00423A46"/>
    <w:rsid w:val="004240CE"/>
    <w:rsid w:val="00424C87"/>
    <w:rsid w:val="00425950"/>
    <w:rsid w:val="00425BCD"/>
    <w:rsid w:val="00426199"/>
    <w:rsid w:val="00426238"/>
    <w:rsid w:val="004262A5"/>
    <w:rsid w:val="0042635A"/>
    <w:rsid w:val="00426597"/>
    <w:rsid w:val="0042752D"/>
    <w:rsid w:val="00430348"/>
    <w:rsid w:val="004305C7"/>
    <w:rsid w:val="004309C6"/>
    <w:rsid w:val="00431000"/>
    <w:rsid w:val="0043269D"/>
    <w:rsid w:val="00433BD0"/>
    <w:rsid w:val="00433EA7"/>
    <w:rsid w:val="00434A04"/>
    <w:rsid w:val="00434FC5"/>
    <w:rsid w:val="0043504D"/>
    <w:rsid w:val="00435457"/>
    <w:rsid w:val="00435984"/>
    <w:rsid w:val="0043624B"/>
    <w:rsid w:val="004365D6"/>
    <w:rsid w:val="00436639"/>
    <w:rsid w:val="00440033"/>
    <w:rsid w:val="0044087E"/>
    <w:rsid w:val="00440E65"/>
    <w:rsid w:val="00441CD0"/>
    <w:rsid w:val="00443013"/>
    <w:rsid w:val="00443C4D"/>
    <w:rsid w:val="00443E28"/>
    <w:rsid w:val="00444792"/>
    <w:rsid w:val="00444799"/>
    <w:rsid w:val="00444C69"/>
    <w:rsid w:val="00444FE6"/>
    <w:rsid w:val="00445074"/>
    <w:rsid w:val="00445B88"/>
    <w:rsid w:val="00446071"/>
    <w:rsid w:val="00446369"/>
    <w:rsid w:val="00447253"/>
    <w:rsid w:val="00447F83"/>
    <w:rsid w:val="00450B29"/>
    <w:rsid w:val="00450E34"/>
    <w:rsid w:val="00451158"/>
    <w:rsid w:val="00451395"/>
    <w:rsid w:val="0045153C"/>
    <w:rsid w:val="00451F07"/>
    <w:rsid w:val="0045373A"/>
    <w:rsid w:val="004540E1"/>
    <w:rsid w:val="00454589"/>
    <w:rsid w:val="0045458D"/>
    <w:rsid w:val="0045474D"/>
    <w:rsid w:val="004549E5"/>
    <w:rsid w:val="00454D90"/>
    <w:rsid w:val="00455302"/>
    <w:rsid w:val="00455903"/>
    <w:rsid w:val="00455C71"/>
    <w:rsid w:val="0045628C"/>
    <w:rsid w:val="004565B0"/>
    <w:rsid w:val="004569C7"/>
    <w:rsid w:val="00456F48"/>
    <w:rsid w:val="00457414"/>
    <w:rsid w:val="00457773"/>
    <w:rsid w:val="00457B82"/>
    <w:rsid w:val="00457CCE"/>
    <w:rsid w:val="004602C5"/>
    <w:rsid w:val="00460467"/>
    <w:rsid w:val="004608A9"/>
    <w:rsid w:val="004611F2"/>
    <w:rsid w:val="0046357C"/>
    <w:rsid w:val="00463891"/>
    <w:rsid w:val="00463CAF"/>
    <w:rsid w:val="00463F6D"/>
    <w:rsid w:val="004645B1"/>
    <w:rsid w:val="00464875"/>
    <w:rsid w:val="00464A38"/>
    <w:rsid w:val="00464DDC"/>
    <w:rsid w:val="00465231"/>
    <w:rsid w:val="00465357"/>
    <w:rsid w:val="004660B6"/>
    <w:rsid w:val="0046622D"/>
    <w:rsid w:val="00466583"/>
    <w:rsid w:val="0046714E"/>
    <w:rsid w:val="00467B93"/>
    <w:rsid w:val="00467BE9"/>
    <w:rsid w:val="00467EB6"/>
    <w:rsid w:val="004706BF"/>
    <w:rsid w:val="00470CDB"/>
    <w:rsid w:val="004712A9"/>
    <w:rsid w:val="004716C3"/>
    <w:rsid w:val="00471E72"/>
    <w:rsid w:val="0047243D"/>
    <w:rsid w:val="004724A0"/>
    <w:rsid w:val="00472ADC"/>
    <w:rsid w:val="00472AEE"/>
    <w:rsid w:val="004735A4"/>
    <w:rsid w:val="00473621"/>
    <w:rsid w:val="00473A37"/>
    <w:rsid w:val="00473DB6"/>
    <w:rsid w:val="0047434B"/>
    <w:rsid w:val="004743CC"/>
    <w:rsid w:val="0047476C"/>
    <w:rsid w:val="004747FE"/>
    <w:rsid w:val="004755F1"/>
    <w:rsid w:val="0047564A"/>
    <w:rsid w:val="004757D9"/>
    <w:rsid w:val="00475939"/>
    <w:rsid w:val="004760AE"/>
    <w:rsid w:val="00476270"/>
    <w:rsid w:val="004765E7"/>
    <w:rsid w:val="004767DF"/>
    <w:rsid w:val="004768D2"/>
    <w:rsid w:val="004768DE"/>
    <w:rsid w:val="00476CCD"/>
    <w:rsid w:val="00476EF5"/>
    <w:rsid w:val="004772A6"/>
    <w:rsid w:val="00477310"/>
    <w:rsid w:val="00477438"/>
    <w:rsid w:val="00477591"/>
    <w:rsid w:val="00477C74"/>
    <w:rsid w:val="00480402"/>
    <w:rsid w:val="00480C6A"/>
    <w:rsid w:val="00481623"/>
    <w:rsid w:val="00481E27"/>
    <w:rsid w:val="00482180"/>
    <w:rsid w:val="004830E0"/>
    <w:rsid w:val="00483DAC"/>
    <w:rsid w:val="00483E93"/>
    <w:rsid w:val="00484513"/>
    <w:rsid w:val="0048463A"/>
    <w:rsid w:val="00484A3A"/>
    <w:rsid w:val="00484A48"/>
    <w:rsid w:val="00484BAA"/>
    <w:rsid w:val="00485227"/>
    <w:rsid w:val="00485DE8"/>
    <w:rsid w:val="004879AA"/>
    <w:rsid w:val="00487B5E"/>
    <w:rsid w:val="00487C6F"/>
    <w:rsid w:val="00490CE1"/>
    <w:rsid w:val="00490D72"/>
    <w:rsid w:val="004910EA"/>
    <w:rsid w:val="00491E34"/>
    <w:rsid w:val="00491FDC"/>
    <w:rsid w:val="00492057"/>
    <w:rsid w:val="004921F1"/>
    <w:rsid w:val="00492641"/>
    <w:rsid w:val="00492804"/>
    <w:rsid w:val="00492D58"/>
    <w:rsid w:val="00496853"/>
    <w:rsid w:val="00496880"/>
    <w:rsid w:val="00496B96"/>
    <w:rsid w:val="00496E2E"/>
    <w:rsid w:val="00497126"/>
    <w:rsid w:val="004973B0"/>
    <w:rsid w:val="004973F1"/>
    <w:rsid w:val="004A0F6B"/>
    <w:rsid w:val="004A0FCC"/>
    <w:rsid w:val="004A1649"/>
    <w:rsid w:val="004A1A1C"/>
    <w:rsid w:val="004A231D"/>
    <w:rsid w:val="004A27F4"/>
    <w:rsid w:val="004A2A84"/>
    <w:rsid w:val="004A3876"/>
    <w:rsid w:val="004A3DB6"/>
    <w:rsid w:val="004A5D6A"/>
    <w:rsid w:val="004A6404"/>
    <w:rsid w:val="004A65B8"/>
    <w:rsid w:val="004A6D1D"/>
    <w:rsid w:val="004A6F20"/>
    <w:rsid w:val="004A7704"/>
    <w:rsid w:val="004B057F"/>
    <w:rsid w:val="004B08D3"/>
    <w:rsid w:val="004B0944"/>
    <w:rsid w:val="004B0C70"/>
    <w:rsid w:val="004B11F6"/>
    <w:rsid w:val="004B1AC2"/>
    <w:rsid w:val="004B2132"/>
    <w:rsid w:val="004B2AFE"/>
    <w:rsid w:val="004B2D50"/>
    <w:rsid w:val="004B2FEF"/>
    <w:rsid w:val="004B3108"/>
    <w:rsid w:val="004B3454"/>
    <w:rsid w:val="004B37A1"/>
    <w:rsid w:val="004B4508"/>
    <w:rsid w:val="004B58B2"/>
    <w:rsid w:val="004B5C5B"/>
    <w:rsid w:val="004B5D96"/>
    <w:rsid w:val="004B5E27"/>
    <w:rsid w:val="004B5ED2"/>
    <w:rsid w:val="004B6782"/>
    <w:rsid w:val="004B6986"/>
    <w:rsid w:val="004B6BF7"/>
    <w:rsid w:val="004B726B"/>
    <w:rsid w:val="004B77E0"/>
    <w:rsid w:val="004B7B56"/>
    <w:rsid w:val="004C0142"/>
    <w:rsid w:val="004C072E"/>
    <w:rsid w:val="004C0C2C"/>
    <w:rsid w:val="004C0F9B"/>
    <w:rsid w:val="004C1D98"/>
    <w:rsid w:val="004C29BF"/>
    <w:rsid w:val="004C30BD"/>
    <w:rsid w:val="004C3725"/>
    <w:rsid w:val="004C3956"/>
    <w:rsid w:val="004C3AAF"/>
    <w:rsid w:val="004C3D69"/>
    <w:rsid w:val="004C45C5"/>
    <w:rsid w:val="004C48F0"/>
    <w:rsid w:val="004C52A0"/>
    <w:rsid w:val="004C5E2C"/>
    <w:rsid w:val="004C630D"/>
    <w:rsid w:val="004C6712"/>
    <w:rsid w:val="004C6D75"/>
    <w:rsid w:val="004C6E20"/>
    <w:rsid w:val="004C732B"/>
    <w:rsid w:val="004C7B8B"/>
    <w:rsid w:val="004C7C5A"/>
    <w:rsid w:val="004D021C"/>
    <w:rsid w:val="004D0859"/>
    <w:rsid w:val="004D0CA0"/>
    <w:rsid w:val="004D123E"/>
    <w:rsid w:val="004D124B"/>
    <w:rsid w:val="004D1DED"/>
    <w:rsid w:val="004D1E69"/>
    <w:rsid w:val="004D25D3"/>
    <w:rsid w:val="004D2AE8"/>
    <w:rsid w:val="004D2D75"/>
    <w:rsid w:val="004D2FD1"/>
    <w:rsid w:val="004D349B"/>
    <w:rsid w:val="004D38A8"/>
    <w:rsid w:val="004D4A0F"/>
    <w:rsid w:val="004D4CBA"/>
    <w:rsid w:val="004D52BE"/>
    <w:rsid w:val="004D58A0"/>
    <w:rsid w:val="004D6EBA"/>
    <w:rsid w:val="004D7383"/>
    <w:rsid w:val="004E039F"/>
    <w:rsid w:val="004E0920"/>
    <w:rsid w:val="004E0BAE"/>
    <w:rsid w:val="004E15CC"/>
    <w:rsid w:val="004E18D6"/>
    <w:rsid w:val="004E1FD5"/>
    <w:rsid w:val="004E21A6"/>
    <w:rsid w:val="004E2255"/>
    <w:rsid w:val="004E2475"/>
    <w:rsid w:val="004E2D5B"/>
    <w:rsid w:val="004E2DBE"/>
    <w:rsid w:val="004E31FB"/>
    <w:rsid w:val="004E39E1"/>
    <w:rsid w:val="004E3BF5"/>
    <w:rsid w:val="004E4CD3"/>
    <w:rsid w:val="004E5A46"/>
    <w:rsid w:val="004E5FDD"/>
    <w:rsid w:val="004E68E8"/>
    <w:rsid w:val="004E77C0"/>
    <w:rsid w:val="004E7B3F"/>
    <w:rsid w:val="004E7C45"/>
    <w:rsid w:val="004F015D"/>
    <w:rsid w:val="004F0323"/>
    <w:rsid w:val="004F073C"/>
    <w:rsid w:val="004F122C"/>
    <w:rsid w:val="004F14E4"/>
    <w:rsid w:val="004F1727"/>
    <w:rsid w:val="004F1A4F"/>
    <w:rsid w:val="004F2205"/>
    <w:rsid w:val="004F2273"/>
    <w:rsid w:val="004F2F75"/>
    <w:rsid w:val="004F31AC"/>
    <w:rsid w:val="004F31F2"/>
    <w:rsid w:val="004F37B5"/>
    <w:rsid w:val="004F4C80"/>
    <w:rsid w:val="004F4CE3"/>
    <w:rsid w:val="004F4FB5"/>
    <w:rsid w:val="004F52D0"/>
    <w:rsid w:val="004F5E0A"/>
    <w:rsid w:val="004F6908"/>
    <w:rsid w:val="004F6DA6"/>
    <w:rsid w:val="004F7585"/>
    <w:rsid w:val="004F7614"/>
    <w:rsid w:val="004F7741"/>
    <w:rsid w:val="004F7C78"/>
    <w:rsid w:val="004F7D11"/>
    <w:rsid w:val="004F7EC9"/>
    <w:rsid w:val="00500011"/>
    <w:rsid w:val="00500819"/>
    <w:rsid w:val="00501237"/>
    <w:rsid w:val="00501662"/>
    <w:rsid w:val="0050179E"/>
    <w:rsid w:val="005026BC"/>
    <w:rsid w:val="005027B6"/>
    <w:rsid w:val="00502B7B"/>
    <w:rsid w:val="00502BB7"/>
    <w:rsid w:val="00503049"/>
    <w:rsid w:val="00503118"/>
    <w:rsid w:val="00503B01"/>
    <w:rsid w:val="00503B21"/>
    <w:rsid w:val="00504786"/>
    <w:rsid w:val="005049DE"/>
    <w:rsid w:val="00504C44"/>
    <w:rsid w:val="0050507A"/>
    <w:rsid w:val="0050530A"/>
    <w:rsid w:val="00505819"/>
    <w:rsid w:val="00505981"/>
    <w:rsid w:val="0050666C"/>
    <w:rsid w:val="005073C9"/>
    <w:rsid w:val="00507527"/>
    <w:rsid w:val="00507580"/>
    <w:rsid w:val="00507D50"/>
    <w:rsid w:val="00507E32"/>
    <w:rsid w:val="00510476"/>
    <w:rsid w:val="00510B19"/>
    <w:rsid w:val="00510C7C"/>
    <w:rsid w:val="00511019"/>
    <w:rsid w:val="005110D0"/>
    <w:rsid w:val="0051136B"/>
    <w:rsid w:val="00511C54"/>
    <w:rsid w:val="00512596"/>
    <w:rsid w:val="005128D6"/>
    <w:rsid w:val="00512AA0"/>
    <w:rsid w:val="00512AC0"/>
    <w:rsid w:val="00512AF2"/>
    <w:rsid w:val="00512F4C"/>
    <w:rsid w:val="00513006"/>
    <w:rsid w:val="005131B4"/>
    <w:rsid w:val="00513919"/>
    <w:rsid w:val="00513B80"/>
    <w:rsid w:val="0051402E"/>
    <w:rsid w:val="005141B1"/>
    <w:rsid w:val="00514374"/>
    <w:rsid w:val="005146B0"/>
    <w:rsid w:val="00514921"/>
    <w:rsid w:val="00514A85"/>
    <w:rsid w:val="00515441"/>
    <w:rsid w:val="00515666"/>
    <w:rsid w:val="00515B70"/>
    <w:rsid w:val="00516629"/>
    <w:rsid w:val="00516E7B"/>
    <w:rsid w:val="00516FD7"/>
    <w:rsid w:val="005172FB"/>
    <w:rsid w:val="00517EDB"/>
    <w:rsid w:val="00520D9E"/>
    <w:rsid w:val="00521C18"/>
    <w:rsid w:val="005223E7"/>
    <w:rsid w:val="00522A40"/>
    <w:rsid w:val="00522B31"/>
    <w:rsid w:val="00522CC1"/>
    <w:rsid w:val="00523047"/>
    <w:rsid w:val="00523252"/>
    <w:rsid w:val="00523922"/>
    <w:rsid w:val="00523C4F"/>
    <w:rsid w:val="00523F5A"/>
    <w:rsid w:val="00524212"/>
    <w:rsid w:val="005242D6"/>
    <w:rsid w:val="005249AD"/>
    <w:rsid w:val="00524A54"/>
    <w:rsid w:val="00524BC5"/>
    <w:rsid w:val="0052506C"/>
    <w:rsid w:val="005257D2"/>
    <w:rsid w:val="00525A89"/>
    <w:rsid w:val="00526397"/>
    <w:rsid w:val="00526894"/>
    <w:rsid w:val="00526A10"/>
    <w:rsid w:val="00526A61"/>
    <w:rsid w:val="00527099"/>
    <w:rsid w:val="00527A62"/>
    <w:rsid w:val="00527F4D"/>
    <w:rsid w:val="00530E43"/>
    <w:rsid w:val="00530F0A"/>
    <w:rsid w:val="0053116C"/>
    <w:rsid w:val="005313F7"/>
    <w:rsid w:val="00531D85"/>
    <w:rsid w:val="005324EE"/>
    <w:rsid w:val="00532913"/>
    <w:rsid w:val="00532AC1"/>
    <w:rsid w:val="00533071"/>
    <w:rsid w:val="00533B2F"/>
    <w:rsid w:val="00533F40"/>
    <w:rsid w:val="0053532B"/>
    <w:rsid w:val="0053533A"/>
    <w:rsid w:val="0053558F"/>
    <w:rsid w:val="0053571F"/>
    <w:rsid w:val="005366C1"/>
    <w:rsid w:val="0053784A"/>
    <w:rsid w:val="00537B8B"/>
    <w:rsid w:val="005401F1"/>
    <w:rsid w:val="00540373"/>
    <w:rsid w:val="005407FC"/>
    <w:rsid w:val="00540D25"/>
    <w:rsid w:val="005410A4"/>
    <w:rsid w:val="005412A9"/>
    <w:rsid w:val="00541632"/>
    <w:rsid w:val="00541A63"/>
    <w:rsid w:val="00542905"/>
    <w:rsid w:val="00542B31"/>
    <w:rsid w:val="00542E88"/>
    <w:rsid w:val="005430C6"/>
    <w:rsid w:val="0054328E"/>
    <w:rsid w:val="0054333E"/>
    <w:rsid w:val="00543C1C"/>
    <w:rsid w:val="00544269"/>
    <w:rsid w:val="0054430A"/>
    <w:rsid w:val="00544400"/>
    <w:rsid w:val="005444E8"/>
    <w:rsid w:val="0054497E"/>
    <w:rsid w:val="00544DF3"/>
    <w:rsid w:val="00545352"/>
    <w:rsid w:val="005460AE"/>
    <w:rsid w:val="005461D5"/>
    <w:rsid w:val="0054654F"/>
    <w:rsid w:val="005469D4"/>
    <w:rsid w:val="00546BBE"/>
    <w:rsid w:val="00546F67"/>
    <w:rsid w:val="00547100"/>
    <w:rsid w:val="0054713E"/>
    <w:rsid w:val="00547251"/>
    <w:rsid w:val="00547C36"/>
    <w:rsid w:val="00550237"/>
    <w:rsid w:val="00550C1E"/>
    <w:rsid w:val="00551795"/>
    <w:rsid w:val="00551817"/>
    <w:rsid w:val="00551CF8"/>
    <w:rsid w:val="00551D7E"/>
    <w:rsid w:val="00551D8F"/>
    <w:rsid w:val="005520CA"/>
    <w:rsid w:val="005523DE"/>
    <w:rsid w:val="0055282E"/>
    <w:rsid w:val="00552A45"/>
    <w:rsid w:val="00552E49"/>
    <w:rsid w:val="00552FA6"/>
    <w:rsid w:val="00553515"/>
    <w:rsid w:val="00553722"/>
    <w:rsid w:val="0055449C"/>
    <w:rsid w:val="005549CB"/>
    <w:rsid w:val="00555B90"/>
    <w:rsid w:val="00556D59"/>
    <w:rsid w:val="00557290"/>
    <w:rsid w:val="00557614"/>
    <w:rsid w:val="005578AC"/>
    <w:rsid w:val="005579DB"/>
    <w:rsid w:val="00557A7F"/>
    <w:rsid w:val="005607BD"/>
    <w:rsid w:val="00560BFB"/>
    <w:rsid w:val="0056128A"/>
    <w:rsid w:val="00561699"/>
    <w:rsid w:val="00561D2F"/>
    <w:rsid w:val="00561EDC"/>
    <w:rsid w:val="00562C6F"/>
    <w:rsid w:val="00562F31"/>
    <w:rsid w:val="005631B2"/>
    <w:rsid w:val="00563E50"/>
    <w:rsid w:val="00564A3C"/>
    <w:rsid w:val="00564CA9"/>
    <w:rsid w:val="00564E83"/>
    <w:rsid w:val="005651CA"/>
    <w:rsid w:val="00565470"/>
    <w:rsid w:val="0056552C"/>
    <w:rsid w:val="005657C4"/>
    <w:rsid w:val="005658F6"/>
    <w:rsid w:val="0056645C"/>
    <w:rsid w:val="0056652D"/>
    <w:rsid w:val="00566800"/>
    <w:rsid w:val="00566BBC"/>
    <w:rsid w:val="00566D27"/>
    <w:rsid w:val="00567014"/>
    <w:rsid w:val="005670EC"/>
    <w:rsid w:val="005674C6"/>
    <w:rsid w:val="00567A23"/>
    <w:rsid w:val="005701C5"/>
    <w:rsid w:val="005703DD"/>
    <w:rsid w:val="00570471"/>
    <w:rsid w:val="005704D2"/>
    <w:rsid w:val="00570FF6"/>
    <w:rsid w:val="0057155C"/>
    <w:rsid w:val="00571A38"/>
    <w:rsid w:val="005726CE"/>
    <w:rsid w:val="00572842"/>
    <w:rsid w:val="00572C97"/>
    <w:rsid w:val="00573383"/>
    <w:rsid w:val="00573745"/>
    <w:rsid w:val="00573CB2"/>
    <w:rsid w:val="00573D5E"/>
    <w:rsid w:val="00574291"/>
    <w:rsid w:val="00574ADF"/>
    <w:rsid w:val="00575542"/>
    <w:rsid w:val="00575BB8"/>
    <w:rsid w:val="00575BFC"/>
    <w:rsid w:val="00575D75"/>
    <w:rsid w:val="00575D8A"/>
    <w:rsid w:val="00575E61"/>
    <w:rsid w:val="00575ED8"/>
    <w:rsid w:val="00576175"/>
    <w:rsid w:val="005769FD"/>
    <w:rsid w:val="00576A5A"/>
    <w:rsid w:val="00576A63"/>
    <w:rsid w:val="00576EF2"/>
    <w:rsid w:val="005777E7"/>
    <w:rsid w:val="005803B7"/>
    <w:rsid w:val="00580540"/>
    <w:rsid w:val="0058069E"/>
    <w:rsid w:val="005806DA"/>
    <w:rsid w:val="005807DA"/>
    <w:rsid w:val="00580907"/>
    <w:rsid w:val="00580FF8"/>
    <w:rsid w:val="00581113"/>
    <w:rsid w:val="0058130B"/>
    <w:rsid w:val="0058148D"/>
    <w:rsid w:val="005820D8"/>
    <w:rsid w:val="00582A4F"/>
    <w:rsid w:val="0058379E"/>
    <w:rsid w:val="0058554A"/>
    <w:rsid w:val="0058565E"/>
    <w:rsid w:val="00585A0C"/>
    <w:rsid w:val="00585DDB"/>
    <w:rsid w:val="00586207"/>
    <w:rsid w:val="00586752"/>
    <w:rsid w:val="0058685D"/>
    <w:rsid w:val="005879DB"/>
    <w:rsid w:val="00587CB6"/>
    <w:rsid w:val="00590035"/>
    <w:rsid w:val="0059045E"/>
    <w:rsid w:val="00590C8C"/>
    <w:rsid w:val="00591815"/>
    <w:rsid w:val="00591A4B"/>
    <w:rsid w:val="00591AC9"/>
    <w:rsid w:val="00591B67"/>
    <w:rsid w:val="00591B87"/>
    <w:rsid w:val="00591D9D"/>
    <w:rsid w:val="00591FD8"/>
    <w:rsid w:val="00592516"/>
    <w:rsid w:val="005929C1"/>
    <w:rsid w:val="005932FB"/>
    <w:rsid w:val="00593A46"/>
    <w:rsid w:val="00593AD4"/>
    <w:rsid w:val="00593E6E"/>
    <w:rsid w:val="005941BB"/>
    <w:rsid w:val="00594376"/>
    <w:rsid w:val="005943CC"/>
    <w:rsid w:val="00594781"/>
    <w:rsid w:val="00594E60"/>
    <w:rsid w:val="00594E9D"/>
    <w:rsid w:val="00594FF8"/>
    <w:rsid w:val="00595057"/>
    <w:rsid w:val="00595508"/>
    <w:rsid w:val="005965F0"/>
    <w:rsid w:val="005976FF"/>
    <w:rsid w:val="00597BAF"/>
    <w:rsid w:val="00597F22"/>
    <w:rsid w:val="005A0060"/>
    <w:rsid w:val="005A0CA9"/>
    <w:rsid w:val="005A0E69"/>
    <w:rsid w:val="005A1AB0"/>
    <w:rsid w:val="005A1B2E"/>
    <w:rsid w:val="005A20C2"/>
    <w:rsid w:val="005A22A9"/>
    <w:rsid w:val="005A2425"/>
    <w:rsid w:val="005A244D"/>
    <w:rsid w:val="005A2803"/>
    <w:rsid w:val="005A2ACA"/>
    <w:rsid w:val="005A2C6A"/>
    <w:rsid w:val="005A2DB7"/>
    <w:rsid w:val="005A2E51"/>
    <w:rsid w:val="005A316C"/>
    <w:rsid w:val="005A3552"/>
    <w:rsid w:val="005A39DB"/>
    <w:rsid w:val="005A3D20"/>
    <w:rsid w:val="005A42F1"/>
    <w:rsid w:val="005A473D"/>
    <w:rsid w:val="005A4D00"/>
    <w:rsid w:val="005A585C"/>
    <w:rsid w:val="005A5B5A"/>
    <w:rsid w:val="005A6088"/>
    <w:rsid w:val="005A648B"/>
    <w:rsid w:val="005A64C9"/>
    <w:rsid w:val="005A6C3B"/>
    <w:rsid w:val="005A6EB7"/>
    <w:rsid w:val="005A6F6D"/>
    <w:rsid w:val="005A73D3"/>
    <w:rsid w:val="005A7551"/>
    <w:rsid w:val="005A7CBF"/>
    <w:rsid w:val="005A7CEB"/>
    <w:rsid w:val="005B02B0"/>
    <w:rsid w:val="005B02EE"/>
    <w:rsid w:val="005B02F0"/>
    <w:rsid w:val="005B05E0"/>
    <w:rsid w:val="005B098F"/>
    <w:rsid w:val="005B0DA4"/>
    <w:rsid w:val="005B1EBF"/>
    <w:rsid w:val="005B20AE"/>
    <w:rsid w:val="005B4355"/>
    <w:rsid w:val="005B4711"/>
    <w:rsid w:val="005B47C0"/>
    <w:rsid w:val="005B50FC"/>
    <w:rsid w:val="005B528C"/>
    <w:rsid w:val="005B5848"/>
    <w:rsid w:val="005B5AA8"/>
    <w:rsid w:val="005B5CCD"/>
    <w:rsid w:val="005B618F"/>
    <w:rsid w:val="005B6257"/>
    <w:rsid w:val="005B630B"/>
    <w:rsid w:val="005B6A26"/>
    <w:rsid w:val="005B6A3D"/>
    <w:rsid w:val="005B6D0E"/>
    <w:rsid w:val="005B73CE"/>
    <w:rsid w:val="005B7429"/>
    <w:rsid w:val="005B742D"/>
    <w:rsid w:val="005B7E6E"/>
    <w:rsid w:val="005C0916"/>
    <w:rsid w:val="005C0C97"/>
    <w:rsid w:val="005C0F88"/>
    <w:rsid w:val="005C10A7"/>
    <w:rsid w:val="005C1B91"/>
    <w:rsid w:val="005C1C5A"/>
    <w:rsid w:val="005C1D6D"/>
    <w:rsid w:val="005C1EA2"/>
    <w:rsid w:val="005C1F33"/>
    <w:rsid w:val="005C232B"/>
    <w:rsid w:val="005C25AE"/>
    <w:rsid w:val="005C2755"/>
    <w:rsid w:val="005C3C0C"/>
    <w:rsid w:val="005C3E39"/>
    <w:rsid w:val="005C44A4"/>
    <w:rsid w:val="005C543E"/>
    <w:rsid w:val="005C5DA8"/>
    <w:rsid w:val="005C78F1"/>
    <w:rsid w:val="005C7951"/>
    <w:rsid w:val="005C7984"/>
    <w:rsid w:val="005C7B1C"/>
    <w:rsid w:val="005D04FD"/>
    <w:rsid w:val="005D07B4"/>
    <w:rsid w:val="005D07D9"/>
    <w:rsid w:val="005D179A"/>
    <w:rsid w:val="005D1B91"/>
    <w:rsid w:val="005D1E08"/>
    <w:rsid w:val="005D2AF8"/>
    <w:rsid w:val="005D2B25"/>
    <w:rsid w:val="005D2B76"/>
    <w:rsid w:val="005D302B"/>
    <w:rsid w:val="005D3799"/>
    <w:rsid w:val="005D3DFC"/>
    <w:rsid w:val="005D3E71"/>
    <w:rsid w:val="005D4376"/>
    <w:rsid w:val="005D47C7"/>
    <w:rsid w:val="005D4AFB"/>
    <w:rsid w:val="005D4E41"/>
    <w:rsid w:val="005D5104"/>
    <w:rsid w:val="005D5253"/>
    <w:rsid w:val="005D5273"/>
    <w:rsid w:val="005D57AA"/>
    <w:rsid w:val="005D588A"/>
    <w:rsid w:val="005D5B5C"/>
    <w:rsid w:val="005D5BCF"/>
    <w:rsid w:val="005D6DEE"/>
    <w:rsid w:val="005D701F"/>
    <w:rsid w:val="005D7138"/>
    <w:rsid w:val="005D7409"/>
    <w:rsid w:val="005E04CD"/>
    <w:rsid w:val="005E0829"/>
    <w:rsid w:val="005E0AE0"/>
    <w:rsid w:val="005E0BA0"/>
    <w:rsid w:val="005E0CC6"/>
    <w:rsid w:val="005E0E60"/>
    <w:rsid w:val="005E1578"/>
    <w:rsid w:val="005E18A7"/>
    <w:rsid w:val="005E30C3"/>
    <w:rsid w:val="005E31A8"/>
    <w:rsid w:val="005E335A"/>
    <w:rsid w:val="005E3527"/>
    <w:rsid w:val="005E36FC"/>
    <w:rsid w:val="005E39D8"/>
    <w:rsid w:val="005E3DB1"/>
    <w:rsid w:val="005E47F9"/>
    <w:rsid w:val="005E4937"/>
    <w:rsid w:val="005E4E9A"/>
    <w:rsid w:val="005E5033"/>
    <w:rsid w:val="005E5351"/>
    <w:rsid w:val="005E5CB4"/>
    <w:rsid w:val="005E64E6"/>
    <w:rsid w:val="005E6C9E"/>
    <w:rsid w:val="005E6ECA"/>
    <w:rsid w:val="005E72E0"/>
    <w:rsid w:val="005E78A6"/>
    <w:rsid w:val="005E78D1"/>
    <w:rsid w:val="005E7C1D"/>
    <w:rsid w:val="005E7FFA"/>
    <w:rsid w:val="005F0076"/>
    <w:rsid w:val="005F0A89"/>
    <w:rsid w:val="005F0F94"/>
    <w:rsid w:val="005F156D"/>
    <w:rsid w:val="005F20CC"/>
    <w:rsid w:val="005F24D7"/>
    <w:rsid w:val="005F2578"/>
    <w:rsid w:val="005F29B2"/>
    <w:rsid w:val="005F2E3C"/>
    <w:rsid w:val="005F3319"/>
    <w:rsid w:val="005F335D"/>
    <w:rsid w:val="005F3521"/>
    <w:rsid w:val="005F3CF1"/>
    <w:rsid w:val="005F4F85"/>
    <w:rsid w:val="005F5335"/>
    <w:rsid w:val="005F537A"/>
    <w:rsid w:val="005F7078"/>
    <w:rsid w:val="005F7688"/>
    <w:rsid w:val="005F77EE"/>
    <w:rsid w:val="005F7D6E"/>
    <w:rsid w:val="005F7FAA"/>
    <w:rsid w:val="006003E0"/>
    <w:rsid w:val="0060044A"/>
    <w:rsid w:val="0060057E"/>
    <w:rsid w:val="006005F7"/>
    <w:rsid w:val="00600830"/>
    <w:rsid w:val="006014BC"/>
    <w:rsid w:val="006017AE"/>
    <w:rsid w:val="0060204F"/>
    <w:rsid w:val="006022C9"/>
    <w:rsid w:val="00602E48"/>
    <w:rsid w:val="00603505"/>
    <w:rsid w:val="00604415"/>
    <w:rsid w:val="00604C37"/>
    <w:rsid w:val="006050B1"/>
    <w:rsid w:val="006057F4"/>
    <w:rsid w:val="006059B8"/>
    <w:rsid w:val="0060732F"/>
    <w:rsid w:val="006073DA"/>
    <w:rsid w:val="006077FA"/>
    <w:rsid w:val="00610180"/>
    <w:rsid w:val="006102F6"/>
    <w:rsid w:val="0061057A"/>
    <w:rsid w:val="006106B2"/>
    <w:rsid w:val="00610B05"/>
    <w:rsid w:val="006114A6"/>
    <w:rsid w:val="006114CC"/>
    <w:rsid w:val="00611B5F"/>
    <w:rsid w:val="006123E0"/>
    <w:rsid w:val="00612666"/>
    <w:rsid w:val="0061281C"/>
    <w:rsid w:val="00613013"/>
    <w:rsid w:val="0061331D"/>
    <w:rsid w:val="006139E8"/>
    <w:rsid w:val="00613B68"/>
    <w:rsid w:val="00614191"/>
    <w:rsid w:val="00614753"/>
    <w:rsid w:val="00614933"/>
    <w:rsid w:val="00614E9D"/>
    <w:rsid w:val="00615264"/>
    <w:rsid w:val="00615A03"/>
    <w:rsid w:val="00615B1B"/>
    <w:rsid w:val="00615FAF"/>
    <w:rsid w:val="00615FD9"/>
    <w:rsid w:val="0061617E"/>
    <w:rsid w:val="0061641A"/>
    <w:rsid w:val="00616710"/>
    <w:rsid w:val="006169CD"/>
    <w:rsid w:val="006171A8"/>
    <w:rsid w:val="0062022F"/>
    <w:rsid w:val="00620799"/>
    <w:rsid w:val="00620AC2"/>
    <w:rsid w:val="00621154"/>
    <w:rsid w:val="006212F6"/>
    <w:rsid w:val="00621372"/>
    <w:rsid w:val="006214CF"/>
    <w:rsid w:val="0062170C"/>
    <w:rsid w:val="00621FB1"/>
    <w:rsid w:val="00622014"/>
    <w:rsid w:val="00622B7E"/>
    <w:rsid w:val="00622C2E"/>
    <w:rsid w:val="00622C64"/>
    <w:rsid w:val="00622C97"/>
    <w:rsid w:val="00622E61"/>
    <w:rsid w:val="0062335F"/>
    <w:rsid w:val="006239C1"/>
    <w:rsid w:val="00623B4F"/>
    <w:rsid w:val="006240E2"/>
    <w:rsid w:val="00624701"/>
    <w:rsid w:val="00624C0C"/>
    <w:rsid w:val="00624C1A"/>
    <w:rsid w:val="00624C2A"/>
    <w:rsid w:val="00624FCE"/>
    <w:rsid w:val="00625556"/>
    <w:rsid w:val="00625778"/>
    <w:rsid w:val="00625F88"/>
    <w:rsid w:val="0062642D"/>
    <w:rsid w:val="00626740"/>
    <w:rsid w:val="00626B0A"/>
    <w:rsid w:val="0062710D"/>
    <w:rsid w:val="006275D7"/>
    <w:rsid w:val="006278AA"/>
    <w:rsid w:val="00627D21"/>
    <w:rsid w:val="0063040B"/>
    <w:rsid w:val="00630845"/>
    <w:rsid w:val="00630E3C"/>
    <w:rsid w:val="00630FD5"/>
    <w:rsid w:val="006310CE"/>
    <w:rsid w:val="006311A9"/>
    <w:rsid w:val="00631D31"/>
    <w:rsid w:val="00632451"/>
    <w:rsid w:val="00632534"/>
    <w:rsid w:val="00632644"/>
    <w:rsid w:val="00632667"/>
    <w:rsid w:val="006330D3"/>
    <w:rsid w:val="00633495"/>
    <w:rsid w:val="006336A6"/>
    <w:rsid w:val="00634200"/>
    <w:rsid w:val="00634561"/>
    <w:rsid w:val="00634F3E"/>
    <w:rsid w:val="00635064"/>
    <w:rsid w:val="00635601"/>
    <w:rsid w:val="00635CAC"/>
    <w:rsid w:val="00636097"/>
    <w:rsid w:val="006362D5"/>
    <w:rsid w:val="00636386"/>
    <w:rsid w:val="0063677A"/>
    <w:rsid w:val="00636936"/>
    <w:rsid w:val="00636AD0"/>
    <w:rsid w:val="00636F9D"/>
    <w:rsid w:val="006371FE"/>
    <w:rsid w:val="00637A74"/>
    <w:rsid w:val="00637F77"/>
    <w:rsid w:val="00641106"/>
    <w:rsid w:val="00641413"/>
    <w:rsid w:val="00641780"/>
    <w:rsid w:val="00641D17"/>
    <w:rsid w:val="00641E1C"/>
    <w:rsid w:val="00641E76"/>
    <w:rsid w:val="00642E30"/>
    <w:rsid w:val="0064315E"/>
    <w:rsid w:val="006448DE"/>
    <w:rsid w:val="006450D5"/>
    <w:rsid w:val="00645663"/>
    <w:rsid w:val="00645740"/>
    <w:rsid w:val="0064650E"/>
    <w:rsid w:val="00646E54"/>
    <w:rsid w:val="00646FFB"/>
    <w:rsid w:val="00647501"/>
    <w:rsid w:val="006479EA"/>
    <w:rsid w:val="00647E38"/>
    <w:rsid w:val="0065005B"/>
    <w:rsid w:val="006505A0"/>
    <w:rsid w:val="006506C7"/>
    <w:rsid w:val="00650A9C"/>
    <w:rsid w:val="00650D95"/>
    <w:rsid w:val="00651449"/>
    <w:rsid w:val="00652544"/>
    <w:rsid w:val="0065332B"/>
    <w:rsid w:val="00653E6B"/>
    <w:rsid w:val="00653E73"/>
    <w:rsid w:val="0065413B"/>
    <w:rsid w:val="006544EE"/>
    <w:rsid w:val="0065452B"/>
    <w:rsid w:val="006545E2"/>
    <w:rsid w:val="00654BB7"/>
    <w:rsid w:val="00654FA6"/>
    <w:rsid w:val="00655161"/>
    <w:rsid w:val="00655470"/>
    <w:rsid w:val="00655A80"/>
    <w:rsid w:val="00655BFC"/>
    <w:rsid w:val="00655DFE"/>
    <w:rsid w:val="006560C7"/>
    <w:rsid w:val="00656614"/>
    <w:rsid w:val="00656B6D"/>
    <w:rsid w:val="00656E6F"/>
    <w:rsid w:val="00656F88"/>
    <w:rsid w:val="00657211"/>
    <w:rsid w:val="006573C6"/>
    <w:rsid w:val="006578BF"/>
    <w:rsid w:val="006578F4"/>
    <w:rsid w:val="00657EA0"/>
    <w:rsid w:val="00660124"/>
    <w:rsid w:val="0066032D"/>
    <w:rsid w:val="006609F6"/>
    <w:rsid w:val="00660A45"/>
    <w:rsid w:val="00660C62"/>
    <w:rsid w:val="00660E74"/>
    <w:rsid w:val="006611EE"/>
    <w:rsid w:val="00661376"/>
    <w:rsid w:val="0066189B"/>
    <w:rsid w:val="00661A3A"/>
    <w:rsid w:val="00661E87"/>
    <w:rsid w:val="00662287"/>
    <w:rsid w:val="0066241E"/>
    <w:rsid w:val="00663150"/>
    <w:rsid w:val="006632B5"/>
    <w:rsid w:val="006635CA"/>
    <w:rsid w:val="00663D3C"/>
    <w:rsid w:val="00663F1A"/>
    <w:rsid w:val="006651EC"/>
    <w:rsid w:val="00665807"/>
    <w:rsid w:val="00665826"/>
    <w:rsid w:val="00666942"/>
    <w:rsid w:val="00666A5B"/>
    <w:rsid w:val="00666F79"/>
    <w:rsid w:val="0066718E"/>
    <w:rsid w:val="006672DF"/>
    <w:rsid w:val="00667514"/>
    <w:rsid w:val="00667BBA"/>
    <w:rsid w:val="00667C3E"/>
    <w:rsid w:val="00667E6C"/>
    <w:rsid w:val="00670014"/>
    <w:rsid w:val="0067034D"/>
    <w:rsid w:val="0067035F"/>
    <w:rsid w:val="00670859"/>
    <w:rsid w:val="00670A34"/>
    <w:rsid w:val="00670B13"/>
    <w:rsid w:val="00670B89"/>
    <w:rsid w:val="00671059"/>
    <w:rsid w:val="006710F5"/>
    <w:rsid w:val="0067113A"/>
    <w:rsid w:val="00671779"/>
    <w:rsid w:val="00671BFC"/>
    <w:rsid w:val="006732D6"/>
    <w:rsid w:val="006742C9"/>
    <w:rsid w:val="006745BE"/>
    <w:rsid w:val="00674B6E"/>
    <w:rsid w:val="00674C32"/>
    <w:rsid w:val="00674E25"/>
    <w:rsid w:val="0067568C"/>
    <w:rsid w:val="00675A7E"/>
    <w:rsid w:val="00675C3D"/>
    <w:rsid w:val="00675E5C"/>
    <w:rsid w:val="006767E6"/>
    <w:rsid w:val="006768E6"/>
    <w:rsid w:val="006769BF"/>
    <w:rsid w:val="00676BE4"/>
    <w:rsid w:val="00676E37"/>
    <w:rsid w:val="0067703D"/>
    <w:rsid w:val="00677D77"/>
    <w:rsid w:val="00677EDA"/>
    <w:rsid w:val="00680317"/>
    <w:rsid w:val="006806B1"/>
    <w:rsid w:val="00680A61"/>
    <w:rsid w:val="006816E4"/>
    <w:rsid w:val="00681B72"/>
    <w:rsid w:val="00681CFD"/>
    <w:rsid w:val="00682697"/>
    <w:rsid w:val="00682C39"/>
    <w:rsid w:val="00682F7A"/>
    <w:rsid w:val="00683A83"/>
    <w:rsid w:val="0068401B"/>
    <w:rsid w:val="006849C5"/>
    <w:rsid w:val="00684CC7"/>
    <w:rsid w:val="00685194"/>
    <w:rsid w:val="006853E8"/>
    <w:rsid w:val="00685DCD"/>
    <w:rsid w:val="00686451"/>
    <w:rsid w:val="006875C4"/>
    <w:rsid w:val="006877B4"/>
    <w:rsid w:val="00687D02"/>
    <w:rsid w:val="006902E1"/>
    <w:rsid w:val="0069042B"/>
    <w:rsid w:val="0069070B"/>
    <w:rsid w:val="006907A8"/>
    <w:rsid w:val="006907AF"/>
    <w:rsid w:val="00691070"/>
    <w:rsid w:val="00691724"/>
    <w:rsid w:val="00691B61"/>
    <w:rsid w:val="0069264D"/>
    <w:rsid w:val="006926C9"/>
    <w:rsid w:val="0069287D"/>
    <w:rsid w:val="006928E0"/>
    <w:rsid w:val="0069297F"/>
    <w:rsid w:val="00692D2E"/>
    <w:rsid w:val="00693168"/>
    <w:rsid w:val="00693689"/>
    <w:rsid w:val="00693786"/>
    <w:rsid w:val="00694764"/>
    <w:rsid w:val="006947BA"/>
    <w:rsid w:val="0069495A"/>
    <w:rsid w:val="00694F5A"/>
    <w:rsid w:val="006955EE"/>
    <w:rsid w:val="00695B25"/>
    <w:rsid w:val="006963C8"/>
    <w:rsid w:val="00696933"/>
    <w:rsid w:val="00696A68"/>
    <w:rsid w:val="006975DC"/>
    <w:rsid w:val="006A0865"/>
    <w:rsid w:val="006A0AAB"/>
    <w:rsid w:val="006A1006"/>
    <w:rsid w:val="006A1433"/>
    <w:rsid w:val="006A198A"/>
    <w:rsid w:val="006A24A6"/>
    <w:rsid w:val="006A250B"/>
    <w:rsid w:val="006A3020"/>
    <w:rsid w:val="006A35A0"/>
    <w:rsid w:val="006A3820"/>
    <w:rsid w:val="006A3D39"/>
    <w:rsid w:val="006A4DD6"/>
    <w:rsid w:val="006A523A"/>
    <w:rsid w:val="006A55BA"/>
    <w:rsid w:val="006A5A38"/>
    <w:rsid w:val="006A63B3"/>
    <w:rsid w:val="006A66BB"/>
    <w:rsid w:val="006A681F"/>
    <w:rsid w:val="006A6BD4"/>
    <w:rsid w:val="006A730C"/>
    <w:rsid w:val="006B06C6"/>
    <w:rsid w:val="006B080B"/>
    <w:rsid w:val="006B0A57"/>
    <w:rsid w:val="006B0D69"/>
    <w:rsid w:val="006B126F"/>
    <w:rsid w:val="006B18F9"/>
    <w:rsid w:val="006B1E08"/>
    <w:rsid w:val="006B2BBE"/>
    <w:rsid w:val="006B2EA0"/>
    <w:rsid w:val="006B39B3"/>
    <w:rsid w:val="006B39CC"/>
    <w:rsid w:val="006B3C54"/>
    <w:rsid w:val="006B4A2E"/>
    <w:rsid w:val="006B4ACC"/>
    <w:rsid w:val="006B4E22"/>
    <w:rsid w:val="006B5041"/>
    <w:rsid w:val="006B527B"/>
    <w:rsid w:val="006B528F"/>
    <w:rsid w:val="006B5811"/>
    <w:rsid w:val="006B626D"/>
    <w:rsid w:val="006B63CA"/>
    <w:rsid w:val="006B6EF2"/>
    <w:rsid w:val="006B6FBE"/>
    <w:rsid w:val="006B724A"/>
    <w:rsid w:val="006B768B"/>
    <w:rsid w:val="006B7F10"/>
    <w:rsid w:val="006C0303"/>
    <w:rsid w:val="006C0394"/>
    <w:rsid w:val="006C0552"/>
    <w:rsid w:val="006C17B4"/>
    <w:rsid w:val="006C18E0"/>
    <w:rsid w:val="006C1C94"/>
    <w:rsid w:val="006C240C"/>
    <w:rsid w:val="006C2A09"/>
    <w:rsid w:val="006C2AA2"/>
    <w:rsid w:val="006C3314"/>
    <w:rsid w:val="006C3579"/>
    <w:rsid w:val="006C42E7"/>
    <w:rsid w:val="006C44C7"/>
    <w:rsid w:val="006C4C02"/>
    <w:rsid w:val="006C518B"/>
    <w:rsid w:val="006C5ED5"/>
    <w:rsid w:val="006C6518"/>
    <w:rsid w:val="006C66B9"/>
    <w:rsid w:val="006C66C1"/>
    <w:rsid w:val="006C680B"/>
    <w:rsid w:val="006C76E2"/>
    <w:rsid w:val="006C7962"/>
    <w:rsid w:val="006C7AF4"/>
    <w:rsid w:val="006C7E26"/>
    <w:rsid w:val="006C7FEA"/>
    <w:rsid w:val="006D0066"/>
    <w:rsid w:val="006D05FA"/>
    <w:rsid w:val="006D2161"/>
    <w:rsid w:val="006D287F"/>
    <w:rsid w:val="006D293E"/>
    <w:rsid w:val="006D2BE9"/>
    <w:rsid w:val="006D2C16"/>
    <w:rsid w:val="006D30C9"/>
    <w:rsid w:val="006D329D"/>
    <w:rsid w:val="006D424F"/>
    <w:rsid w:val="006D433D"/>
    <w:rsid w:val="006D47F2"/>
    <w:rsid w:val="006D4DBF"/>
    <w:rsid w:val="006D5A87"/>
    <w:rsid w:val="006D5FA7"/>
    <w:rsid w:val="006D6C0E"/>
    <w:rsid w:val="006D7917"/>
    <w:rsid w:val="006D7FCA"/>
    <w:rsid w:val="006E07AC"/>
    <w:rsid w:val="006E1108"/>
    <w:rsid w:val="006E1F60"/>
    <w:rsid w:val="006E3024"/>
    <w:rsid w:val="006E3436"/>
    <w:rsid w:val="006E461A"/>
    <w:rsid w:val="006E49EF"/>
    <w:rsid w:val="006E4B5B"/>
    <w:rsid w:val="006E4D97"/>
    <w:rsid w:val="006E576A"/>
    <w:rsid w:val="006E58B4"/>
    <w:rsid w:val="006E5CB6"/>
    <w:rsid w:val="006E69B7"/>
    <w:rsid w:val="006E6A94"/>
    <w:rsid w:val="006E6AD7"/>
    <w:rsid w:val="006E70FC"/>
    <w:rsid w:val="006E72E3"/>
    <w:rsid w:val="006E736D"/>
    <w:rsid w:val="006F02E9"/>
    <w:rsid w:val="006F095F"/>
    <w:rsid w:val="006F0967"/>
    <w:rsid w:val="006F0BA6"/>
    <w:rsid w:val="006F1F11"/>
    <w:rsid w:val="006F2C58"/>
    <w:rsid w:val="006F2F65"/>
    <w:rsid w:val="006F34FC"/>
    <w:rsid w:val="006F3B2D"/>
    <w:rsid w:val="006F3CDE"/>
    <w:rsid w:val="006F3D83"/>
    <w:rsid w:val="006F46AC"/>
    <w:rsid w:val="006F4823"/>
    <w:rsid w:val="006F53D6"/>
    <w:rsid w:val="006F604E"/>
    <w:rsid w:val="006F6BDB"/>
    <w:rsid w:val="006F6F41"/>
    <w:rsid w:val="006F7ABF"/>
    <w:rsid w:val="00700649"/>
    <w:rsid w:val="0070081A"/>
    <w:rsid w:val="007009D5"/>
    <w:rsid w:val="0070112F"/>
    <w:rsid w:val="0070200F"/>
    <w:rsid w:val="00702300"/>
    <w:rsid w:val="0070239E"/>
    <w:rsid w:val="007023CD"/>
    <w:rsid w:val="00702998"/>
    <w:rsid w:val="00702A84"/>
    <w:rsid w:val="00702BC3"/>
    <w:rsid w:val="00702E40"/>
    <w:rsid w:val="007037B6"/>
    <w:rsid w:val="00703936"/>
    <w:rsid w:val="00703AD0"/>
    <w:rsid w:val="007040F9"/>
    <w:rsid w:val="007055E5"/>
    <w:rsid w:val="0070634B"/>
    <w:rsid w:val="0070652B"/>
    <w:rsid w:val="00706848"/>
    <w:rsid w:val="00706CE0"/>
    <w:rsid w:val="00706DBB"/>
    <w:rsid w:val="0071063E"/>
    <w:rsid w:val="007106D3"/>
    <w:rsid w:val="00710916"/>
    <w:rsid w:val="0071140C"/>
    <w:rsid w:val="007115E8"/>
    <w:rsid w:val="00711B33"/>
    <w:rsid w:val="00711F5E"/>
    <w:rsid w:val="00712495"/>
    <w:rsid w:val="007124B6"/>
    <w:rsid w:val="007128B7"/>
    <w:rsid w:val="00712920"/>
    <w:rsid w:val="00712F2D"/>
    <w:rsid w:val="0071320B"/>
    <w:rsid w:val="00713EC9"/>
    <w:rsid w:val="00715984"/>
    <w:rsid w:val="00715BAC"/>
    <w:rsid w:val="007162E3"/>
    <w:rsid w:val="00716440"/>
    <w:rsid w:val="00717F5F"/>
    <w:rsid w:val="0072177F"/>
    <w:rsid w:val="00721943"/>
    <w:rsid w:val="00721DB6"/>
    <w:rsid w:val="00722C30"/>
    <w:rsid w:val="007237F4"/>
    <w:rsid w:val="00724508"/>
    <w:rsid w:val="00724C22"/>
    <w:rsid w:val="00724CD3"/>
    <w:rsid w:val="00725260"/>
    <w:rsid w:val="0072583D"/>
    <w:rsid w:val="007258A5"/>
    <w:rsid w:val="00725A26"/>
    <w:rsid w:val="00726911"/>
    <w:rsid w:val="00726A9F"/>
    <w:rsid w:val="00726D19"/>
    <w:rsid w:val="0072749B"/>
    <w:rsid w:val="00727BA3"/>
    <w:rsid w:val="00730B2F"/>
    <w:rsid w:val="00730ECE"/>
    <w:rsid w:val="007315CE"/>
    <w:rsid w:val="00731C0A"/>
    <w:rsid w:val="00732051"/>
    <w:rsid w:val="007328A8"/>
    <w:rsid w:val="007331DC"/>
    <w:rsid w:val="007339BC"/>
    <w:rsid w:val="0073567C"/>
    <w:rsid w:val="00735718"/>
    <w:rsid w:val="00735946"/>
    <w:rsid w:val="00735EEE"/>
    <w:rsid w:val="0073797C"/>
    <w:rsid w:val="00740561"/>
    <w:rsid w:val="00740DAF"/>
    <w:rsid w:val="00741633"/>
    <w:rsid w:val="00741A16"/>
    <w:rsid w:val="00741DCB"/>
    <w:rsid w:val="0074250C"/>
    <w:rsid w:val="00742DE0"/>
    <w:rsid w:val="00742E7E"/>
    <w:rsid w:val="00743CB2"/>
    <w:rsid w:val="00744029"/>
    <w:rsid w:val="00744366"/>
    <w:rsid w:val="007446AD"/>
    <w:rsid w:val="007447D8"/>
    <w:rsid w:val="00744F31"/>
    <w:rsid w:val="00745319"/>
    <w:rsid w:val="0074584E"/>
    <w:rsid w:val="00745BE2"/>
    <w:rsid w:val="00745D15"/>
    <w:rsid w:val="00746062"/>
    <w:rsid w:val="007465F4"/>
    <w:rsid w:val="007476AA"/>
    <w:rsid w:val="00747A48"/>
    <w:rsid w:val="00747D79"/>
    <w:rsid w:val="007505CD"/>
    <w:rsid w:val="00750D65"/>
    <w:rsid w:val="00750ED9"/>
    <w:rsid w:val="007514BD"/>
    <w:rsid w:val="00751865"/>
    <w:rsid w:val="00751A8B"/>
    <w:rsid w:val="00751B31"/>
    <w:rsid w:val="00752334"/>
    <w:rsid w:val="0075248C"/>
    <w:rsid w:val="007533CB"/>
    <w:rsid w:val="0075358E"/>
    <w:rsid w:val="00753AE0"/>
    <w:rsid w:val="007551C3"/>
    <w:rsid w:val="007563B4"/>
    <w:rsid w:val="0075654D"/>
    <w:rsid w:val="007567E3"/>
    <w:rsid w:val="00756BEB"/>
    <w:rsid w:val="007573D4"/>
    <w:rsid w:val="007574C0"/>
    <w:rsid w:val="007577FF"/>
    <w:rsid w:val="007604DD"/>
    <w:rsid w:val="00760DBC"/>
    <w:rsid w:val="00760FC6"/>
    <w:rsid w:val="0076105F"/>
    <w:rsid w:val="00761C39"/>
    <w:rsid w:val="0076243B"/>
    <w:rsid w:val="00762527"/>
    <w:rsid w:val="00762611"/>
    <w:rsid w:val="00762930"/>
    <w:rsid w:val="00762C46"/>
    <w:rsid w:val="007635E8"/>
    <w:rsid w:val="00763617"/>
    <w:rsid w:val="0076364C"/>
    <w:rsid w:val="00764309"/>
    <w:rsid w:val="00764790"/>
    <w:rsid w:val="00764A18"/>
    <w:rsid w:val="00764DCE"/>
    <w:rsid w:val="00764DFF"/>
    <w:rsid w:val="00764EA2"/>
    <w:rsid w:val="007653F8"/>
    <w:rsid w:val="007654AB"/>
    <w:rsid w:val="00765AD8"/>
    <w:rsid w:val="00765B88"/>
    <w:rsid w:val="00765CD2"/>
    <w:rsid w:val="007666AB"/>
    <w:rsid w:val="00766933"/>
    <w:rsid w:val="00766C79"/>
    <w:rsid w:val="00766F0A"/>
    <w:rsid w:val="007678A6"/>
    <w:rsid w:val="00767B12"/>
    <w:rsid w:val="00767DA2"/>
    <w:rsid w:val="00767E25"/>
    <w:rsid w:val="00770047"/>
    <w:rsid w:val="0077068E"/>
    <w:rsid w:val="0077072F"/>
    <w:rsid w:val="00771134"/>
    <w:rsid w:val="00771B60"/>
    <w:rsid w:val="00771C53"/>
    <w:rsid w:val="00772393"/>
    <w:rsid w:val="00772811"/>
    <w:rsid w:val="00772966"/>
    <w:rsid w:val="00772983"/>
    <w:rsid w:val="007729F5"/>
    <w:rsid w:val="00772B10"/>
    <w:rsid w:val="00772EB7"/>
    <w:rsid w:val="0077313A"/>
    <w:rsid w:val="007736AD"/>
    <w:rsid w:val="00773B26"/>
    <w:rsid w:val="00773CB4"/>
    <w:rsid w:val="00774E05"/>
    <w:rsid w:val="00774FCF"/>
    <w:rsid w:val="007751BF"/>
    <w:rsid w:val="00775235"/>
    <w:rsid w:val="00775672"/>
    <w:rsid w:val="007757C4"/>
    <w:rsid w:val="00776728"/>
    <w:rsid w:val="00776A07"/>
    <w:rsid w:val="00776C70"/>
    <w:rsid w:val="00776E7D"/>
    <w:rsid w:val="0077701F"/>
    <w:rsid w:val="007773D8"/>
    <w:rsid w:val="00777463"/>
    <w:rsid w:val="007778B0"/>
    <w:rsid w:val="00777BFC"/>
    <w:rsid w:val="0078023B"/>
    <w:rsid w:val="007803FF"/>
    <w:rsid w:val="00780F39"/>
    <w:rsid w:val="00781430"/>
    <w:rsid w:val="007814B9"/>
    <w:rsid w:val="007815BD"/>
    <w:rsid w:val="0078198B"/>
    <w:rsid w:val="00781B55"/>
    <w:rsid w:val="00781EDD"/>
    <w:rsid w:val="00782011"/>
    <w:rsid w:val="00782631"/>
    <w:rsid w:val="0078286C"/>
    <w:rsid w:val="00782A1F"/>
    <w:rsid w:val="00782E3D"/>
    <w:rsid w:val="00783C3F"/>
    <w:rsid w:val="00784246"/>
    <w:rsid w:val="00784E8B"/>
    <w:rsid w:val="00785099"/>
    <w:rsid w:val="00786128"/>
    <w:rsid w:val="00786908"/>
    <w:rsid w:val="00786B99"/>
    <w:rsid w:val="00786C83"/>
    <w:rsid w:val="0078737F"/>
    <w:rsid w:val="007879F9"/>
    <w:rsid w:val="00787D76"/>
    <w:rsid w:val="0079007F"/>
    <w:rsid w:val="00790104"/>
    <w:rsid w:val="0079016D"/>
    <w:rsid w:val="00790590"/>
    <w:rsid w:val="00790641"/>
    <w:rsid w:val="0079083F"/>
    <w:rsid w:val="00790B59"/>
    <w:rsid w:val="00790B76"/>
    <w:rsid w:val="00792054"/>
    <w:rsid w:val="00793263"/>
    <w:rsid w:val="00793430"/>
    <w:rsid w:val="007939A0"/>
    <w:rsid w:val="00793AF4"/>
    <w:rsid w:val="00793B1A"/>
    <w:rsid w:val="00793CD3"/>
    <w:rsid w:val="00793EE9"/>
    <w:rsid w:val="007944F0"/>
    <w:rsid w:val="0079477E"/>
    <w:rsid w:val="00794CE3"/>
    <w:rsid w:val="007951ED"/>
    <w:rsid w:val="007955E7"/>
    <w:rsid w:val="0079563E"/>
    <w:rsid w:val="007971CA"/>
    <w:rsid w:val="007977B9"/>
    <w:rsid w:val="00797BE8"/>
    <w:rsid w:val="007A0074"/>
    <w:rsid w:val="007A0756"/>
    <w:rsid w:val="007A0888"/>
    <w:rsid w:val="007A0BF1"/>
    <w:rsid w:val="007A1B1A"/>
    <w:rsid w:val="007A2008"/>
    <w:rsid w:val="007A2543"/>
    <w:rsid w:val="007A2566"/>
    <w:rsid w:val="007A25C0"/>
    <w:rsid w:val="007A28F3"/>
    <w:rsid w:val="007A2A32"/>
    <w:rsid w:val="007A2FBA"/>
    <w:rsid w:val="007A301B"/>
    <w:rsid w:val="007A31EF"/>
    <w:rsid w:val="007A3796"/>
    <w:rsid w:val="007A3CAD"/>
    <w:rsid w:val="007A3E13"/>
    <w:rsid w:val="007A4382"/>
    <w:rsid w:val="007A4466"/>
    <w:rsid w:val="007A459D"/>
    <w:rsid w:val="007A4CE0"/>
    <w:rsid w:val="007A51BB"/>
    <w:rsid w:val="007A6AC7"/>
    <w:rsid w:val="007A6E24"/>
    <w:rsid w:val="007A7187"/>
    <w:rsid w:val="007A76A5"/>
    <w:rsid w:val="007B0034"/>
    <w:rsid w:val="007B024A"/>
    <w:rsid w:val="007B0D51"/>
    <w:rsid w:val="007B1397"/>
    <w:rsid w:val="007B1F74"/>
    <w:rsid w:val="007B2422"/>
    <w:rsid w:val="007B27C6"/>
    <w:rsid w:val="007B30D9"/>
    <w:rsid w:val="007B3160"/>
    <w:rsid w:val="007B3179"/>
    <w:rsid w:val="007B33EE"/>
    <w:rsid w:val="007B3787"/>
    <w:rsid w:val="007B37F2"/>
    <w:rsid w:val="007B3A8D"/>
    <w:rsid w:val="007B3D97"/>
    <w:rsid w:val="007B45CB"/>
    <w:rsid w:val="007B4AB2"/>
    <w:rsid w:val="007B4F3F"/>
    <w:rsid w:val="007B5647"/>
    <w:rsid w:val="007B5C33"/>
    <w:rsid w:val="007B5ED4"/>
    <w:rsid w:val="007B6E09"/>
    <w:rsid w:val="007B725C"/>
    <w:rsid w:val="007B76C2"/>
    <w:rsid w:val="007C0A50"/>
    <w:rsid w:val="007C0F64"/>
    <w:rsid w:val="007C1245"/>
    <w:rsid w:val="007C131C"/>
    <w:rsid w:val="007C16E2"/>
    <w:rsid w:val="007C1AFD"/>
    <w:rsid w:val="007C1D4B"/>
    <w:rsid w:val="007C2AA2"/>
    <w:rsid w:val="007C2FD1"/>
    <w:rsid w:val="007C350F"/>
    <w:rsid w:val="007C35B5"/>
    <w:rsid w:val="007C3E99"/>
    <w:rsid w:val="007C450A"/>
    <w:rsid w:val="007C45AD"/>
    <w:rsid w:val="007C4B56"/>
    <w:rsid w:val="007C4E22"/>
    <w:rsid w:val="007C50CE"/>
    <w:rsid w:val="007C5452"/>
    <w:rsid w:val="007C7101"/>
    <w:rsid w:val="007C7722"/>
    <w:rsid w:val="007C777A"/>
    <w:rsid w:val="007D06F7"/>
    <w:rsid w:val="007D096B"/>
    <w:rsid w:val="007D0C2E"/>
    <w:rsid w:val="007D1530"/>
    <w:rsid w:val="007D1714"/>
    <w:rsid w:val="007D17D8"/>
    <w:rsid w:val="007D187A"/>
    <w:rsid w:val="007D1D23"/>
    <w:rsid w:val="007D2704"/>
    <w:rsid w:val="007D27AA"/>
    <w:rsid w:val="007D2D6B"/>
    <w:rsid w:val="007D2DD6"/>
    <w:rsid w:val="007D3559"/>
    <w:rsid w:val="007D3B87"/>
    <w:rsid w:val="007D3C80"/>
    <w:rsid w:val="007D48A7"/>
    <w:rsid w:val="007D4B9D"/>
    <w:rsid w:val="007D5126"/>
    <w:rsid w:val="007D5CE2"/>
    <w:rsid w:val="007D5E0E"/>
    <w:rsid w:val="007D5F1B"/>
    <w:rsid w:val="007D6D94"/>
    <w:rsid w:val="007D7002"/>
    <w:rsid w:val="007D7962"/>
    <w:rsid w:val="007D7B37"/>
    <w:rsid w:val="007E00B0"/>
    <w:rsid w:val="007E00BE"/>
    <w:rsid w:val="007E0C16"/>
    <w:rsid w:val="007E0D6B"/>
    <w:rsid w:val="007E1144"/>
    <w:rsid w:val="007E1688"/>
    <w:rsid w:val="007E1737"/>
    <w:rsid w:val="007E1888"/>
    <w:rsid w:val="007E1F63"/>
    <w:rsid w:val="007E211F"/>
    <w:rsid w:val="007E2747"/>
    <w:rsid w:val="007E2D7A"/>
    <w:rsid w:val="007E3033"/>
    <w:rsid w:val="007E32CE"/>
    <w:rsid w:val="007E3871"/>
    <w:rsid w:val="007E39A7"/>
    <w:rsid w:val="007E4034"/>
    <w:rsid w:val="007E4458"/>
    <w:rsid w:val="007E448B"/>
    <w:rsid w:val="007E457C"/>
    <w:rsid w:val="007E483C"/>
    <w:rsid w:val="007E4B10"/>
    <w:rsid w:val="007E4B87"/>
    <w:rsid w:val="007E533B"/>
    <w:rsid w:val="007E560F"/>
    <w:rsid w:val="007E5868"/>
    <w:rsid w:val="007E5A19"/>
    <w:rsid w:val="007E6367"/>
    <w:rsid w:val="007E6581"/>
    <w:rsid w:val="007E65FA"/>
    <w:rsid w:val="007E6688"/>
    <w:rsid w:val="007E6EA1"/>
    <w:rsid w:val="007E7C91"/>
    <w:rsid w:val="007F04CE"/>
    <w:rsid w:val="007F13AF"/>
    <w:rsid w:val="007F1655"/>
    <w:rsid w:val="007F2C14"/>
    <w:rsid w:val="007F3098"/>
    <w:rsid w:val="007F3B5B"/>
    <w:rsid w:val="007F3CC3"/>
    <w:rsid w:val="007F410E"/>
    <w:rsid w:val="007F44E1"/>
    <w:rsid w:val="007F4BF5"/>
    <w:rsid w:val="007F5883"/>
    <w:rsid w:val="007F5979"/>
    <w:rsid w:val="007F639E"/>
    <w:rsid w:val="007F682E"/>
    <w:rsid w:val="007F70F3"/>
    <w:rsid w:val="007F753D"/>
    <w:rsid w:val="007F7C96"/>
    <w:rsid w:val="007F7FC7"/>
    <w:rsid w:val="0080018A"/>
    <w:rsid w:val="00800294"/>
    <w:rsid w:val="00800518"/>
    <w:rsid w:val="0080111E"/>
    <w:rsid w:val="0080120D"/>
    <w:rsid w:val="0080183C"/>
    <w:rsid w:val="00801930"/>
    <w:rsid w:val="00801CC7"/>
    <w:rsid w:val="00801FFB"/>
    <w:rsid w:val="0080203A"/>
    <w:rsid w:val="008022CB"/>
    <w:rsid w:val="00802827"/>
    <w:rsid w:val="008028BC"/>
    <w:rsid w:val="008031DC"/>
    <w:rsid w:val="008044D0"/>
    <w:rsid w:val="008046F6"/>
    <w:rsid w:val="00805229"/>
    <w:rsid w:val="00805801"/>
    <w:rsid w:val="00805A90"/>
    <w:rsid w:val="00805C46"/>
    <w:rsid w:val="00805C96"/>
    <w:rsid w:val="00805E21"/>
    <w:rsid w:val="00805F0E"/>
    <w:rsid w:val="0080663F"/>
    <w:rsid w:val="00806961"/>
    <w:rsid w:val="0080747D"/>
    <w:rsid w:val="00807B6D"/>
    <w:rsid w:val="008103FC"/>
    <w:rsid w:val="0081061F"/>
    <w:rsid w:val="00810985"/>
    <w:rsid w:val="00810A2D"/>
    <w:rsid w:val="00810E38"/>
    <w:rsid w:val="008118DB"/>
    <w:rsid w:val="00811B53"/>
    <w:rsid w:val="008121B9"/>
    <w:rsid w:val="00812356"/>
    <w:rsid w:val="00813202"/>
    <w:rsid w:val="00813356"/>
    <w:rsid w:val="00813A5B"/>
    <w:rsid w:val="0081480C"/>
    <w:rsid w:val="00814956"/>
    <w:rsid w:val="008150E1"/>
    <w:rsid w:val="008152A8"/>
    <w:rsid w:val="00815375"/>
    <w:rsid w:val="00815DCE"/>
    <w:rsid w:val="0081619A"/>
    <w:rsid w:val="008165FD"/>
    <w:rsid w:val="00816BD7"/>
    <w:rsid w:val="00816D7D"/>
    <w:rsid w:val="00816E4A"/>
    <w:rsid w:val="008174A7"/>
    <w:rsid w:val="00817AF3"/>
    <w:rsid w:val="0082054C"/>
    <w:rsid w:val="008214B3"/>
    <w:rsid w:val="0082175E"/>
    <w:rsid w:val="008219C2"/>
    <w:rsid w:val="00821B9C"/>
    <w:rsid w:val="00821E39"/>
    <w:rsid w:val="00821E97"/>
    <w:rsid w:val="00822B56"/>
    <w:rsid w:val="00822D1B"/>
    <w:rsid w:val="00823021"/>
    <w:rsid w:val="0082319D"/>
    <w:rsid w:val="00823606"/>
    <w:rsid w:val="00823797"/>
    <w:rsid w:val="00823D7B"/>
    <w:rsid w:val="00823E9D"/>
    <w:rsid w:val="00823EDA"/>
    <w:rsid w:val="00824468"/>
    <w:rsid w:val="0082478D"/>
    <w:rsid w:val="0082484C"/>
    <w:rsid w:val="00824BEC"/>
    <w:rsid w:val="008251BB"/>
    <w:rsid w:val="00826351"/>
    <w:rsid w:val="00826515"/>
    <w:rsid w:val="00826F65"/>
    <w:rsid w:val="00826FDE"/>
    <w:rsid w:val="00827873"/>
    <w:rsid w:val="00830706"/>
    <w:rsid w:val="00831450"/>
    <w:rsid w:val="00831478"/>
    <w:rsid w:val="00831A01"/>
    <w:rsid w:val="008322B4"/>
    <w:rsid w:val="00832433"/>
    <w:rsid w:val="0083249B"/>
    <w:rsid w:val="00832C73"/>
    <w:rsid w:val="008337D0"/>
    <w:rsid w:val="00833846"/>
    <w:rsid w:val="00833C22"/>
    <w:rsid w:val="0083429F"/>
    <w:rsid w:val="008345D1"/>
    <w:rsid w:val="00835F1A"/>
    <w:rsid w:val="0083660A"/>
    <w:rsid w:val="00836903"/>
    <w:rsid w:val="00836A06"/>
    <w:rsid w:val="00836F3D"/>
    <w:rsid w:val="00836FA3"/>
    <w:rsid w:val="00837014"/>
    <w:rsid w:val="00837430"/>
    <w:rsid w:val="0084020A"/>
    <w:rsid w:val="00840536"/>
    <w:rsid w:val="00840735"/>
    <w:rsid w:val="00840885"/>
    <w:rsid w:val="008409AA"/>
    <w:rsid w:val="00840CEC"/>
    <w:rsid w:val="00840ECD"/>
    <w:rsid w:val="00841065"/>
    <w:rsid w:val="00841168"/>
    <w:rsid w:val="00841355"/>
    <w:rsid w:val="008418E0"/>
    <w:rsid w:val="008420C1"/>
    <w:rsid w:val="00842411"/>
    <w:rsid w:val="0084284E"/>
    <w:rsid w:val="00842902"/>
    <w:rsid w:val="0084299C"/>
    <w:rsid w:val="008429D8"/>
    <w:rsid w:val="00842E2A"/>
    <w:rsid w:val="0084392E"/>
    <w:rsid w:val="008440E8"/>
    <w:rsid w:val="008449C1"/>
    <w:rsid w:val="008449D1"/>
    <w:rsid w:val="00844DEB"/>
    <w:rsid w:val="0084536B"/>
    <w:rsid w:val="00845709"/>
    <w:rsid w:val="0084594F"/>
    <w:rsid w:val="00845BB2"/>
    <w:rsid w:val="0084610D"/>
    <w:rsid w:val="00846412"/>
    <w:rsid w:val="0084724E"/>
    <w:rsid w:val="008478A3"/>
    <w:rsid w:val="008478D4"/>
    <w:rsid w:val="00847E79"/>
    <w:rsid w:val="0085009D"/>
    <w:rsid w:val="0085010B"/>
    <w:rsid w:val="00850217"/>
    <w:rsid w:val="008502C9"/>
    <w:rsid w:val="00850647"/>
    <w:rsid w:val="008509B3"/>
    <w:rsid w:val="00850AAA"/>
    <w:rsid w:val="00852648"/>
    <w:rsid w:val="00852F73"/>
    <w:rsid w:val="008544D8"/>
    <w:rsid w:val="00855307"/>
    <w:rsid w:val="0085552F"/>
    <w:rsid w:val="00855929"/>
    <w:rsid w:val="00855E8C"/>
    <w:rsid w:val="0085650F"/>
    <w:rsid w:val="00856538"/>
    <w:rsid w:val="008565FC"/>
    <w:rsid w:val="008573E8"/>
    <w:rsid w:val="00857C71"/>
    <w:rsid w:val="00857E2C"/>
    <w:rsid w:val="00860085"/>
    <w:rsid w:val="00860527"/>
    <w:rsid w:val="0086054B"/>
    <w:rsid w:val="008606E8"/>
    <w:rsid w:val="008607E6"/>
    <w:rsid w:val="008608F4"/>
    <w:rsid w:val="0086112F"/>
    <w:rsid w:val="008611AC"/>
    <w:rsid w:val="008619C1"/>
    <w:rsid w:val="00861D25"/>
    <w:rsid w:val="00861D62"/>
    <w:rsid w:val="008629DA"/>
    <w:rsid w:val="00862D8A"/>
    <w:rsid w:val="00863F13"/>
    <w:rsid w:val="00864020"/>
    <w:rsid w:val="0086425C"/>
    <w:rsid w:val="00864DFA"/>
    <w:rsid w:val="0086580F"/>
    <w:rsid w:val="00865BBC"/>
    <w:rsid w:val="00866392"/>
    <w:rsid w:val="00866578"/>
    <w:rsid w:val="0086680E"/>
    <w:rsid w:val="00866939"/>
    <w:rsid w:val="0086788A"/>
    <w:rsid w:val="0086798C"/>
    <w:rsid w:val="00870019"/>
    <w:rsid w:val="0087089A"/>
    <w:rsid w:val="00870CA4"/>
    <w:rsid w:val="008713F1"/>
    <w:rsid w:val="008716D0"/>
    <w:rsid w:val="0087194F"/>
    <w:rsid w:val="00871C3F"/>
    <w:rsid w:val="00872F9B"/>
    <w:rsid w:val="00874101"/>
    <w:rsid w:val="0087438B"/>
    <w:rsid w:val="00874410"/>
    <w:rsid w:val="0087441E"/>
    <w:rsid w:val="0087460F"/>
    <w:rsid w:val="008746C9"/>
    <w:rsid w:val="008748C7"/>
    <w:rsid w:val="00874BC0"/>
    <w:rsid w:val="00874BF3"/>
    <w:rsid w:val="00874FC8"/>
    <w:rsid w:val="00875485"/>
    <w:rsid w:val="0087639F"/>
    <w:rsid w:val="0087666D"/>
    <w:rsid w:val="008767AE"/>
    <w:rsid w:val="00876FB8"/>
    <w:rsid w:val="0087730D"/>
    <w:rsid w:val="00877D28"/>
    <w:rsid w:val="00877E34"/>
    <w:rsid w:val="00877FAF"/>
    <w:rsid w:val="00880536"/>
    <w:rsid w:val="00880907"/>
    <w:rsid w:val="00880C11"/>
    <w:rsid w:val="00880E6B"/>
    <w:rsid w:val="0088139E"/>
    <w:rsid w:val="00881892"/>
    <w:rsid w:val="0088232D"/>
    <w:rsid w:val="00882399"/>
    <w:rsid w:val="008828BC"/>
    <w:rsid w:val="00882B1C"/>
    <w:rsid w:val="00882DD4"/>
    <w:rsid w:val="00882ECB"/>
    <w:rsid w:val="00883024"/>
    <w:rsid w:val="00883138"/>
    <w:rsid w:val="0088366F"/>
    <w:rsid w:val="00883B96"/>
    <w:rsid w:val="00883C1D"/>
    <w:rsid w:val="00883D8E"/>
    <w:rsid w:val="00883F2E"/>
    <w:rsid w:val="008845AE"/>
    <w:rsid w:val="00884B6E"/>
    <w:rsid w:val="00885658"/>
    <w:rsid w:val="008864A6"/>
    <w:rsid w:val="0088673F"/>
    <w:rsid w:val="00886786"/>
    <w:rsid w:val="00887E59"/>
    <w:rsid w:val="008903FF"/>
    <w:rsid w:val="008916B9"/>
    <w:rsid w:val="008919E7"/>
    <w:rsid w:val="00891E27"/>
    <w:rsid w:val="00891FCD"/>
    <w:rsid w:val="0089244A"/>
    <w:rsid w:val="0089294D"/>
    <w:rsid w:val="00892A58"/>
    <w:rsid w:val="00892DC8"/>
    <w:rsid w:val="00893251"/>
    <w:rsid w:val="00893D67"/>
    <w:rsid w:val="0089405B"/>
    <w:rsid w:val="00894234"/>
    <w:rsid w:val="008947EE"/>
    <w:rsid w:val="00894B96"/>
    <w:rsid w:val="0089502B"/>
    <w:rsid w:val="00895104"/>
    <w:rsid w:val="0089523D"/>
    <w:rsid w:val="0089536A"/>
    <w:rsid w:val="00895B2E"/>
    <w:rsid w:val="008962A8"/>
    <w:rsid w:val="00896765"/>
    <w:rsid w:val="00896933"/>
    <w:rsid w:val="008972ED"/>
    <w:rsid w:val="00897470"/>
    <w:rsid w:val="008976E1"/>
    <w:rsid w:val="008978B9"/>
    <w:rsid w:val="00897D01"/>
    <w:rsid w:val="00897E27"/>
    <w:rsid w:val="008A038D"/>
    <w:rsid w:val="008A0A4C"/>
    <w:rsid w:val="008A0FBA"/>
    <w:rsid w:val="008A166E"/>
    <w:rsid w:val="008A1E62"/>
    <w:rsid w:val="008A21AC"/>
    <w:rsid w:val="008A2BCF"/>
    <w:rsid w:val="008A2BD5"/>
    <w:rsid w:val="008A2C3A"/>
    <w:rsid w:val="008A3CFA"/>
    <w:rsid w:val="008A57B4"/>
    <w:rsid w:val="008A5F70"/>
    <w:rsid w:val="008A64EA"/>
    <w:rsid w:val="008A68CC"/>
    <w:rsid w:val="008A69D2"/>
    <w:rsid w:val="008A6ADF"/>
    <w:rsid w:val="008A6C6A"/>
    <w:rsid w:val="008A7109"/>
    <w:rsid w:val="008A76C6"/>
    <w:rsid w:val="008A7850"/>
    <w:rsid w:val="008A7959"/>
    <w:rsid w:val="008A7BAD"/>
    <w:rsid w:val="008A7E11"/>
    <w:rsid w:val="008B01A7"/>
    <w:rsid w:val="008B0DCC"/>
    <w:rsid w:val="008B1168"/>
    <w:rsid w:val="008B144D"/>
    <w:rsid w:val="008B18D4"/>
    <w:rsid w:val="008B19DB"/>
    <w:rsid w:val="008B22E4"/>
    <w:rsid w:val="008B2363"/>
    <w:rsid w:val="008B2CCC"/>
    <w:rsid w:val="008B3CD8"/>
    <w:rsid w:val="008B5161"/>
    <w:rsid w:val="008B5261"/>
    <w:rsid w:val="008B533A"/>
    <w:rsid w:val="008B5344"/>
    <w:rsid w:val="008B5E5A"/>
    <w:rsid w:val="008B633C"/>
    <w:rsid w:val="008B69EE"/>
    <w:rsid w:val="008B6A55"/>
    <w:rsid w:val="008B73CA"/>
    <w:rsid w:val="008B75E1"/>
    <w:rsid w:val="008B76FB"/>
    <w:rsid w:val="008B7FA1"/>
    <w:rsid w:val="008C0E8D"/>
    <w:rsid w:val="008C1557"/>
    <w:rsid w:val="008C17DB"/>
    <w:rsid w:val="008C1B67"/>
    <w:rsid w:val="008C2724"/>
    <w:rsid w:val="008C2B93"/>
    <w:rsid w:val="008C2F95"/>
    <w:rsid w:val="008C3380"/>
    <w:rsid w:val="008C4441"/>
    <w:rsid w:val="008C48A9"/>
    <w:rsid w:val="008C5095"/>
    <w:rsid w:val="008C5226"/>
    <w:rsid w:val="008C57F4"/>
    <w:rsid w:val="008C5FED"/>
    <w:rsid w:val="008C6ECE"/>
    <w:rsid w:val="008C754B"/>
    <w:rsid w:val="008C77B8"/>
    <w:rsid w:val="008C79E4"/>
    <w:rsid w:val="008C7BC4"/>
    <w:rsid w:val="008C7C40"/>
    <w:rsid w:val="008C7CED"/>
    <w:rsid w:val="008D023E"/>
    <w:rsid w:val="008D05D4"/>
    <w:rsid w:val="008D0857"/>
    <w:rsid w:val="008D2377"/>
    <w:rsid w:val="008D3D4B"/>
    <w:rsid w:val="008D4BBB"/>
    <w:rsid w:val="008D4DB8"/>
    <w:rsid w:val="008D52CF"/>
    <w:rsid w:val="008D54E3"/>
    <w:rsid w:val="008D57D8"/>
    <w:rsid w:val="008D6112"/>
    <w:rsid w:val="008D6154"/>
    <w:rsid w:val="008D68D8"/>
    <w:rsid w:val="008D696E"/>
    <w:rsid w:val="008D6A8C"/>
    <w:rsid w:val="008D6D7E"/>
    <w:rsid w:val="008D70A7"/>
    <w:rsid w:val="008D7B58"/>
    <w:rsid w:val="008D7E6E"/>
    <w:rsid w:val="008E0944"/>
    <w:rsid w:val="008E0CA7"/>
    <w:rsid w:val="008E1431"/>
    <w:rsid w:val="008E198A"/>
    <w:rsid w:val="008E2373"/>
    <w:rsid w:val="008E3293"/>
    <w:rsid w:val="008E451D"/>
    <w:rsid w:val="008E4BA6"/>
    <w:rsid w:val="008E4EF5"/>
    <w:rsid w:val="008E5028"/>
    <w:rsid w:val="008E56A3"/>
    <w:rsid w:val="008E59E0"/>
    <w:rsid w:val="008E5B0F"/>
    <w:rsid w:val="008E5EE7"/>
    <w:rsid w:val="008E5FE5"/>
    <w:rsid w:val="008E6105"/>
    <w:rsid w:val="008E6F07"/>
    <w:rsid w:val="008E79A5"/>
    <w:rsid w:val="008F0F03"/>
    <w:rsid w:val="008F1156"/>
    <w:rsid w:val="008F124B"/>
    <w:rsid w:val="008F138D"/>
    <w:rsid w:val="008F1449"/>
    <w:rsid w:val="008F1AAD"/>
    <w:rsid w:val="008F1BD7"/>
    <w:rsid w:val="008F2A7D"/>
    <w:rsid w:val="008F2C75"/>
    <w:rsid w:val="008F2E25"/>
    <w:rsid w:val="008F33E1"/>
    <w:rsid w:val="008F3455"/>
    <w:rsid w:val="008F3844"/>
    <w:rsid w:val="008F388D"/>
    <w:rsid w:val="008F398A"/>
    <w:rsid w:val="008F4230"/>
    <w:rsid w:val="008F492A"/>
    <w:rsid w:val="008F4B67"/>
    <w:rsid w:val="008F4C00"/>
    <w:rsid w:val="008F5398"/>
    <w:rsid w:val="008F56D0"/>
    <w:rsid w:val="008F5A1F"/>
    <w:rsid w:val="008F5A56"/>
    <w:rsid w:val="008F5E7A"/>
    <w:rsid w:val="008F65D8"/>
    <w:rsid w:val="008F6757"/>
    <w:rsid w:val="008F6CBD"/>
    <w:rsid w:val="008F7734"/>
    <w:rsid w:val="008F776C"/>
    <w:rsid w:val="008F7A61"/>
    <w:rsid w:val="008F7DFA"/>
    <w:rsid w:val="008F7E06"/>
    <w:rsid w:val="009013AF"/>
    <w:rsid w:val="009019FF"/>
    <w:rsid w:val="00901ABE"/>
    <w:rsid w:val="00902821"/>
    <w:rsid w:val="00902857"/>
    <w:rsid w:val="00902A38"/>
    <w:rsid w:val="00902C35"/>
    <w:rsid w:val="00902FF5"/>
    <w:rsid w:val="009030B7"/>
    <w:rsid w:val="00903A53"/>
    <w:rsid w:val="00905184"/>
    <w:rsid w:val="00905905"/>
    <w:rsid w:val="00905BE0"/>
    <w:rsid w:val="00906002"/>
    <w:rsid w:val="00906D32"/>
    <w:rsid w:val="00906DB4"/>
    <w:rsid w:val="00906E0D"/>
    <w:rsid w:val="00907FF4"/>
    <w:rsid w:val="009105BE"/>
    <w:rsid w:val="00910C8B"/>
    <w:rsid w:val="00911283"/>
    <w:rsid w:val="0091135D"/>
    <w:rsid w:val="00911458"/>
    <w:rsid w:val="00911716"/>
    <w:rsid w:val="009129E8"/>
    <w:rsid w:val="00912F16"/>
    <w:rsid w:val="00913000"/>
    <w:rsid w:val="009131D9"/>
    <w:rsid w:val="00913736"/>
    <w:rsid w:val="0091386C"/>
    <w:rsid w:val="009142EA"/>
    <w:rsid w:val="00914483"/>
    <w:rsid w:val="00914C7E"/>
    <w:rsid w:val="00915752"/>
    <w:rsid w:val="00915E12"/>
    <w:rsid w:val="009163E0"/>
    <w:rsid w:val="009167C3"/>
    <w:rsid w:val="00917907"/>
    <w:rsid w:val="009200CC"/>
    <w:rsid w:val="0092196F"/>
    <w:rsid w:val="009219AB"/>
    <w:rsid w:val="00921C01"/>
    <w:rsid w:val="00921FEC"/>
    <w:rsid w:val="00922585"/>
    <w:rsid w:val="009228B5"/>
    <w:rsid w:val="009229C6"/>
    <w:rsid w:val="00922E2C"/>
    <w:rsid w:val="00924442"/>
    <w:rsid w:val="00924F1A"/>
    <w:rsid w:val="00925D14"/>
    <w:rsid w:val="00925E2B"/>
    <w:rsid w:val="00926112"/>
    <w:rsid w:val="00926172"/>
    <w:rsid w:val="00926714"/>
    <w:rsid w:val="00926E90"/>
    <w:rsid w:val="00926EE6"/>
    <w:rsid w:val="00927A32"/>
    <w:rsid w:val="00930191"/>
    <w:rsid w:val="00930278"/>
    <w:rsid w:val="009304F7"/>
    <w:rsid w:val="00930BCE"/>
    <w:rsid w:val="009314DD"/>
    <w:rsid w:val="009314F5"/>
    <w:rsid w:val="009317A8"/>
    <w:rsid w:val="00931AF5"/>
    <w:rsid w:val="00931E14"/>
    <w:rsid w:val="0093209C"/>
    <w:rsid w:val="0093270A"/>
    <w:rsid w:val="00932FC2"/>
    <w:rsid w:val="0093313C"/>
    <w:rsid w:val="009331C5"/>
    <w:rsid w:val="009333E4"/>
    <w:rsid w:val="009335FF"/>
    <w:rsid w:val="00933D7B"/>
    <w:rsid w:val="00933ED1"/>
    <w:rsid w:val="00933F7F"/>
    <w:rsid w:val="009341F3"/>
    <w:rsid w:val="009344E1"/>
    <w:rsid w:val="009345BC"/>
    <w:rsid w:val="0093526F"/>
    <w:rsid w:val="009365AC"/>
    <w:rsid w:val="00936834"/>
    <w:rsid w:val="00936965"/>
    <w:rsid w:val="00936B0A"/>
    <w:rsid w:val="00936FCF"/>
    <w:rsid w:val="00937157"/>
    <w:rsid w:val="00937193"/>
    <w:rsid w:val="009371BA"/>
    <w:rsid w:val="00937349"/>
    <w:rsid w:val="00937371"/>
    <w:rsid w:val="0093785B"/>
    <w:rsid w:val="009402EE"/>
    <w:rsid w:val="00940E95"/>
    <w:rsid w:val="00941501"/>
    <w:rsid w:val="00942190"/>
    <w:rsid w:val="0094257D"/>
    <w:rsid w:val="009426CF"/>
    <w:rsid w:val="00942BCD"/>
    <w:rsid w:val="00942BD9"/>
    <w:rsid w:val="00942DE1"/>
    <w:rsid w:val="00943040"/>
    <w:rsid w:val="00943123"/>
    <w:rsid w:val="009436CC"/>
    <w:rsid w:val="00944B4F"/>
    <w:rsid w:val="00945461"/>
    <w:rsid w:val="00946587"/>
    <w:rsid w:val="00946EF9"/>
    <w:rsid w:val="009471FB"/>
    <w:rsid w:val="0094737A"/>
    <w:rsid w:val="00947C73"/>
    <w:rsid w:val="00947D08"/>
    <w:rsid w:val="00947E14"/>
    <w:rsid w:val="009512E4"/>
    <w:rsid w:val="0095137A"/>
    <w:rsid w:val="009526E0"/>
    <w:rsid w:val="00952933"/>
    <w:rsid w:val="00952DC6"/>
    <w:rsid w:val="009532A2"/>
    <w:rsid w:val="009532F5"/>
    <w:rsid w:val="009537AC"/>
    <w:rsid w:val="009539A4"/>
    <w:rsid w:val="00953EBB"/>
    <w:rsid w:val="00954209"/>
    <w:rsid w:val="00954893"/>
    <w:rsid w:val="00954927"/>
    <w:rsid w:val="00954E5F"/>
    <w:rsid w:val="00955F0F"/>
    <w:rsid w:val="00955F53"/>
    <w:rsid w:val="00956171"/>
    <w:rsid w:val="009563B2"/>
    <w:rsid w:val="00956508"/>
    <w:rsid w:val="00956AC8"/>
    <w:rsid w:val="00956C27"/>
    <w:rsid w:val="00956CF8"/>
    <w:rsid w:val="0095716B"/>
    <w:rsid w:val="0095778B"/>
    <w:rsid w:val="009577F3"/>
    <w:rsid w:val="00957E0D"/>
    <w:rsid w:val="009609E3"/>
    <w:rsid w:val="00960A00"/>
    <w:rsid w:val="00960B85"/>
    <w:rsid w:val="00960E87"/>
    <w:rsid w:val="0096124D"/>
    <w:rsid w:val="00961D64"/>
    <w:rsid w:val="00963080"/>
    <w:rsid w:val="0096396F"/>
    <w:rsid w:val="00963F88"/>
    <w:rsid w:val="00964407"/>
    <w:rsid w:val="0096442C"/>
    <w:rsid w:val="00964B84"/>
    <w:rsid w:val="00964CBD"/>
    <w:rsid w:val="00964F16"/>
    <w:rsid w:val="00965080"/>
    <w:rsid w:val="009652FF"/>
    <w:rsid w:val="00965545"/>
    <w:rsid w:val="009658AD"/>
    <w:rsid w:val="009659C0"/>
    <w:rsid w:val="00965A31"/>
    <w:rsid w:val="00966902"/>
    <w:rsid w:val="00966983"/>
    <w:rsid w:val="00966F81"/>
    <w:rsid w:val="00967415"/>
    <w:rsid w:val="009674AF"/>
    <w:rsid w:val="0096772F"/>
    <w:rsid w:val="0096788F"/>
    <w:rsid w:val="00967FF7"/>
    <w:rsid w:val="00970649"/>
    <w:rsid w:val="009709CF"/>
    <w:rsid w:val="00970A9B"/>
    <w:rsid w:val="00970A9C"/>
    <w:rsid w:val="00970C4A"/>
    <w:rsid w:val="00971711"/>
    <w:rsid w:val="00971C66"/>
    <w:rsid w:val="00971E2D"/>
    <w:rsid w:val="009729E3"/>
    <w:rsid w:val="00972AC0"/>
    <w:rsid w:val="0097351B"/>
    <w:rsid w:val="009738BA"/>
    <w:rsid w:val="00974101"/>
    <w:rsid w:val="009743D3"/>
    <w:rsid w:val="00974FB1"/>
    <w:rsid w:val="00975206"/>
    <w:rsid w:val="0097527B"/>
    <w:rsid w:val="00976099"/>
    <w:rsid w:val="0097621A"/>
    <w:rsid w:val="00976831"/>
    <w:rsid w:val="00976F5C"/>
    <w:rsid w:val="0097736C"/>
    <w:rsid w:val="00977551"/>
    <w:rsid w:val="0097793E"/>
    <w:rsid w:val="00977C99"/>
    <w:rsid w:val="00977EFE"/>
    <w:rsid w:val="00980925"/>
    <w:rsid w:val="00980F1E"/>
    <w:rsid w:val="00981410"/>
    <w:rsid w:val="00981647"/>
    <w:rsid w:val="009816B7"/>
    <w:rsid w:val="00981873"/>
    <w:rsid w:val="009819C8"/>
    <w:rsid w:val="00981F23"/>
    <w:rsid w:val="00982F14"/>
    <w:rsid w:val="009830D6"/>
    <w:rsid w:val="00983504"/>
    <w:rsid w:val="00983A8F"/>
    <w:rsid w:val="009841D2"/>
    <w:rsid w:val="009846E3"/>
    <w:rsid w:val="009848D2"/>
    <w:rsid w:val="00984CD2"/>
    <w:rsid w:val="00984E63"/>
    <w:rsid w:val="00984FE3"/>
    <w:rsid w:val="00985E0B"/>
    <w:rsid w:val="00985E2B"/>
    <w:rsid w:val="009860A7"/>
    <w:rsid w:val="0098613F"/>
    <w:rsid w:val="00986BFC"/>
    <w:rsid w:val="009872FD"/>
    <w:rsid w:val="0098749A"/>
    <w:rsid w:val="00987B68"/>
    <w:rsid w:val="009904F7"/>
    <w:rsid w:val="009906BD"/>
    <w:rsid w:val="00990A5F"/>
    <w:rsid w:val="00990CE0"/>
    <w:rsid w:val="00990EB9"/>
    <w:rsid w:val="0099145E"/>
    <w:rsid w:val="00991A77"/>
    <w:rsid w:val="00991DCC"/>
    <w:rsid w:val="00991EFB"/>
    <w:rsid w:val="00992ACC"/>
    <w:rsid w:val="00992E55"/>
    <w:rsid w:val="009933B8"/>
    <w:rsid w:val="009945A4"/>
    <w:rsid w:val="009948C5"/>
    <w:rsid w:val="00994D77"/>
    <w:rsid w:val="00994E91"/>
    <w:rsid w:val="009952B7"/>
    <w:rsid w:val="009955F4"/>
    <w:rsid w:val="0099616B"/>
    <w:rsid w:val="00996273"/>
    <w:rsid w:val="009966BC"/>
    <w:rsid w:val="00997012"/>
    <w:rsid w:val="00997146"/>
    <w:rsid w:val="009977F2"/>
    <w:rsid w:val="00997891"/>
    <w:rsid w:val="00997F6D"/>
    <w:rsid w:val="009A03A1"/>
    <w:rsid w:val="009A044B"/>
    <w:rsid w:val="009A07FA"/>
    <w:rsid w:val="009A0BC0"/>
    <w:rsid w:val="009A1208"/>
    <w:rsid w:val="009A12E4"/>
    <w:rsid w:val="009A1776"/>
    <w:rsid w:val="009A1949"/>
    <w:rsid w:val="009A19AA"/>
    <w:rsid w:val="009A1C04"/>
    <w:rsid w:val="009A1C8E"/>
    <w:rsid w:val="009A2293"/>
    <w:rsid w:val="009A249D"/>
    <w:rsid w:val="009A26F4"/>
    <w:rsid w:val="009A2774"/>
    <w:rsid w:val="009A2F66"/>
    <w:rsid w:val="009A32B3"/>
    <w:rsid w:val="009A33A2"/>
    <w:rsid w:val="009A3656"/>
    <w:rsid w:val="009A3C36"/>
    <w:rsid w:val="009A4294"/>
    <w:rsid w:val="009A4471"/>
    <w:rsid w:val="009A4A83"/>
    <w:rsid w:val="009A4ED3"/>
    <w:rsid w:val="009A573A"/>
    <w:rsid w:val="009A5D53"/>
    <w:rsid w:val="009A60AB"/>
    <w:rsid w:val="009A61EA"/>
    <w:rsid w:val="009A6549"/>
    <w:rsid w:val="009A6828"/>
    <w:rsid w:val="009A69DA"/>
    <w:rsid w:val="009A7483"/>
    <w:rsid w:val="009A7B55"/>
    <w:rsid w:val="009A7D61"/>
    <w:rsid w:val="009A7F56"/>
    <w:rsid w:val="009B04BB"/>
    <w:rsid w:val="009B052C"/>
    <w:rsid w:val="009B0B2C"/>
    <w:rsid w:val="009B0DAC"/>
    <w:rsid w:val="009B15C7"/>
    <w:rsid w:val="009B170E"/>
    <w:rsid w:val="009B1BA3"/>
    <w:rsid w:val="009B1E42"/>
    <w:rsid w:val="009B1EC2"/>
    <w:rsid w:val="009B31D2"/>
    <w:rsid w:val="009B3463"/>
    <w:rsid w:val="009B36B8"/>
    <w:rsid w:val="009B3CCB"/>
    <w:rsid w:val="009B42C2"/>
    <w:rsid w:val="009B50E9"/>
    <w:rsid w:val="009B5154"/>
    <w:rsid w:val="009B51C8"/>
    <w:rsid w:val="009B54B8"/>
    <w:rsid w:val="009B5AB4"/>
    <w:rsid w:val="009B5F0B"/>
    <w:rsid w:val="009B63BD"/>
    <w:rsid w:val="009B6AD8"/>
    <w:rsid w:val="009B7906"/>
    <w:rsid w:val="009B7C45"/>
    <w:rsid w:val="009B7F20"/>
    <w:rsid w:val="009C01AE"/>
    <w:rsid w:val="009C0273"/>
    <w:rsid w:val="009C072B"/>
    <w:rsid w:val="009C07D5"/>
    <w:rsid w:val="009C0985"/>
    <w:rsid w:val="009C0ADA"/>
    <w:rsid w:val="009C0B5C"/>
    <w:rsid w:val="009C0EC2"/>
    <w:rsid w:val="009C2826"/>
    <w:rsid w:val="009C33E5"/>
    <w:rsid w:val="009C344F"/>
    <w:rsid w:val="009C3F35"/>
    <w:rsid w:val="009C40AD"/>
    <w:rsid w:val="009C41AE"/>
    <w:rsid w:val="009C4EFB"/>
    <w:rsid w:val="009C503D"/>
    <w:rsid w:val="009C577F"/>
    <w:rsid w:val="009C584D"/>
    <w:rsid w:val="009C5F9D"/>
    <w:rsid w:val="009C658F"/>
    <w:rsid w:val="009C6774"/>
    <w:rsid w:val="009C6C42"/>
    <w:rsid w:val="009C74D8"/>
    <w:rsid w:val="009C74EC"/>
    <w:rsid w:val="009C7784"/>
    <w:rsid w:val="009C78C3"/>
    <w:rsid w:val="009C7AA3"/>
    <w:rsid w:val="009C7C56"/>
    <w:rsid w:val="009C7C87"/>
    <w:rsid w:val="009C7E2F"/>
    <w:rsid w:val="009D01C4"/>
    <w:rsid w:val="009D042D"/>
    <w:rsid w:val="009D05F1"/>
    <w:rsid w:val="009D1FE8"/>
    <w:rsid w:val="009D2B2F"/>
    <w:rsid w:val="009D2D30"/>
    <w:rsid w:val="009D3910"/>
    <w:rsid w:val="009D39B4"/>
    <w:rsid w:val="009D3CE3"/>
    <w:rsid w:val="009D3F05"/>
    <w:rsid w:val="009D4407"/>
    <w:rsid w:val="009D4D61"/>
    <w:rsid w:val="009D4FFD"/>
    <w:rsid w:val="009D5319"/>
    <w:rsid w:val="009D560F"/>
    <w:rsid w:val="009D5864"/>
    <w:rsid w:val="009D58B4"/>
    <w:rsid w:val="009D64CA"/>
    <w:rsid w:val="009D75B7"/>
    <w:rsid w:val="009E07BE"/>
    <w:rsid w:val="009E0969"/>
    <w:rsid w:val="009E096D"/>
    <w:rsid w:val="009E250A"/>
    <w:rsid w:val="009E2977"/>
    <w:rsid w:val="009E328F"/>
    <w:rsid w:val="009E336A"/>
    <w:rsid w:val="009E44E0"/>
    <w:rsid w:val="009E497D"/>
    <w:rsid w:val="009E5091"/>
    <w:rsid w:val="009E6581"/>
    <w:rsid w:val="009E6F1A"/>
    <w:rsid w:val="009E6F8D"/>
    <w:rsid w:val="009E7662"/>
    <w:rsid w:val="009F0181"/>
    <w:rsid w:val="009F0A72"/>
    <w:rsid w:val="009F104E"/>
    <w:rsid w:val="009F11D1"/>
    <w:rsid w:val="009F1248"/>
    <w:rsid w:val="009F1455"/>
    <w:rsid w:val="009F25AF"/>
    <w:rsid w:val="009F3029"/>
    <w:rsid w:val="009F343C"/>
    <w:rsid w:val="009F3EC3"/>
    <w:rsid w:val="009F3F28"/>
    <w:rsid w:val="009F4B4E"/>
    <w:rsid w:val="009F5456"/>
    <w:rsid w:val="009F5E2A"/>
    <w:rsid w:val="009F6015"/>
    <w:rsid w:val="009F6307"/>
    <w:rsid w:val="009F75BA"/>
    <w:rsid w:val="009F78AA"/>
    <w:rsid w:val="009F7953"/>
    <w:rsid w:val="009F7CA9"/>
    <w:rsid w:val="009F7DC2"/>
    <w:rsid w:val="009F7DF8"/>
    <w:rsid w:val="009F7EF8"/>
    <w:rsid w:val="00A0046E"/>
    <w:rsid w:val="00A00FA1"/>
    <w:rsid w:val="00A01BDB"/>
    <w:rsid w:val="00A01FAF"/>
    <w:rsid w:val="00A02802"/>
    <w:rsid w:val="00A02883"/>
    <w:rsid w:val="00A03AD2"/>
    <w:rsid w:val="00A03B1E"/>
    <w:rsid w:val="00A04843"/>
    <w:rsid w:val="00A05398"/>
    <w:rsid w:val="00A05431"/>
    <w:rsid w:val="00A058F5"/>
    <w:rsid w:val="00A06546"/>
    <w:rsid w:val="00A06785"/>
    <w:rsid w:val="00A067F4"/>
    <w:rsid w:val="00A069F9"/>
    <w:rsid w:val="00A07A07"/>
    <w:rsid w:val="00A07CCF"/>
    <w:rsid w:val="00A10451"/>
    <w:rsid w:val="00A1089F"/>
    <w:rsid w:val="00A122A3"/>
    <w:rsid w:val="00A12757"/>
    <w:rsid w:val="00A12997"/>
    <w:rsid w:val="00A129D8"/>
    <w:rsid w:val="00A1316D"/>
    <w:rsid w:val="00A1383C"/>
    <w:rsid w:val="00A13F74"/>
    <w:rsid w:val="00A14323"/>
    <w:rsid w:val="00A14576"/>
    <w:rsid w:val="00A14885"/>
    <w:rsid w:val="00A14F68"/>
    <w:rsid w:val="00A153BB"/>
    <w:rsid w:val="00A155AD"/>
    <w:rsid w:val="00A15883"/>
    <w:rsid w:val="00A158EA"/>
    <w:rsid w:val="00A1598B"/>
    <w:rsid w:val="00A160A5"/>
    <w:rsid w:val="00A16899"/>
    <w:rsid w:val="00A16985"/>
    <w:rsid w:val="00A16A33"/>
    <w:rsid w:val="00A17204"/>
    <w:rsid w:val="00A175C0"/>
    <w:rsid w:val="00A17AB3"/>
    <w:rsid w:val="00A17BE0"/>
    <w:rsid w:val="00A17F1C"/>
    <w:rsid w:val="00A200A4"/>
    <w:rsid w:val="00A20772"/>
    <w:rsid w:val="00A208E0"/>
    <w:rsid w:val="00A213EE"/>
    <w:rsid w:val="00A2162E"/>
    <w:rsid w:val="00A2175A"/>
    <w:rsid w:val="00A22483"/>
    <w:rsid w:val="00A22D54"/>
    <w:rsid w:val="00A22FB5"/>
    <w:rsid w:val="00A230C4"/>
    <w:rsid w:val="00A232A7"/>
    <w:rsid w:val="00A23724"/>
    <w:rsid w:val="00A23848"/>
    <w:rsid w:val="00A23EC5"/>
    <w:rsid w:val="00A243F9"/>
    <w:rsid w:val="00A2443E"/>
    <w:rsid w:val="00A244CC"/>
    <w:rsid w:val="00A24CFB"/>
    <w:rsid w:val="00A2571A"/>
    <w:rsid w:val="00A2594F"/>
    <w:rsid w:val="00A25F2F"/>
    <w:rsid w:val="00A26382"/>
    <w:rsid w:val="00A26540"/>
    <w:rsid w:val="00A26B97"/>
    <w:rsid w:val="00A270ED"/>
    <w:rsid w:val="00A27608"/>
    <w:rsid w:val="00A27864"/>
    <w:rsid w:val="00A27AAF"/>
    <w:rsid w:val="00A27F99"/>
    <w:rsid w:val="00A300D1"/>
    <w:rsid w:val="00A303F2"/>
    <w:rsid w:val="00A30628"/>
    <w:rsid w:val="00A30703"/>
    <w:rsid w:val="00A308D4"/>
    <w:rsid w:val="00A30C27"/>
    <w:rsid w:val="00A31956"/>
    <w:rsid w:val="00A32819"/>
    <w:rsid w:val="00A3294B"/>
    <w:rsid w:val="00A33EF2"/>
    <w:rsid w:val="00A34173"/>
    <w:rsid w:val="00A341F4"/>
    <w:rsid w:val="00A345AD"/>
    <w:rsid w:val="00A34A36"/>
    <w:rsid w:val="00A356AB"/>
    <w:rsid w:val="00A35768"/>
    <w:rsid w:val="00A35792"/>
    <w:rsid w:val="00A3582E"/>
    <w:rsid w:val="00A35C2D"/>
    <w:rsid w:val="00A35F9F"/>
    <w:rsid w:val="00A365F5"/>
    <w:rsid w:val="00A36974"/>
    <w:rsid w:val="00A369CD"/>
    <w:rsid w:val="00A369E6"/>
    <w:rsid w:val="00A37BBB"/>
    <w:rsid w:val="00A40068"/>
    <w:rsid w:val="00A40C3F"/>
    <w:rsid w:val="00A415CF"/>
    <w:rsid w:val="00A422D8"/>
    <w:rsid w:val="00A4275A"/>
    <w:rsid w:val="00A432C1"/>
    <w:rsid w:val="00A43951"/>
    <w:rsid w:val="00A4395F"/>
    <w:rsid w:val="00A44245"/>
    <w:rsid w:val="00A4495E"/>
    <w:rsid w:val="00A44991"/>
    <w:rsid w:val="00A44CC2"/>
    <w:rsid w:val="00A44DCD"/>
    <w:rsid w:val="00A44F3A"/>
    <w:rsid w:val="00A4547D"/>
    <w:rsid w:val="00A45644"/>
    <w:rsid w:val="00A4566C"/>
    <w:rsid w:val="00A45A9B"/>
    <w:rsid w:val="00A45E2D"/>
    <w:rsid w:val="00A45E62"/>
    <w:rsid w:val="00A46B9E"/>
    <w:rsid w:val="00A46E9D"/>
    <w:rsid w:val="00A474FB"/>
    <w:rsid w:val="00A4798F"/>
    <w:rsid w:val="00A47999"/>
    <w:rsid w:val="00A47D93"/>
    <w:rsid w:val="00A5094F"/>
    <w:rsid w:val="00A50B10"/>
    <w:rsid w:val="00A50D38"/>
    <w:rsid w:val="00A51B4E"/>
    <w:rsid w:val="00A52328"/>
    <w:rsid w:val="00A5271F"/>
    <w:rsid w:val="00A52D39"/>
    <w:rsid w:val="00A5389F"/>
    <w:rsid w:val="00A53AC5"/>
    <w:rsid w:val="00A53FD1"/>
    <w:rsid w:val="00A540A7"/>
    <w:rsid w:val="00A542EA"/>
    <w:rsid w:val="00A5484B"/>
    <w:rsid w:val="00A54867"/>
    <w:rsid w:val="00A548CC"/>
    <w:rsid w:val="00A54A42"/>
    <w:rsid w:val="00A54CB7"/>
    <w:rsid w:val="00A55024"/>
    <w:rsid w:val="00A55287"/>
    <w:rsid w:val="00A559D4"/>
    <w:rsid w:val="00A55B75"/>
    <w:rsid w:val="00A55BA8"/>
    <w:rsid w:val="00A55CB6"/>
    <w:rsid w:val="00A5626A"/>
    <w:rsid w:val="00A5655A"/>
    <w:rsid w:val="00A56725"/>
    <w:rsid w:val="00A5711F"/>
    <w:rsid w:val="00A575E2"/>
    <w:rsid w:val="00A600E9"/>
    <w:rsid w:val="00A60F4D"/>
    <w:rsid w:val="00A613DA"/>
    <w:rsid w:val="00A618A7"/>
    <w:rsid w:val="00A61C17"/>
    <w:rsid w:val="00A62E4E"/>
    <w:rsid w:val="00A636D0"/>
    <w:rsid w:val="00A63E45"/>
    <w:rsid w:val="00A656BC"/>
    <w:rsid w:val="00A65B11"/>
    <w:rsid w:val="00A65CA0"/>
    <w:rsid w:val="00A661BE"/>
    <w:rsid w:val="00A66253"/>
    <w:rsid w:val="00A66359"/>
    <w:rsid w:val="00A66376"/>
    <w:rsid w:val="00A66849"/>
    <w:rsid w:val="00A66DC7"/>
    <w:rsid w:val="00A66E1B"/>
    <w:rsid w:val="00A677AF"/>
    <w:rsid w:val="00A67BD3"/>
    <w:rsid w:val="00A67D8D"/>
    <w:rsid w:val="00A67DF5"/>
    <w:rsid w:val="00A67FA5"/>
    <w:rsid w:val="00A70AAE"/>
    <w:rsid w:val="00A70D71"/>
    <w:rsid w:val="00A71541"/>
    <w:rsid w:val="00A71620"/>
    <w:rsid w:val="00A71957"/>
    <w:rsid w:val="00A721DA"/>
    <w:rsid w:val="00A726B1"/>
    <w:rsid w:val="00A729E9"/>
    <w:rsid w:val="00A72BDC"/>
    <w:rsid w:val="00A72C9A"/>
    <w:rsid w:val="00A731A8"/>
    <w:rsid w:val="00A74231"/>
    <w:rsid w:val="00A74746"/>
    <w:rsid w:val="00A74D83"/>
    <w:rsid w:val="00A75197"/>
    <w:rsid w:val="00A75798"/>
    <w:rsid w:val="00A7597C"/>
    <w:rsid w:val="00A75ADE"/>
    <w:rsid w:val="00A75E0F"/>
    <w:rsid w:val="00A768C4"/>
    <w:rsid w:val="00A77ADD"/>
    <w:rsid w:val="00A77D14"/>
    <w:rsid w:val="00A81137"/>
    <w:rsid w:val="00A8190E"/>
    <w:rsid w:val="00A81F19"/>
    <w:rsid w:val="00A8208C"/>
    <w:rsid w:val="00A825C3"/>
    <w:rsid w:val="00A826CA"/>
    <w:rsid w:val="00A82700"/>
    <w:rsid w:val="00A83575"/>
    <w:rsid w:val="00A83755"/>
    <w:rsid w:val="00A83993"/>
    <w:rsid w:val="00A839B4"/>
    <w:rsid w:val="00A83BA4"/>
    <w:rsid w:val="00A83DFE"/>
    <w:rsid w:val="00A84633"/>
    <w:rsid w:val="00A846C1"/>
    <w:rsid w:val="00A84BED"/>
    <w:rsid w:val="00A84F4D"/>
    <w:rsid w:val="00A852EE"/>
    <w:rsid w:val="00A85308"/>
    <w:rsid w:val="00A85697"/>
    <w:rsid w:val="00A85A43"/>
    <w:rsid w:val="00A85BD3"/>
    <w:rsid w:val="00A85D07"/>
    <w:rsid w:val="00A8672E"/>
    <w:rsid w:val="00A86AA9"/>
    <w:rsid w:val="00A871F7"/>
    <w:rsid w:val="00A8737A"/>
    <w:rsid w:val="00A876E9"/>
    <w:rsid w:val="00A87FC2"/>
    <w:rsid w:val="00A903B5"/>
    <w:rsid w:val="00A90545"/>
    <w:rsid w:val="00A90682"/>
    <w:rsid w:val="00A91ACC"/>
    <w:rsid w:val="00A921F6"/>
    <w:rsid w:val="00A9271C"/>
    <w:rsid w:val="00A92C7C"/>
    <w:rsid w:val="00A92D65"/>
    <w:rsid w:val="00A934A9"/>
    <w:rsid w:val="00A93845"/>
    <w:rsid w:val="00A93AFB"/>
    <w:rsid w:val="00A93CE0"/>
    <w:rsid w:val="00A944E4"/>
    <w:rsid w:val="00A94769"/>
    <w:rsid w:val="00A94ADE"/>
    <w:rsid w:val="00A94B7A"/>
    <w:rsid w:val="00A950FB"/>
    <w:rsid w:val="00A9511A"/>
    <w:rsid w:val="00A95670"/>
    <w:rsid w:val="00A96370"/>
    <w:rsid w:val="00A964DC"/>
    <w:rsid w:val="00A97F7C"/>
    <w:rsid w:val="00A97FC4"/>
    <w:rsid w:val="00AA05D0"/>
    <w:rsid w:val="00AA1334"/>
    <w:rsid w:val="00AA276A"/>
    <w:rsid w:val="00AA27A9"/>
    <w:rsid w:val="00AA2F88"/>
    <w:rsid w:val="00AA3F61"/>
    <w:rsid w:val="00AA3F96"/>
    <w:rsid w:val="00AA432C"/>
    <w:rsid w:val="00AA550D"/>
    <w:rsid w:val="00AA5721"/>
    <w:rsid w:val="00AA6190"/>
    <w:rsid w:val="00AA67F1"/>
    <w:rsid w:val="00AA705A"/>
    <w:rsid w:val="00AA78FE"/>
    <w:rsid w:val="00AA7BD9"/>
    <w:rsid w:val="00AB0416"/>
    <w:rsid w:val="00AB05B0"/>
    <w:rsid w:val="00AB05F0"/>
    <w:rsid w:val="00AB0D66"/>
    <w:rsid w:val="00AB0D98"/>
    <w:rsid w:val="00AB1418"/>
    <w:rsid w:val="00AB1CF0"/>
    <w:rsid w:val="00AB1F16"/>
    <w:rsid w:val="00AB278F"/>
    <w:rsid w:val="00AB2D22"/>
    <w:rsid w:val="00AB2D78"/>
    <w:rsid w:val="00AB344B"/>
    <w:rsid w:val="00AB399E"/>
    <w:rsid w:val="00AB426F"/>
    <w:rsid w:val="00AB454F"/>
    <w:rsid w:val="00AB5136"/>
    <w:rsid w:val="00AB5D06"/>
    <w:rsid w:val="00AB62D8"/>
    <w:rsid w:val="00AB656C"/>
    <w:rsid w:val="00AB6823"/>
    <w:rsid w:val="00AB6B4F"/>
    <w:rsid w:val="00AB736C"/>
    <w:rsid w:val="00AB7B2A"/>
    <w:rsid w:val="00AB7B77"/>
    <w:rsid w:val="00AC070A"/>
    <w:rsid w:val="00AC0757"/>
    <w:rsid w:val="00AC0988"/>
    <w:rsid w:val="00AC0FC6"/>
    <w:rsid w:val="00AC1266"/>
    <w:rsid w:val="00AC1543"/>
    <w:rsid w:val="00AC1570"/>
    <w:rsid w:val="00AC1C7C"/>
    <w:rsid w:val="00AC20E2"/>
    <w:rsid w:val="00AC2264"/>
    <w:rsid w:val="00AC22BC"/>
    <w:rsid w:val="00AC237C"/>
    <w:rsid w:val="00AC23E1"/>
    <w:rsid w:val="00AC29A4"/>
    <w:rsid w:val="00AC29D7"/>
    <w:rsid w:val="00AC31DA"/>
    <w:rsid w:val="00AC32D4"/>
    <w:rsid w:val="00AC34C3"/>
    <w:rsid w:val="00AC3DD7"/>
    <w:rsid w:val="00AC4D1B"/>
    <w:rsid w:val="00AC568C"/>
    <w:rsid w:val="00AC581E"/>
    <w:rsid w:val="00AC6BE6"/>
    <w:rsid w:val="00AC6FBF"/>
    <w:rsid w:val="00AD07B4"/>
    <w:rsid w:val="00AD0B97"/>
    <w:rsid w:val="00AD1164"/>
    <w:rsid w:val="00AD1823"/>
    <w:rsid w:val="00AD2229"/>
    <w:rsid w:val="00AD2781"/>
    <w:rsid w:val="00AD2A2C"/>
    <w:rsid w:val="00AD2C00"/>
    <w:rsid w:val="00AD2C2C"/>
    <w:rsid w:val="00AD34EC"/>
    <w:rsid w:val="00AD3A50"/>
    <w:rsid w:val="00AD414F"/>
    <w:rsid w:val="00AD449F"/>
    <w:rsid w:val="00AD4891"/>
    <w:rsid w:val="00AD4A59"/>
    <w:rsid w:val="00AD4A7F"/>
    <w:rsid w:val="00AD50C1"/>
    <w:rsid w:val="00AD536F"/>
    <w:rsid w:val="00AD55D3"/>
    <w:rsid w:val="00AD650A"/>
    <w:rsid w:val="00AD66AC"/>
    <w:rsid w:val="00AD696F"/>
    <w:rsid w:val="00AD6A21"/>
    <w:rsid w:val="00AD6BC1"/>
    <w:rsid w:val="00AD6CFA"/>
    <w:rsid w:val="00AD6D0F"/>
    <w:rsid w:val="00AD718C"/>
    <w:rsid w:val="00AE0BF0"/>
    <w:rsid w:val="00AE0E19"/>
    <w:rsid w:val="00AE0E9A"/>
    <w:rsid w:val="00AE1039"/>
    <w:rsid w:val="00AE13AD"/>
    <w:rsid w:val="00AE14D0"/>
    <w:rsid w:val="00AE18C5"/>
    <w:rsid w:val="00AE1DD8"/>
    <w:rsid w:val="00AE205E"/>
    <w:rsid w:val="00AE2136"/>
    <w:rsid w:val="00AE28C5"/>
    <w:rsid w:val="00AE2958"/>
    <w:rsid w:val="00AE3214"/>
    <w:rsid w:val="00AE338D"/>
    <w:rsid w:val="00AE34FE"/>
    <w:rsid w:val="00AE43FD"/>
    <w:rsid w:val="00AE542F"/>
    <w:rsid w:val="00AE5558"/>
    <w:rsid w:val="00AE5A78"/>
    <w:rsid w:val="00AE6060"/>
    <w:rsid w:val="00AE6C2F"/>
    <w:rsid w:val="00AE6FE4"/>
    <w:rsid w:val="00AE71D1"/>
    <w:rsid w:val="00AE71E0"/>
    <w:rsid w:val="00AE73BC"/>
    <w:rsid w:val="00AE7C89"/>
    <w:rsid w:val="00AF0DC7"/>
    <w:rsid w:val="00AF1085"/>
    <w:rsid w:val="00AF143E"/>
    <w:rsid w:val="00AF19A9"/>
    <w:rsid w:val="00AF1E01"/>
    <w:rsid w:val="00AF1EBB"/>
    <w:rsid w:val="00AF246E"/>
    <w:rsid w:val="00AF2D2D"/>
    <w:rsid w:val="00AF2D62"/>
    <w:rsid w:val="00AF2DCE"/>
    <w:rsid w:val="00AF3092"/>
    <w:rsid w:val="00AF318D"/>
    <w:rsid w:val="00AF3360"/>
    <w:rsid w:val="00AF3586"/>
    <w:rsid w:val="00AF3BB4"/>
    <w:rsid w:val="00AF4050"/>
    <w:rsid w:val="00AF4BE2"/>
    <w:rsid w:val="00AF4C76"/>
    <w:rsid w:val="00AF52CD"/>
    <w:rsid w:val="00AF54E3"/>
    <w:rsid w:val="00AF56F1"/>
    <w:rsid w:val="00AF5803"/>
    <w:rsid w:val="00AF6355"/>
    <w:rsid w:val="00AF6D53"/>
    <w:rsid w:val="00AF6E26"/>
    <w:rsid w:val="00AF6FCD"/>
    <w:rsid w:val="00B00334"/>
    <w:rsid w:val="00B0036E"/>
    <w:rsid w:val="00B00676"/>
    <w:rsid w:val="00B007FE"/>
    <w:rsid w:val="00B00CDC"/>
    <w:rsid w:val="00B0104A"/>
    <w:rsid w:val="00B012D1"/>
    <w:rsid w:val="00B01895"/>
    <w:rsid w:val="00B01A1B"/>
    <w:rsid w:val="00B01F7A"/>
    <w:rsid w:val="00B02435"/>
    <w:rsid w:val="00B03ED4"/>
    <w:rsid w:val="00B04235"/>
    <w:rsid w:val="00B04FC4"/>
    <w:rsid w:val="00B0533E"/>
    <w:rsid w:val="00B05492"/>
    <w:rsid w:val="00B061C6"/>
    <w:rsid w:val="00B0626D"/>
    <w:rsid w:val="00B069FE"/>
    <w:rsid w:val="00B06B24"/>
    <w:rsid w:val="00B06F97"/>
    <w:rsid w:val="00B07D90"/>
    <w:rsid w:val="00B07EF5"/>
    <w:rsid w:val="00B102B0"/>
    <w:rsid w:val="00B102E7"/>
    <w:rsid w:val="00B10910"/>
    <w:rsid w:val="00B130B9"/>
    <w:rsid w:val="00B135B7"/>
    <w:rsid w:val="00B139A5"/>
    <w:rsid w:val="00B139CC"/>
    <w:rsid w:val="00B13AA9"/>
    <w:rsid w:val="00B13AF0"/>
    <w:rsid w:val="00B13D9D"/>
    <w:rsid w:val="00B14570"/>
    <w:rsid w:val="00B1465D"/>
    <w:rsid w:val="00B1476F"/>
    <w:rsid w:val="00B15B88"/>
    <w:rsid w:val="00B15E17"/>
    <w:rsid w:val="00B16166"/>
    <w:rsid w:val="00B162B8"/>
    <w:rsid w:val="00B16445"/>
    <w:rsid w:val="00B16450"/>
    <w:rsid w:val="00B16A18"/>
    <w:rsid w:val="00B16FB4"/>
    <w:rsid w:val="00B179D5"/>
    <w:rsid w:val="00B17D71"/>
    <w:rsid w:val="00B2069E"/>
    <w:rsid w:val="00B20BD5"/>
    <w:rsid w:val="00B20E51"/>
    <w:rsid w:val="00B20FEA"/>
    <w:rsid w:val="00B210DC"/>
    <w:rsid w:val="00B21B20"/>
    <w:rsid w:val="00B21E52"/>
    <w:rsid w:val="00B21F52"/>
    <w:rsid w:val="00B224F9"/>
    <w:rsid w:val="00B229AE"/>
    <w:rsid w:val="00B22AC9"/>
    <w:rsid w:val="00B2348F"/>
    <w:rsid w:val="00B23575"/>
    <w:rsid w:val="00B23796"/>
    <w:rsid w:val="00B23C9B"/>
    <w:rsid w:val="00B2432D"/>
    <w:rsid w:val="00B24780"/>
    <w:rsid w:val="00B24CC5"/>
    <w:rsid w:val="00B24F00"/>
    <w:rsid w:val="00B24F77"/>
    <w:rsid w:val="00B251A4"/>
    <w:rsid w:val="00B253D6"/>
    <w:rsid w:val="00B25B7D"/>
    <w:rsid w:val="00B25EF2"/>
    <w:rsid w:val="00B260C2"/>
    <w:rsid w:val="00B261A7"/>
    <w:rsid w:val="00B2644B"/>
    <w:rsid w:val="00B265E3"/>
    <w:rsid w:val="00B268C1"/>
    <w:rsid w:val="00B27123"/>
    <w:rsid w:val="00B275EE"/>
    <w:rsid w:val="00B27C2A"/>
    <w:rsid w:val="00B27C48"/>
    <w:rsid w:val="00B302EF"/>
    <w:rsid w:val="00B304DB"/>
    <w:rsid w:val="00B30693"/>
    <w:rsid w:val="00B308E6"/>
    <w:rsid w:val="00B30FF7"/>
    <w:rsid w:val="00B3144B"/>
    <w:rsid w:val="00B31BAE"/>
    <w:rsid w:val="00B31D45"/>
    <w:rsid w:val="00B32459"/>
    <w:rsid w:val="00B3246D"/>
    <w:rsid w:val="00B328D2"/>
    <w:rsid w:val="00B32A1C"/>
    <w:rsid w:val="00B32FD2"/>
    <w:rsid w:val="00B334F8"/>
    <w:rsid w:val="00B3387C"/>
    <w:rsid w:val="00B33F6C"/>
    <w:rsid w:val="00B3429E"/>
    <w:rsid w:val="00B34310"/>
    <w:rsid w:val="00B34B4C"/>
    <w:rsid w:val="00B34D0D"/>
    <w:rsid w:val="00B35413"/>
    <w:rsid w:val="00B355BA"/>
    <w:rsid w:val="00B35847"/>
    <w:rsid w:val="00B35E2D"/>
    <w:rsid w:val="00B3677E"/>
    <w:rsid w:val="00B37551"/>
    <w:rsid w:val="00B4055C"/>
    <w:rsid w:val="00B40764"/>
    <w:rsid w:val="00B40AC7"/>
    <w:rsid w:val="00B40B74"/>
    <w:rsid w:val="00B40DBA"/>
    <w:rsid w:val="00B40E0E"/>
    <w:rsid w:val="00B418BE"/>
    <w:rsid w:val="00B41E8E"/>
    <w:rsid w:val="00B422E7"/>
    <w:rsid w:val="00B4258F"/>
    <w:rsid w:val="00B4260A"/>
    <w:rsid w:val="00B42F28"/>
    <w:rsid w:val="00B42FCC"/>
    <w:rsid w:val="00B43675"/>
    <w:rsid w:val="00B439E0"/>
    <w:rsid w:val="00B43D61"/>
    <w:rsid w:val="00B441A8"/>
    <w:rsid w:val="00B444F5"/>
    <w:rsid w:val="00B44A43"/>
    <w:rsid w:val="00B44B5F"/>
    <w:rsid w:val="00B45575"/>
    <w:rsid w:val="00B45C07"/>
    <w:rsid w:val="00B45DDB"/>
    <w:rsid w:val="00B46292"/>
    <w:rsid w:val="00B464B8"/>
    <w:rsid w:val="00B465E3"/>
    <w:rsid w:val="00B46F5E"/>
    <w:rsid w:val="00B47410"/>
    <w:rsid w:val="00B47AA9"/>
    <w:rsid w:val="00B509DD"/>
    <w:rsid w:val="00B50B12"/>
    <w:rsid w:val="00B50CB9"/>
    <w:rsid w:val="00B50F00"/>
    <w:rsid w:val="00B5131B"/>
    <w:rsid w:val="00B515FF"/>
    <w:rsid w:val="00B516F1"/>
    <w:rsid w:val="00B5228C"/>
    <w:rsid w:val="00B52462"/>
    <w:rsid w:val="00B53D66"/>
    <w:rsid w:val="00B53E75"/>
    <w:rsid w:val="00B549EE"/>
    <w:rsid w:val="00B553A9"/>
    <w:rsid w:val="00B555B8"/>
    <w:rsid w:val="00B5586F"/>
    <w:rsid w:val="00B5616D"/>
    <w:rsid w:val="00B570A6"/>
    <w:rsid w:val="00B57236"/>
    <w:rsid w:val="00B5729C"/>
    <w:rsid w:val="00B57A29"/>
    <w:rsid w:val="00B57BB3"/>
    <w:rsid w:val="00B57D8D"/>
    <w:rsid w:val="00B603EA"/>
    <w:rsid w:val="00B612E8"/>
    <w:rsid w:val="00B616A4"/>
    <w:rsid w:val="00B61DA1"/>
    <w:rsid w:val="00B625D7"/>
    <w:rsid w:val="00B625FD"/>
    <w:rsid w:val="00B634AE"/>
    <w:rsid w:val="00B645CD"/>
    <w:rsid w:val="00B64710"/>
    <w:rsid w:val="00B64CC9"/>
    <w:rsid w:val="00B6540C"/>
    <w:rsid w:val="00B65B0D"/>
    <w:rsid w:val="00B6648C"/>
    <w:rsid w:val="00B66F05"/>
    <w:rsid w:val="00B66F86"/>
    <w:rsid w:val="00B67AC9"/>
    <w:rsid w:val="00B70819"/>
    <w:rsid w:val="00B70893"/>
    <w:rsid w:val="00B71FE6"/>
    <w:rsid w:val="00B72462"/>
    <w:rsid w:val="00B724C3"/>
    <w:rsid w:val="00B73587"/>
    <w:rsid w:val="00B7444D"/>
    <w:rsid w:val="00B74C90"/>
    <w:rsid w:val="00B7548E"/>
    <w:rsid w:val="00B75905"/>
    <w:rsid w:val="00B75A25"/>
    <w:rsid w:val="00B76702"/>
    <w:rsid w:val="00B76805"/>
    <w:rsid w:val="00B77672"/>
    <w:rsid w:val="00B80368"/>
    <w:rsid w:val="00B804F8"/>
    <w:rsid w:val="00B81269"/>
    <w:rsid w:val="00B819DD"/>
    <w:rsid w:val="00B81EF5"/>
    <w:rsid w:val="00B826B0"/>
    <w:rsid w:val="00B830E7"/>
    <w:rsid w:val="00B83207"/>
    <w:rsid w:val="00B838FE"/>
    <w:rsid w:val="00B83EDD"/>
    <w:rsid w:val="00B86DF4"/>
    <w:rsid w:val="00B870B2"/>
    <w:rsid w:val="00B87796"/>
    <w:rsid w:val="00B87D22"/>
    <w:rsid w:val="00B9083C"/>
    <w:rsid w:val="00B91025"/>
    <w:rsid w:val="00B91208"/>
    <w:rsid w:val="00B917CF"/>
    <w:rsid w:val="00B91925"/>
    <w:rsid w:val="00B91D61"/>
    <w:rsid w:val="00B91E4A"/>
    <w:rsid w:val="00B920C6"/>
    <w:rsid w:val="00B922D1"/>
    <w:rsid w:val="00B9375F"/>
    <w:rsid w:val="00B93973"/>
    <w:rsid w:val="00B93B43"/>
    <w:rsid w:val="00B93C93"/>
    <w:rsid w:val="00B93CA0"/>
    <w:rsid w:val="00B94656"/>
    <w:rsid w:val="00B95709"/>
    <w:rsid w:val="00B957AD"/>
    <w:rsid w:val="00B95B64"/>
    <w:rsid w:val="00B96BC7"/>
    <w:rsid w:val="00B97934"/>
    <w:rsid w:val="00B97C8A"/>
    <w:rsid w:val="00BA05AB"/>
    <w:rsid w:val="00BA086F"/>
    <w:rsid w:val="00BA0AD5"/>
    <w:rsid w:val="00BA0C4B"/>
    <w:rsid w:val="00BA0F0D"/>
    <w:rsid w:val="00BA0F26"/>
    <w:rsid w:val="00BA16F1"/>
    <w:rsid w:val="00BA190C"/>
    <w:rsid w:val="00BA217E"/>
    <w:rsid w:val="00BA382A"/>
    <w:rsid w:val="00BA4B04"/>
    <w:rsid w:val="00BA51D9"/>
    <w:rsid w:val="00BA5D32"/>
    <w:rsid w:val="00BA6747"/>
    <w:rsid w:val="00BA71CA"/>
    <w:rsid w:val="00BA753D"/>
    <w:rsid w:val="00BA77EE"/>
    <w:rsid w:val="00BA7B92"/>
    <w:rsid w:val="00BB044C"/>
    <w:rsid w:val="00BB064F"/>
    <w:rsid w:val="00BB0A8F"/>
    <w:rsid w:val="00BB0D2F"/>
    <w:rsid w:val="00BB12BD"/>
    <w:rsid w:val="00BB1718"/>
    <w:rsid w:val="00BB1808"/>
    <w:rsid w:val="00BB1C1F"/>
    <w:rsid w:val="00BB21B9"/>
    <w:rsid w:val="00BB23D5"/>
    <w:rsid w:val="00BB25B8"/>
    <w:rsid w:val="00BB2FEB"/>
    <w:rsid w:val="00BB3475"/>
    <w:rsid w:val="00BB35F6"/>
    <w:rsid w:val="00BB3946"/>
    <w:rsid w:val="00BB3A87"/>
    <w:rsid w:val="00BB4182"/>
    <w:rsid w:val="00BB48BD"/>
    <w:rsid w:val="00BB4991"/>
    <w:rsid w:val="00BB4BBD"/>
    <w:rsid w:val="00BB4F15"/>
    <w:rsid w:val="00BB5541"/>
    <w:rsid w:val="00BB5878"/>
    <w:rsid w:val="00BB58E5"/>
    <w:rsid w:val="00BB6DC2"/>
    <w:rsid w:val="00BB6EF4"/>
    <w:rsid w:val="00BB704A"/>
    <w:rsid w:val="00BB78EC"/>
    <w:rsid w:val="00BB790D"/>
    <w:rsid w:val="00BB7C9A"/>
    <w:rsid w:val="00BC042F"/>
    <w:rsid w:val="00BC081D"/>
    <w:rsid w:val="00BC1D35"/>
    <w:rsid w:val="00BC2DA8"/>
    <w:rsid w:val="00BC3136"/>
    <w:rsid w:val="00BC3361"/>
    <w:rsid w:val="00BC34AE"/>
    <w:rsid w:val="00BC3655"/>
    <w:rsid w:val="00BC3686"/>
    <w:rsid w:val="00BC3C09"/>
    <w:rsid w:val="00BC46E2"/>
    <w:rsid w:val="00BC4797"/>
    <w:rsid w:val="00BC4D91"/>
    <w:rsid w:val="00BC4E2B"/>
    <w:rsid w:val="00BC5033"/>
    <w:rsid w:val="00BC5223"/>
    <w:rsid w:val="00BC52E9"/>
    <w:rsid w:val="00BC5593"/>
    <w:rsid w:val="00BC5685"/>
    <w:rsid w:val="00BC58DC"/>
    <w:rsid w:val="00BC58FC"/>
    <w:rsid w:val="00BC5992"/>
    <w:rsid w:val="00BC5B8F"/>
    <w:rsid w:val="00BC67FF"/>
    <w:rsid w:val="00BC6ADF"/>
    <w:rsid w:val="00BC6CD8"/>
    <w:rsid w:val="00BC71EE"/>
    <w:rsid w:val="00BC7A16"/>
    <w:rsid w:val="00BC7A88"/>
    <w:rsid w:val="00BC7E52"/>
    <w:rsid w:val="00BD02B7"/>
    <w:rsid w:val="00BD037E"/>
    <w:rsid w:val="00BD0CEB"/>
    <w:rsid w:val="00BD1266"/>
    <w:rsid w:val="00BD1424"/>
    <w:rsid w:val="00BD2560"/>
    <w:rsid w:val="00BD2DD2"/>
    <w:rsid w:val="00BD387F"/>
    <w:rsid w:val="00BD3A44"/>
    <w:rsid w:val="00BD3A50"/>
    <w:rsid w:val="00BD4A38"/>
    <w:rsid w:val="00BD5850"/>
    <w:rsid w:val="00BD5B50"/>
    <w:rsid w:val="00BD5C40"/>
    <w:rsid w:val="00BD5CA2"/>
    <w:rsid w:val="00BD63FB"/>
    <w:rsid w:val="00BD64B0"/>
    <w:rsid w:val="00BD682D"/>
    <w:rsid w:val="00BD69C7"/>
    <w:rsid w:val="00BD6F1E"/>
    <w:rsid w:val="00BD7118"/>
    <w:rsid w:val="00BD7486"/>
    <w:rsid w:val="00BD7ABD"/>
    <w:rsid w:val="00BD7C3C"/>
    <w:rsid w:val="00BD7FA4"/>
    <w:rsid w:val="00BE06B1"/>
    <w:rsid w:val="00BE0CF5"/>
    <w:rsid w:val="00BE0E04"/>
    <w:rsid w:val="00BE0EC1"/>
    <w:rsid w:val="00BE13A4"/>
    <w:rsid w:val="00BE190D"/>
    <w:rsid w:val="00BE1A87"/>
    <w:rsid w:val="00BE22AF"/>
    <w:rsid w:val="00BE2506"/>
    <w:rsid w:val="00BE2C66"/>
    <w:rsid w:val="00BE2EF9"/>
    <w:rsid w:val="00BE30DA"/>
    <w:rsid w:val="00BE3195"/>
    <w:rsid w:val="00BE3963"/>
    <w:rsid w:val="00BE3DD7"/>
    <w:rsid w:val="00BE4217"/>
    <w:rsid w:val="00BE4819"/>
    <w:rsid w:val="00BE53A0"/>
    <w:rsid w:val="00BE587D"/>
    <w:rsid w:val="00BE6E66"/>
    <w:rsid w:val="00BE7DF7"/>
    <w:rsid w:val="00BF0A6F"/>
    <w:rsid w:val="00BF0B4E"/>
    <w:rsid w:val="00BF1158"/>
    <w:rsid w:val="00BF120F"/>
    <w:rsid w:val="00BF1E5B"/>
    <w:rsid w:val="00BF2325"/>
    <w:rsid w:val="00BF2A1B"/>
    <w:rsid w:val="00BF2F59"/>
    <w:rsid w:val="00BF2F89"/>
    <w:rsid w:val="00BF32D3"/>
    <w:rsid w:val="00BF34B9"/>
    <w:rsid w:val="00BF394C"/>
    <w:rsid w:val="00BF3BA9"/>
    <w:rsid w:val="00BF4747"/>
    <w:rsid w:val="00BF4828"/>
    <w:rsid w:val="00BF4DEE"/>
    <w:rsid w:val="00BF5C9C"/>
    <w:rsid w:val="00BF5D09"/>
    <w:rsid w:val="00BF5D82"/>
    <w:rsid w:val="00BF6965"/>
    <w:rsid w:val="00BF70BE"/>
    <w:rsid w:val="00BF7C09"/>
    <w:rsid w:val="00C0006C"/>
    <w:rsid w:val="00C00472"/>
    <w:rsid w:val="00C0056E"/>
    <w:rsid w:val="00C00676"/>
    <w:rsid w:val="00C009F2"/>
    <w:rsid w:val="00C00CC5"/>
    <w:rsid w:val="00C00E6B"/>
    <w:rsid w:val="00C0115F"/>
    <w:rsid w:val="00C019F4"/>
    <w:rsid w:val="00C01F02"/>
    <w:rsid w:val="00C02191"/>
    <w:rsid w:val="00C023E6"/>
    <w:rsid w:val="00C0287B"/>
    <w:rsid w:val="00C028C3"/>
    <w:rsid w:val="00C038A3"/>
    <w:rsid w:val="00C03C78"/>
    <w:rsid w:val="00C0406A"/>
    <w:rsid w:val="00C04280"/>
    <w:rsid w:val="00C0458B"/>
    <w:rsid w:val="00C04BE9"/>
    <w:rsid w:val="00C04C41"/>
    <w:rsid w:val="00C04C8D"/>
    <w:rsid w:val="00C05615"/>
    <w:rsid w:val="00C05A5D"/>
    <w:rsid w:val="00C06477"/>
    <w:rsid w:val="00C06792"/>
    <w:rsid w:val="00C06E7C"/>
    <w:rsid w:val="00C07EAD"/>
    <w:rsid w:val="00C1046E"/>
    <w:rsid w:val="00C10D19"/>
    <w:rsid w:val="00C10E08"/>
    <w:rsid w:val="00C12092"/>
    <w:rsid w:val="00C125B9"/>
    <w:rsid w:val="00C12CFA"/>
    <w:rsid w:val="00C1314E"/>
    <w:rsid w:val="00C133E4"/>
    <w:rsid w:val="00C136C1"/>
    <w:rsid w:val="00C13C64"/>
    <w:rsid w:val="00C140EB"/>
    <w:rsid w:val="00C1415E"/>
    <w:rsid w:val="00C141EF"/>
    <w:rsid w:val="00C14448"/>
    <w:rsid w:val="00C1449F"/>
    <w:rsid w:val="00C14DB4"/>
    <w:rsid w:val="00C14EA0"/>
    <w:rsid w:val="00C15BB2"/>
    <w:rsid w:val="00C1644D"/>
    <w:rsid w:val="00C1656C"/>
    <w:rsid w:val="00C165F3"/>
    <w:rsid w:val="00C178EF"/>
    <w:rsid w:val="00C17C40"/>
    <w:rsid w:val="00C215FD"/>
    <w:rsid w:val="00C21F23"/>
    <w:rsid w:val="00C21F41"/>
    <w:rsid w:val="00C22470"/>
    <w:rsid w:val="00C231E8"/>
    <w:rsid w:val="00C2328C"/>
    <w:rsid w:val="00C23305"/>
    <w:rsid w:val="00C239E0"/>
    <w:rsid w:val="00C24021"/>
    <w:rsid w:val="00C24E24"/>
    <w:rsid w:val="00C254D2"/>
    <w:rsid w:val="00C258E0"/>
    <w:rsid w:val="00C26078"/>
    <w:rsid w:val="00C26238"/>
    <w:rsid w:val="00C268D8"/>
    <w:rsid w:val="00C26D04"/>
    <w:rsid w:val="00C2749A"/>
    <w:rsid w:val="00C279B0"/>
    <w:rsid w:val="00C310A9"/>
    <w:rsid w:val="00C31263"/>
    <w:rsid w:val="00C31F54"/>
    <w:rsid w:val="00C3271D"/>
    <w:rsid w:val="00C32AA3"/>
    <w:rsid w:val="00C32BE0"/>
    <w:rsid w:val="00C32C86"/>
    <w:rsid w:val="00C32F6E"/>
    <w:rsid w:val="00C3342C"/>
    <w:rsid w:val="00C33569"/>
    <w:rsid w:val="00C3379E"/>
    <w:rsid w:val="00C338F0"/>
    <w:rsid w:val="00C339D9"/>
    <w:rsid w:val="00C3416D"/>
    <w:rsid w:val="00C34D5C"/>
    <w:rsid w:val="00C3598F"/>
    <w:rsid w:val="00C35B17"/>
    <w:rsid w:val="00C363F8"/>
    <w:rsid w:val="00C364EC"/>
    <w:rsid w:val="00C372ED"/>
    <w:rsid w:val="00C37733"/>
    <w:rsid w:val="00C37BE6"/>
    <w:rsid w:val="00C37E56"/>
    <w:rsid w:val="00C40892"/>
    <w:rsid w:val="00C4098B"/>
    <w:rsid w:val="00C41255"/>
    <w:rsid w:val="00C41BD8"/>
    <w:rsid w:val="00C41E73"/>
    <w:rsid w:val="00C41EF6"/>
    <w:rsid w:val="00C42039"/>
    <w:rsid w:val="00C420D7"/>
    <w:rsid w:val="00C42B58"/>
    <w:rsid w:val="00C42CC1"/>
    <w:rsid w:val="00C42D82"/>
    <w:rsid w:val="00C4615F"/>
    <w:rsid w:val="00C463DB"/>
    <w:rsid w:val="00C46673"/>
    <w:rsid w:val="00C467FF"/>
    <w:rsid w:val="00C4707B"/>
    <w:rsid w:val="00C474ED"/>
    <w:rsid w:val="00C475F3"/>
    <w:rsid w:val="00C47765"/>
    <w:rsid w:val="00C47A0B"/>
    <w:rsid w:val="00C50109"/>
    <w:rsid w:val="00C501FF"/>
    <w:rsid w:val="00C50436"/>
    <w:rsid w:val="00C504AF"/>
    <w:rsid w:val="00C50912"/>
    <w:rsid w:val="00C50AC7"/>
    <w:rsid w:val="00C50B9D"/>
    <w:rsid w:val="00C50D83"/>
    <w:rsid w:val="00C51104"/>
    <w:rsid w:val="00C51BB9"/>
    <w:rsid w:val="00C51F5A"/>
    <w:rsid w:val="00C52D47"/>
    <w:rsid w:val="00C53A58"/>
    <w:rsid w:val="00C53EB7"/>
    <w:rsid w:val="00C54381"/>
    <w:rsid w:val="00C548E5"/>
    <w:rsid w:val="00C54BA4"/>
    <w:rsid w:val="00C55273"/>
    <w:rsid w:val="00C5538B"/>
    <w:rsid w:val="00C55440"/>
    <w:rsid w:val="00C560EF"/>
    <w:rsid w:val="00C56161"/>
    <w:rsid w:val="00C56A36"/>
    <w:rsid w:val="00C56BE3"/>
    <w:rsid w:val="00C56D01"/>
    <w:rsid w:val="00C5767B"/>
    <w:rsid w:val="00C57A92"/>
    <w:rsid w:val="00C609CE"/>
    <w:rsid w:val="00C60E1B"/>
    <w:rsid w:val="00C61133"/>
    <w:rsid w:val="00C6117F"/>
    <w:rsid w:val="00C617EC"/>
    <w:rsid w:val="00C619DC"/>
    <w:rsid w:val="00C61C5B"/>
    <w:rsid w:val="00C61D2A"/>
    <w:rsid w:val="00C6233F"/>
    <w:rsid w:val="00C6259D"/>
    <w:rsid w:val="00C6263A"/>
    <w:rsid w:val="00C626E9"/>
    <w:rsid w:val="00C62A4D"/>
    <w:rsid w:val="00C63AB3"/>
    <w:rsid w:val="00C64208"/>
    <w:rsid w:val="00C643F6"/>
    <w:rsid w:val="00C644B3"/>
    <w:rsid w:val="00C64783"/>
    <w:rsid w:val="00C649B0"/>
    <w:rsid w:val="00C64A19"/>
    <w:rsid w:val="00C65732"/>
    <w:rsid w:val="00C657B9"/>
    <w:rsid w:val="00C65A50"/>
    <w:rsid w:val="00C65AA4"/>
    <w:rsid w:val="00C65AEB"/>
    <w:rsid w:val="00C65B81"/>
    <w:rsid w:val="00C661E6"/>
    <w:rsid w:val="00C66245"/>
    <w:rsid w:val="00C662FF"/>
    <w:rsid w:val="00C663C8"/>
    <w:rsid w:val="00C675B7"/>
    <w:rsid w:val="00C67982"/>
    <w:rsid w:val="00C67DC0"/>
    <w:rsid w:val="00C702A1"/>
    <w:rsid w:val="00C705CC"/>
    <w:rsid w:val="00C70B19"/>
    <w:rsid w:val="00C71B68"/>
    <w:rsid w:val="00C722BB"/>
    <w:rsid w:val="00C722F0"/>
    <w:rsid w:val="00C735E0"/>
    <w:rsid w:val="00C737E4"/>
    <w:rsid w:val="00C7391A"/>
    <w:rsid w:val="00C7391B"/>
    <w:rsid w:val="00C744A2"/>
    <w:rsid w:val="00C74993"/>
    <w:rsid w:val="00C749F9"/>
    <w:rsid w:val="00C74D8E"/>
    <w:rsid w:val="00C74F8F"/>
    <w:rsid w:val="00C757EF"/>
    <w:rsid w:val="00C75CC0"/>
    <w:rsid w:val="00C761CF"/>
    <w:rsid w:val="00C767E2"/>
    <w:rsid w:val="00C7711E"/>
    <w:rsid w:val="00C77302"/>
    <w:rsid w:val="00C77BE3"/>
    <w:rsid w:val="00C80CBD"/>
    <w:rsid w:val="00C80E14"/>
    <w:rsid w:val="00C80E7C"/>
    <w:rsid w:val="00C811BB"/>
    <w:rsid w:val="00C81299"/>
    <w:rsid w:val="00C8154F"/>
    <w:rsid w:val="00C81CFC"/>
    <w:rsid w:val="00C82643"/>
    <w:rsid w:val="00C8275B"/>
    <w:rsid w:val="00C82AD1"/>
    <w:rsid w:val="00C8325A"/>
    <w:rsid w:val="00C836BB"/>
    <w:rsid w:val="00C837F9"/>
    <w:rsid w:val="00C83A03"/>
    <w:rsid w:val="00C83C1A"/>
    <w:rsid w:val="00C8491F"/>
    <w:rsid w:val="00C84AEA"/>
    <w:rsid w:val="00C84F41"/>
    <w:rsid w:val="00C85091"/>
    <w:rsid w:val="00C8583F"/>
    <w:rsid w:val="00C85AEB"/>
    <w:rsid w:val="00C85BBD"/>
    <w:rsid w:val="00C85C64"/>
    <w:rsid w:val="00C868CD"/>
    <w:rsid w:val="00C86E27"/>
    <w:rsid w:val="00C8774D"/>
    <w:rsid w:val="00C87D65"/>
    <w:rsid w:val="00C90873"/>
    <w:rsid w:val="00C90A65"/>
    <w:rsid w:val="00C90B0D"/>
    <w:rsid w:val="00C90D7D"/>
    <w:rsid w:val="00C916A9"/>
    <w:rsid w:val="00C918F0"/>
    <w:rsid w:val="00C91952"/>
    <w:rsid w:val="00C91AEE"/>
    <w:rsid w:val="00C91B5C"/>
    <w:rsid w:val="00C91C82"/>
    <w:rsid w:val="00C91F14"/>
    <w:rsid w:val="00C926EB"/>
    <w:rsid w:val="00C92885"/>
    <w:rsid w:val="00C92E9E"/>
    <w:rsid w:val="00C93118"/>
    <w:rsid w:val="00C93BDA"/>
    <w:rsid w:val="00C93F9F"/>
    <w:rsid w:val="00C945B5"/>
    <w:rsid w:val="00C94864"/>
    <w:rsid w:val="00C94C41"/>
    <w:rsid w:val="00C94C48"/>
    <w:rsid w:val="00C9515D"/>
    <w:rsid w:val="00C95493"/>
    <w:rsid w:val="00C96CE4"/>
    <w:rsid w:val="00C976D3"/>
    <w:rsid w:val="00C978AA"/>
    <w:rsid w:val="00C97A5E"/>
    <w:rsid w:val="00C97B8D"/>
    <w:rsid w:val="00CA014D"/>
    <w:rsid w:val="00CA03EA"/>
    <w:rsid w:val="00CA04E9"/>
    <w:rsid w:val="00CA0C1A"/>
    <w:rsid w:val="00CA14B3"/>
    <w:rsid w:val="00CA1758"/>
    <w:rsid w:val="00CA19BA"/>
    <w:rsid w:val="00CA1AF1"/>
    <w:rsid w:val="00CA1EDC"/>
    <w:rsid w:val="00CA2100"/>
    <w:rsid w:val="00CA2597"/>
    <w:rsid w:val="00CA2AEF"/>
    <w:rsid w:val="00CA2B70"/>
    <w:rsid w:val="00CA2C50"/>
    <w:rsid w:val="00CA3045"/>
    <w:rsid w:val="00CA3066"/>
    <w:rsid w:val="00CA31CC"/>
    <w:rsid w:val="00CA3377"/>
    <w:rsid w:val="00CA425E"/>
    <w:rsid w:val="00CA46F9"/>
    <w:rsid w:val="00CA5557"/>
    <w:rsid w:val="00CA59BF"/>
    <w:rsid w:val="00CA5C54"/>
    <w:rsid w:val="00CA5E75"/>
    <w:rsid w:val="00CA6094"/>
    <w:rsid w:val="00CA6A2E"/>
    <w:rsid w:val="00CA6CC3"/>
    <w:rsid w:val="00CA75FA"/>
    <w:rsid w:val="00CA7B43"/>
    <w:rsid w:val="00CA7C08"/>
    <w:rsid w:val="00CA7F90"/>
    <w:rsid w:val="00CA7FF8"/>
    <w:rsid w:val="00CB06AE"/>
    <w:rsid w:val="00CB07AC"/>
    <w:rsid w:val="00CB0B0A"/>
    <w:rsid w:val="00CB0B27"/>
    <w:rsid w:val="00CB0BD6"/>
    <w:rsid w:val="00CB13A8"/>
    <w:rsid w:val="00CB1688"/>
    <w:rsid w:val="00CB1FE2"/>
    <w:rsid w:val="00CB2531"/>
    <w:rsid w:val="00CB257D"/>
    <w:rsid w:val="00CB258F"/>
    <w:rsid w:val="00CB2C02"/>
    <w:rsid w:val="00CB304A"/>
    <w:rsid w:val="00CB3208"/>
    <w:rsid w:val="00CB3216"/>
    <w:rsid w:val="00CB322C"/>
    <w:rsid w:val="00CB39B0"/>
    <w:rsid w:val="00CB3ACC"/>
    <w:rsid w:val="00CB3C0E"/>
    <w:rsid w:val="00CB41EC"/>
    <w:rsid w:val="00CB4BDF"/>
    <w:rsid w:val="00CB4D41"/>
    <w:rsid w:val="00CB51DF"/>
    <w:rsid w:val="00CB5777"/>
    <w:rsid w:val="00CB69E2"/>
    <w:rsid w:val="00CB6C09"/>
    <w:rsid w:val="00CB6C67"/>
    <w:rsid w:val="00CB6FFA"/>
    <w:rsid w:val="00CB70EB"/>
    <w:rsid w:val="00CB7196"/>
    <w:rsid w:val="00CB7665"/>
    <w:rsid w:val="00CB7B98"/>
    <w:rsid w:val="00CB7CFE"/>
    <w:rsid w:val="00CC0043"/>
    <w:rsid w:val="00CC009C"/>
    <w:rsid w:val="00CC0403"/>
    <w:rsid w:val="00CC0513"/>
    <w:rsid w:val="00CC05C8"/>
    <w:rsid w:val="00CC05FB"/>
    <w:rsid w:val="00CC06B0"/>
    <w:rsid w:val="00CC0D6D"/>
    <w:rsid w:val="00CC1275"/>
    <w:rsid w:val="00CC13F2"/>
    <w:rsid w:val="00CC1484"/>
    <w:rsid w:val="00CC2586"/>
    <w:rsid w:val="00CC2E5F"/>
    <w:rsid w:val="00CC2EE2"/>
    <w:rsid w:val="00CC30B0"/>
    <w:rsid w:val="00CC3EA2"/>
    <w:rsid w:val="00CC4411"/>
    <w:rsid w:val="00CC44CA"/>
    <w:rsid w:val="00CC469F"/>
    <w:rsid w:val="00CC483F"/>
    <w:rsid w:val="00CC49A7"/>
    <w:rsid w:val="00CC51A0"/>
    <w:rsid w:val="00CC584B"/>
    <w:rsid w:val="00CC58A3"/>
    <w:rsid w:val="00CC6A4F"/>
    <w:rsid w:val="00CC6CD0"/>
    <w:rsid w:val="00CC6FD4"/>
    <w:rsid w:val="00CC712D"/>
    <w:rsid w:val="00CC740F"/>
    <w:rsid w:val="00CD09F5"/>
    <w:rsid w:val="00CD0EE4"/>
    <w:rsid w:val="00CD2041"/>
    <w:rsid w:val="00CD20CC"/>
    <w:rsid w:val="00CD28C6"/>
    <w:rsid w:val="00CD31EB"/>
    <w:rsid w:val="00CD3B79"/>
    <w:rsid w:val="00CD3FBA"/>
    <w:rsid w:val="00CD4D6B"/>
    <w:rsid w:val="00CD4F69"/>
    <w:rsid w:val="00CD5415"/>
    <w:rsid w:val="00CD56BD"/>
    <w:rsid w:val="00CD61FD"/>
    <w:rsid w:val="00CD658D"/>
    <w:rsid w:val="00CD66CC"/>
    <w:rsid w:val="00CD6CBE"/>
    <w:rsid w:val="00CD6EFB"/>
    <w:rsid w:val="00CD7044"/>
    <w:rsid w:val="00CD72A8"/>
    <w:rsid w:val="00CD76DD"/>
    <w:rsid w:val="00CD787C"/>
    <w:rsid w:val="00CD7B6D"/>
    <w:rsid w:val="00CD7D2C"/>
    <w:rsid w:val="00CE0334"/>
    <w:rsid w:val="00CE0461"/>
    <w:rsid w:val="00CE0584"/>
    <w:rsid w:val="00CE1581"/>
    <w:rsid w:val="00CE166A"/>
    <w:rsid w:val="00CE18DE"/>
    <w:rsid w:val="00CE1961"/>
    <w:rsid w:val="00CE222B"/>
    <w:rsid w:val="00CE29E1"/>
    <w:rsid w:val="00CE3606"/>
    <w:rsid w:val="00CE3E63"/>
    <w:rsid w:val="00CE4C29"/>
    <w:rsid w:val="00CE55AA"/>
    <w:rsid w:val="00CE562D"/>
    <w:rsid w:val="00CE5761"/>
    <w:rsid w:val="00CE58E0"/>
    <w:rsid w:val="00CE5A9C"/>
    <w:rsid w:val="00CE5E97"/>
    <w:rsid w:val="00CE679A"/>
    <w:rsid w:val="00CE6848"/>
    <w:rsid w:val="00CE6AC2"/>
    <w:rsid w:val="00CE6BAB"/>
    <w:rsid w:val="00CE6E6C"/>
    <w:rsid w:val="00CE7482"/>
    <w:rsid w:val="00CE781E"/>
    <w:rsid w:val="00CE7A84"/>
    <w:rsid w:val="00CF06CD"/>
    <w:rsid w:val="00CF0724"/>
    <w:rsid w:val="00CF0730"/>
    <w:rsid w:val="00CF094F"/>
    <w:rsid w:val="00CF09E6"/>
    <w:rsid w:val="00CF17F7"/>
    <w:rsid w:val="00CF1F35"/>
    <w:rsid w:val="00CF202B"/>
    <w:rsid w:val="00CF2494"/>
    <w:rsid w:val="00CF29F1"/>
    <w:rsid w:val="00CF2D5A"/>
    <w:rsid w:val="00CF2FFC"/>
    <w:rsid w:val="00CF3671"/>
    <w:rsid w:val="00CF38B3"/>
    <w:rsid w:val="00CF4005"/>
    <w:rsid w:val="00CF41A7"/>
    <w:rsid w:val="00CF41ED"/>
    <w:rsid w:val="00CF4239"/>
    <w:rsid w:val="00CF47F7"/>
    <w:rsid w:val="00CF485C"/>
    <w:rsid w:val="00CF4CA4"/>
    <w:rsid w:val="00CF5462"/>
    <w:rsid w:val="00CF5AD7"/>
    <w:rsid w:val="00CF5CD5"/>
    <w:rsid w:val="00CF6507"/>
    <w:rsid w:val="00CF662A"/>
    <w:rsid w:val="00CF6ACC"/>
    <w:rsid w:val="00CF7163"/>
    <w:rsid w:val="00CF7786"/>
    <w:rsid w:val="00CF7843"/>
    <w:rsid w:val="00CF7AC0"/>
    <w:rsid w:val="00CF7FB4"/>
    <w:rsid w:val="00D00227"/>
    <w:rsid w:val="00D002B0"/>
    <w:rsid w:val="00D0031A"/>
    <w:rsid w:val="00D00B11"/>
    <w:rsid w:val="00D00BC4"/>
    <w:rsid w:val="00D00DBA"/>
    <w:rsid w:val="00D00DE7"/>
    <w:rsid w:val="00D00F53"/>
    <w:rsid w:val="00D01042"/>
    <w:rsid w:val="00D0210F"/>
    <w:rsid w:val="00D024AA"/>
    <w:rsid w:val="00D025E0"/>
    <w:rsid w:val="00D02987"/>
    <w:rsid w:val="00D02BAF"/>
    <w:rsid w:val="00D02D8C"/>
    <w:rsid w:val="00D0427B"/>
    <w:rsid w:val="00D04648"/>
    <w:rsid w:val="00D0494B"/>
    <w:rsid w:val="00D04C63"/>
    <w:rsid w:val="00D05267"/>
    <w:rsid w:val="00D0568A"/>
    <w:rsid w:val="00D05783"/>
    <w:rsid w:val="00D05A85"/>
    <w:rsid w:val="00D05B1C"/>
    <w:rsid w:val="00D06884"/>
    <w:rsid w:val="00D06A2E"/>
    <w:rsid w:val="00D0703B"/>
    <w:rsid w:val="00D070D3"/>
    <w:rsid w:val="00D072F7"/>
    <w:rsid w:val="00D07EE9"/>
    <w:rsid w:val="00D1017D"/>
    <w:rsid w:val="00D1082F"/>
    <w:rsid w:val="00D10C2C"/>
    <w:rsid w:val="00D10DC9"/>
    <w:rsid w:val="00D10FD4"/>
    <w:rsid w:val="00D10FD5"/>
    <w:rsid w:val="00D111ED"/>
    <w:rsid w:val="00D1120C"/>
    <w:rsid w:val="00D1157B"/>
    <w:rsid w:val="00D11961"/>
    <w:rsid w:val="00D1240D"/>
    <w:rsid w:val="00D12573"/>
    <w:rsid w:val="00D12E6D"/>
    <w:rsid w:val="00D131E3"/>
    <w:rsid w:val="00D13221"/>
    <w:rsid w:val="00D132AC"/>
    <w:rsid w:val="00D13665"/>
    <w:rsid w:val="00D13A5F"/>
    <w:rsid w:val="00D13C30"/>
    <w:rsid w:val="00D1427B"/>
    <w:rsid w:val="00D14716"/>
    <w:rsid w:val="00D14758"/>
    <w:rsid w:val="00D147D9"/>
    <w:rsid w:val="00D14EC5"/>
    <w:rsid w:val="00D14FDF"/>
    <w:rsid w:val="00D15CEB"/>
    <w:rsid w:val="00D16987"/>
    <w:rsid w:val="00D16B9E"/>
    <w:rsid w:val="00D16ED0"/>
    <w:rsid w:val="00D170CF"/>
    <w:rsid w:val="00D1716A"/>
    <w:rsid w:val="00D1738F"/>
    <w:rsid w:val="00D17687"/>
    <w:rsid w:val="00D206CC"/>
    <w:rsid w:val="00D206CE"/>
    <w:rsid w:val="00D21603"/>
    <w:rsid w:val="00D216E1"/>
    <w:rsid w:val="00D2251B"/>
    <w:rsid w:val="00D22BCB"/>
    <w:rsid w:val="00D23004"/>
    <w:rsid w:val="00D238E5"/>
    <w:rsid w:val="00D243FB"/>
    <w:rsid w:val="00D24471"/>
    <w:rsid w:val="00D24490"/>
    <w:rsid w:val="00D24595"/>
    <w:rsid w:val="00D248EB"/>
    <w:rsid w:val="00D24DB0"/>
    <w:rsid w:val="00D24DC0"/>
    <w:rsid w:val="00D25689"/>
    <w:rsid w:val="00D258EC"/>
    <w:rsid w:val="00D25C2F"/>
    <w:rsid w:val="00D25D6E"/>
    <w:rsid w:val="00D265B8"/>
    <w:rsid w:val="00D265E9"/>
    <w:rsid w:val="00D26B84"/>
    <w:rsid w:val="00D26F08"/>
    <w:rsid w:val="00D276E2"/>
    <w:rsid w:val="00D27997"/>
    <w:rsid w:val="00D27E06"/>
    <w:rsid w:val="00D27E80"/>
    <w:rsid w:val="00D3010A"/>
    <w:rsid w:val="00D304F0"/>
    <w:rsid w:val="00D308BD"/>
    <w:rsid w:val="00D30DC6"/>
    <w:rsid w:val="00D3149D"/>
    <w:rsid w:val="00D3196C"/>
    <w:rsid w:val="00D32847"/>
    <w:rsid w:val="00D32C5A"/>
    <w:rsid w:val="00D32F4C"/>
    <w:rsid w:val="00D33BBB"/>
    <w:rsid w:val="00D34420"/>
    <w:rsid w:val="00D34679"/>
    <w:rsid w:val="00D34D9B"/>
    <w:rsid w:val="00D34E68"/>
    <w:rsid w:val="00D354CD"/>
    <w:rsid w:val="00D3550A"/>
    <w:rsid w:val="00D35539"/>
    <w:rsid w:val="00D3561A"/>
    <w:rsid w:val="00D35DCF"/>
    <w:rsid w:val="00D360AF"/>
    <w:rsid w:val="00D3634D"/>
    <w:rsid w:val="00D36B15"/>
    <w:rsid w:val="00D36E4C"/>
    <w:rsid w:val="00D371B9"/>
    <w:rsid w:val="00D372A7"/>
    <w:rsid w:val="00D37B7C"/>
    <w:rsid w:val="00D40662"/>
    <w:rsid w:val="00D411A8"/>
    <w:rsid w:val="00D41646"/>
    <w:rsid w:val="00D4199D"/>
    <w:rsid w:val="00D419AB"/>
    <w:rsid w:val="00D43865"/>
    <w:rsid w:val="00D4387B"/>
    <w:rsid w:val="00D43E20"/>
    <w:rsid w:val="00D44292"/>
    <w:rsid w:val="00D44C55"/>
    <w:rsid w:val="00D451CA"/>
    <w:rsid w:val="00D45AA9"/>
    <w:rsid w:val="00D45ED3"/>
    <w:rsid w:val="00D4600C"/>
    <w:rsid w:val="00D4631C"/>
    <w:rsid w:val="00D46A78"/>
    <w:rsid w:val="00D472C4"/>
    <w:rsid w:val="00D477A8"/>
    <w:rsid w:val="00D47BD9"/>
    <w:rsid w:val="00D5026B"/>
    <w:rsid w:val="00D50389"/>
    <w:rsid w:val="00D50473"/>
    <w:rsid w:val="00D50504"/>
    <w:rsid w:val="00D51AB7"/>
    <w:rsid w:val="00D520EF"/>
    <w:rsid w:val="00D522DA"/>
    <w:rsid w:val="00D523A6"/>
    <w:rsid w:val="00D526B7"/>
    <w:rsid w:val="00D52F89"/>
    <w:rsid w:val="00D52FDF"/>
    <w:rsid w:val="00D53752"/>
    <w:rsid w:val="00D53D45"/>
    <w:rsid w:val="00D5495F"/>
    <w:rsid w:val="00D54F48"/>
    <w:rsid w:val="00D54F85"/>
    <w:rsid w:val="00D5579F"/>
    <w:rsid w:val="00D55A05"/>
    <w:rsid w:val="00D55E2A"/>
    <w:rsid w:val="00D56A33"/>
    <w:rsid w:val="00D573FB"/>
    <w:rsid w:val="00D5762A"/>
    <w:rsid w:val="00D576B1"/>
    <w:rsid w:val="00D57747"/>
    <w:rsid w:val="00D60256"/>
    <w:rsid w:val="00D602E9"/>
    <w:rsid w:val="00D60621"/>
    <w:rsid w:val="00D606DF"/>
    <w:rsid w:val="00D60B3F"/>
    <w:rsid w:val="00D6100F"/>
    <w:rsid w:val="00D61494"/>
    <w:rsid w:val="00D6170E"/>
    <w:rsid w:val="00D6194B"/>
    <w:rsid w:val="00D62013"/>
    <w:rsid w:val="00D62D48"/>
    <w:rsid w:val="00D62D65"/>
    <w:rsid w:val="00D62E47"/>
    <w:rsid w:val="00D640EB"/>
    <w:rsid w:val="00D6425F"/>
    <w:rsid w:val="00D6429F"/>
    <w:rsid w:val="00D64887"/>
    <w:rsid w:val="00D64B3A"/>
    <w:rsid w:val="00D65703"/>
    <w:rsid w:val="00D663F3"/>
    <w:rsid w:val="00D66567"/>
    <w:rsid w:val="00D6792B"/>
    <w:rsid w:val="00D67B1B"/>
    <w:rsid w:val="00D70395"/>
    <w:rsid w:val="00D7055D"/>
    <w:rsid w:val="00D706E9"/>
    <w:rsid w:val="00D70A03"/>
    <w:rsid w:val="00D7225C"/>
    <w:rsid w:val="00D7237E"/>
    <w:rsid w:val="00D726E2"/>
    <w:rsid w:val="00D728FF"/>
    <w:rsid w:val="00D72C45"/>
    <w:rsid w:val="00D73105"/>
    <w:rsid w:val="00D737A6"/>
    <w:rsid w:val="00D741F4"/>
    <w:rsid w:val="00D74473"/>
    <w:rsid w:val="00D74949"/>
    <w:rsid w:val="00D75BF5"/>
    <w:rsid w:val="00D75F1B"/>
    <w:rsid w:val="00D76064"/>
    <w:rsid w:val="00D76690"/>
    <w:rsid w:val="00D76787"/>
    <w:rsid w:val="00D76EF9"/>
    <w:rsid w:val="00D77319"/>
    <w:rsid w:val="00D77720"/>
    <w:rsid w:val="00D77BBD"/>
    <w:rsid w:val="00D77C16"/>
    <w:rsid w:val="00D80169"/>
    <w:rsid w:val="00D806FB"/>
    <w:rsid w:val="00D807F4"/>
    <w:rsid w:val="00D812DA"/>
    <w:rsid w:val="00D814D1"/>
    <w:rsid w:val="00D818D5"/>
    <w:rsid w:val="00D81E49"/>
    <w:rsid w:val="00D82BA4"/>
    <w:rsid w:val="00D83BBC"/>
    <w:rsid w:val="00D83C66"/>
    <w:rsid w:val="00D83CC4"/>
    <w:rsid w:val="00D840E2"/>
    <w:rsid w:val="00D85217"/>
    <w:rsid w:val="00D85471"/>
    <w:rsid w:val="00D8575F"/>
    <w:rsid w:val="00D8627E"/>
    <w:rsid w:val="00D873B0"/>
    <w:rsid w:val="00D879C4"/>
    <w:rsid w:val="00D87AA5"/>
    <w:rsid w:val="00D90038"/>
    <w:rsid w:val="00D9180A"/>
    <w:rsid w:val="00D91867"/>
    <w:rsid w:val="00D91BC1"/>
    <w:rsid w:val="00D91C08"/>
    <w:rsid w:val="00D925B3"/>
    <w:rsid w:val="00D92A4F"/>
    <w:rsid w:val="00D92AD4"/>
    <w:rsid w:val="00D92EC6"/>
    <w:rsid w:val="00D93072"/>
    <w:rsid w:val="00D93A80"/>
    <w:rsid w:val="00D93B7F"/>
    <w:rsid w:val="00D93DA5"/>
    <w:rsid w:val="00D93DCE"/>
    <w:rsid w:val="00D9423B"/>
    <w:rsid w:val="00D946C5"/>
    <w:rsid w:val="00D94F54"/>
    <w:rsid w:val="00D95890"/>
    <w:rsid w:val="00D95E7A"/>
    <w:rsid w:val="00D9614F"/>
    <w:rsid w:val="00D96423"/>
    <w:rsid w:val="00D969D9"/>
    <w:rsid w:val="00D96DC2"/>
    <w:rsid w:val="00D97AD5"/>
    <w:rsid w:val="00DA1920"/>
    <w:rsid w:val="00DA1B4E"/>
    <w:rsid w:val="00DA1DDA"/>
    <w:rsid w:val="00DA2664"/>
    <w:rsid w:val="00DA2823"/>
    <w:rsid w:val="00DA2F3E"/>
    <w:rsid w:val="00DA3A35"/>
    <w:rsid w:val="00DA4B8F"/>
    <w:rsid w:val="00DA4BFB"/>
    <w:rsid w:val="00DA572E"/>
    <w:rsid w:val="00DA69B8"/>
    <w:rsid w:val="00DA6C96"/>
    <w:rsid w:val="00DA7ED5"/>
    <w:rsid w:val="00DA7FA9"/>
    <w:rsid w:val="00DB0094"/>
    <w:rsid w:val="00DB0FA7"/>
    <w:rsid w:val="00DB15E6"/>
    <w:rsid w:val="00DB19BA"/>
    <w:rsid w:val="00DB22BE"/>
    <w:rsid w:val="00DB2473"/>
    <w:rsid w:val="00DB2938"/>
    <w:rsid w:val="00DB2AFE"/>
    <w:rsid w:val="00DB2C4C"/>
    <w:rsid w:val="00DB2F31"/>
    <w:rsid w:val="00DB32F6"/>
    <w:rsid w:val="00DB3A34"/>
    <w:rsid w:val="00DB3E14"/>
    <w:rsid w:val="00DB4BC0"/>
    <w:rsid w:val="00DB4D1D"/>
    <w:rsid w:val="00DB4F2A"/>
    <w:rsid w:val="00DB54B1"/>
    <w:rsid w:val="00DB62A7"/>
    <w:rsid w:val="00DB648F"/>
    <w:rsid w:val="00DB696C"/>
    <w:rsid w:val="00DB6A26"/>
    <w:rsid w:val="00DB6EE4"/>
    <w:rsid w:val="00DB7729"/>
    <w:rsid w:val="00DB778D"/>
    <w:rsid w:val="00DC06CE"/>
    <w:rsid w:val="00DC0A51"/>
    <w:rsid w:val="00DC103D"/>
    <w:rsid w:val="00DC15A5"/>
    <w:rsid w:val="00DC1871"/>
    <w:rsid w:val="00DC2F46"/>
    <w:rsid w:val="00DC32C0"/>
    <w:rsid w:val="00DC3898"/>
    <w:rsid w:val="00DC4011"/>
    <w:rsid w:val="00DC41C1"/>
    <w:rsid w:val="00DC438A"/>
    <w:rsid w:val="00DC49F7"/>
    <w:rsid w:val="00DC4AB3"/>
    <w:rsid w:val="00DC4BD1"/>
    <w:rsid w:val="00DC4CE8"/>
    <w:rsid w:val="00DC5BF7"/>
    <w:rsid w:val="00DC6882"/>
    <w:rsid w:val="00DC6AB2"/>
    <w:rsid w:val="00DC6F3A"/>
    <w:rsid w:val="00DC7A58"/>
    <w:rsid w:val="00DD0574"/>
    <w:rsid w:val="00DD0D75"/>
    <w:rsid w:val="00DD103F"/>
    <w:rsid w:val="00DD1657"/>
    <w:rsid w:val="00DD1C23"/>
    <w:rsid w:val="00DD1C79"/>
    <w:rsid w:val="00DD209C"/>
    <w:rsid w:val="00DD2884"/>
    <w:rsid w:val="00DD3740"/>
    <w:rsid w:val="00DD3A7A"/>
    <w:rsid w:val="00DD3AFB"/>
    <w:rsid w:val="00DD412C"/>
    <w:rsid w:val="00DD4387"/>
    <w:rsid w:val="00DD4BFE"/>
    <w:rsid w:val="00DD533A"/>
    <w:rsid w:val="00DD5875"/>
    <w:rsid w:val="00DD7082"/>
    <w:rsid w:val="00DD7436"/>
    <w:rsid w:val="00DD7BCA"/>
    <w:rsid w:val="00DD7C60"/>
    <w:rsid w:val="00DE04E6"/>
    <w:rsid w:val="00DE06D2"/>
    <w:rsid w:val="00DE1773"/>
    <w:rsid w:val="00DE1AAF"/>
    <w:rsid w:val="00DE1B7F"/>
    <w:rsid w:val="00DE33BC"/>
    <w:rsid w:val="00DE3557"/>
    <w:rsid w:val="00DE3E62"/>
    <w:rsid w:val="00DE44B8"/>
    <w:rsid w:val="00DE4606"/>
    <w:rsid w:val="00DE5184"/>
    <w:rsid w:val="00DE5CF5"/>
    <w:rsid w:val="00DE61F0"/>
    <w:rsid w:val="00DE62CD"/>
    <w:rsid w:val="00DE70E4"/>
    <w:rsid w:val="00DF0192"/>
    <w:rsid w:val="00DF0DBD"/>
    <w:rsid w:val="00DF0E37"/>
    <w:rsid w:val="00DF1425"/>
    <w:rsid w:val="00DF16F4"/>
    <w:rsid w:val="00DF190D"/>
    <w:rsid w:val="00DF1BBB"/>
    <w:rsid w:val="00DF2631"/>
    <w:rsid w:val="00DF31C7"/>
    <w:rsid w:val="00DF39F7"/>
    <w:rsid w:val="00DF4162"/>
    <w:rsid w:val="00DF4184"/>
    <w:rsid w:val="00DF42B3"/>
    <w:rsid w:val="00DF45F6"/>
    <w:rsid w:val="00DF4A3A"/>
    <w:rsid w:val="00DF51FA"/>
    <w:rsid w:val="00DF595E"/>
    <w:rsid w:val="00DF5AD9"/>
    <w:rsid w:val="00DF6523"/>
    <w:rsid w:val="00DF654B"/>
    <w:rsid w:val="00DF6C93"/>
    <w:rsid w:val="00DF6CBA"/>
    <w:rsid w:val="00DF6D87"/>
    <w:rsid w:val="00DF6FED"/>
    <w:rsid w:val="00DF7273"/>
    <w:rsid w:val="00DF7D82"/>
    <w:rsid w:val="00E0008E"/>
    <w:rsid w:val="00E01393"/>
    <w:rsid w:val="00E01971"/>
    <w:rsid w:val="00E02488"/>
    <w:rsid w:val="00E02A03"/>
    <w:rsid w:val="00E038AC"/>
    <w:rsid w:val="00E03B41"/>
    <w:rsid w:val="00E03D63"/>
    <w:rsid w:val="00E03E85"/>
    <w:rsid w:val="00E04DB3"/>
    <w:rsid w:val="00E05025"/>
    <w:rsid w:val="00E05097"/>
    <w:rsid w:val="00E050E1"/>
    <w:rsid w:val="00E05346"/>
    <w:rsid w:val="00E05A2B"/>
    <w:rsid w:val="00E06922"/>
    <w:rsid w:val="00E0692E"/>
    <w:rsid w:val="00E06A73"/>
    <w:rsid w:val="00E072A4"/>
    <w:rsid w:val="00E0783E"/>
    <w:rsid w:val="00E100A1"/>
    <w:rsid w:val="00E1034C"/>
    <w:rsid w:val="00E106E5"/>
    <w:rsid w:val="00E10D67"/>
    <w:rsid w:val="00E10D9F"/>
    <w:rsid w:val="00E110B4"/>
    <w:rsid w:val="00E116BB"/>
    <w:rsid w:val="00E11C99"/>
    <w:rsid w:val="00E12A5B"/>
    <w:rsid w:val="00E131A5"/>
    <w:rsid w:val="00E13B7A"/>
    <w:rsid w:val="00E144DC"/>
    <w:rsid w:val="00E1468E"/>
    <w:rsid w:val="00E148D7"/>
    <w:rsid w:val="00E14A2E"/>
    <w:rsid w:val="00E150F9"/>
    <w:rsid w:val="00E15990"/>
    <w:rsid w:val="00E15AC8"/>
    <w:rsid w:val="00E163B1"/>
    <w:rsid w:val="00E16C7B"/>
    <w:rsid w:val="00E16EFB"/>
    <w:rsid w:val="00E16F5C"/>
    <w:rsid w:val="00E173FA"/>
    <w:rsid w:val="00E17E8B"/>
    <w:rsid w:val="00E20467"/>
    <w:rsid w:val="00E204FE"/>
    <w:rsid w:val="00E218DD"/>
    <w:rsid w:val="00E221CD"/>
    <w:rsid w:val="00E2288C"/>
    <w:rsid w:val="00E22FAD"/>
    <w:rsid w:val="00E23124"/>
    <w:rsid w:val="00E234B1"/>
    <w:rsid w:val="00E235D3"/>
    <w:rsid w:val="00E23D97"/>
    <w:rsid w:val="00E23E18"/>
    <w:rsid w:val="00E23F66"/>
    <w:rsid w:val="00E24A08"/>
    <w:rsid w:val="00E2525B"/>
    <w:rsid w:val="00E25273"/>
    <w:rsid w:val="00E25865"/>
    <w:rsid w:val="00E25A71"/>
    <w:rsid w:val="00E26AAF"/>
    <w:rsid w:val="00E26C6D"/>
    <w:rsid w:val="00E26F62"/>
    <w:rsid w:val="00E270A5"/>
    <w:rsid w:val="00E27919"/>
    <w:rsid w:val="00E27D9B"/>
    <w:rsid w:val="00E302E7"/>
    <w:rsid w:val="00E30675"/>
    <w:rsid w:val="00E30700"/>
    <w:rsid w:val="00E30AC2"/>
    <w:rsid w:val="00E312D4"/>
    <w:rsid w:val="00E314EC"/>
    <w:rsid w:val="00E31BCD"/>
    <w:rsid w:val="00E32280"/>
    <w:rsid w:val="00E32467"/>
    <w:rsid w:val="00E326C5"/>
    <w:rsid w:val="00E32883"/>
    <w:rsid w:val="00E3299C"/>
    <w:rsid w:val="00E32DB4"/>
    <w:rsid w:val="00E33995"/>
    <w:rsid w:val="00E33F79"/>
    <w:rsid w:val="00E34183"/>
    <w:rsid w:val="00E3483F"/>
    <w:rsid w:val="00E34D0A"/>
    <w:rsid w:val="00E3532F"/>
    <w:rsid w:val="00E354D3"/>
    <w:rsid w:val="00E35566"/>
    <w:rsid w:val="00E35977"/>
    <w:rsid w:val="00E35BCF"/>
    <w:rsid w:val="00E35C1F"/>
    <w:rsid w:val="00E360E2"/>
    <w:rsid w:val="00E36269"/>
    <w:rsid w:val="00E36967"/>
    <w:rsid w:val="00E379B8"/>
    <w:rsid w:val="00E37CE7"/>
    <w:rsid w:val="00E37DB9"/>
    <w:rsid w:val="00E37E0A"/>
    <w:rsid w:val="00E41AD7"/>
    <w:rsid w:val="00E41C5E"/>
    <w:rsid w:val="00E41DB7"/>
    <w:rsid w:val="00E42286"/>
    <w:rsid w:val="00E424E6"/>
    <w:rsid w:val="00E4262C"/>
    <w:rsid w:val="00E42BC5"/>
    <w:rsid w:val="00E42C4A"/>
    <w:rsid w:val="00E433D5"/>
    <w:rsid w:val="00E43629"/>
    <w:rsid w:val="00E43BBA"/>
    <w:rsid w:val="00E43D9D"/>
    <w:rsid w:val="00E44BFC"/>
    <w:rsid w:val="00E44E79"/>
    <w:rsid w:val="00E4515D"/>
    <w:rsid w:val="00E4551D"/>
    <w:rsid w:val="00E460E9"/>
    <w:rsid w:val="00E46567"/>
    <w:rsid w:val="00E46853"/>
    <w:rsid w:val="00E46B4D"/>
    <w:rsid w:val="00E50277"/>
    <w:rsid w:val="00E50481"/>
    <w:rsid w:val="00E50692"/>
    <w:rsid w:val="00E5125D"/>
    <w:rsid w:val="00E51572"/>
    <w:rsid w:val="00E516D3"/>
    <w:rsid w:val="00E51800"/>
    <w:rsid w:val="00E51850"/>
    <w:rsid w:val="00E51A94"/>
    <w:rsid w:val="00E51D7C"/>
    <w:rsid w:val="00E51F73"/>
    <w:rsid w:val="00E51FF7"/>
    <w:rsid w:val="00E521E2"/>
    <w:rsid w:val="00E5235C"/>
    <w:rsid w:val="00E528B1"/>
    <w:rsid w:val="00E53066"/>
    <w:rsid w:val="00E550DE"/>
    <w:rsid w:val="00E5574C"/>
    <w:rsid w:val="00E55975"/>
    <w:rsid w:val="00E559EC"/>
    <w:rsid w:val="00E55B30"/>
    <w:rsid w:val="00E55FF5"/>
    <w:rsid w:val="00E570F0"/>
    <w:rsid w:val="00E571A6"/>
    <w:rsid w:val="00E5744C"/>
    <w:rsid w:val="00E57605"/>
    <w:rsid w:val="00E57892"/>
    <w:rsid w:val="00E605D5"/>
    <w:rsid w:val="00E60C14"/>
    <w:rsid w:val="00E612BB"/>
    <w:rsid w:val="00E61315"/>
    <w:rsid w:val="00E6207A"/>
    <w:rsid w:val="00E620BF"/>
    <w:rsid w:val="00E6288F"/>
    <w:rsid w:val="00E63451"/>
    <w:rsid w:val="00E63D3F"/>
    <w:rsid w:val="00E63DFC"/>
    <w:rsid w:val="00E640E0"/>
    <w:rsid w:val="00E6427C"/>
    <w:rsid w:val="00E649D5"/>
    <w:rsid w:val="00E6566A"/>
    <w:rsid w:val="00E66DE0"/>
    <w:rsid w:val="00E66DEA"/>
    <w:rsid w:val="00E66FEF"/>
    <w:rsid w:val="00E67699"/>
    <w:rsid w:val="00E67758"/>
    <w:rsid w:val="00E703FB"/>
    <w:rsid w:val="00E7054E"/>
    <w:rsid w:val="00E70674"/>
    <w:rsid w:val="00E70697"/>
    <w:rsid w:val="00E72A89"/>
    <w:rsid w:val="00E742C7"/>
    <w:rsid w:val="00E743BE"/>
    <w:rsid w:val="00E745FC"/>
    <w:rsid w:val="00E746A4"/>
    <w:rsid w:val="00E7474B"/>
    <w:rsid w:val="00E74CE3"/>
    <w:rsid w:val="00E754D7"/>
    <w:rsid w:val="00E7580A"/>
    <w:rsid w:val="00E75875"/>
    <w:rsid w:val="00E76335"/>
    <w:rsid w:val="00E76492"/>
    <w:rsid w:val="00E76643"/>
    <w:rsid w:val="00E76814"/>
    <w:rsid w:val="00E76ECE"/>
    <w:rsid w:val="00E771A6"/>
    <w:rsid w:val="00E778DB"/>
    <w:rsid w:val="00E77CD6"/>
    <w:rsid w:val="00E77E7E"/>
    <w:rsid w:val="00E77FEA"/>
    <w:rsid w:val="00E80539"/>
    <w:rsid w:val="00E8064B"/>
    <w:rsid w:val="00E80998"/>
    <w:rsid w:val="00E80BDA"/>
    <w:rsid w:val="00E81638"/>
    <w:rsid w:val="00E819B2"/>
    <w:rsid w:val="00E819B4"/>
    <w:rsid w:val="00E825ED"/>
    <w:rsid w:val="00E82887"/>
    <w:rsid w:val="00E83392"/>
    <w:rsid w:val="00E83607"/>
    <w:rsid w:val="00E847F6"/>
    <w:rsid w:val="00E84A39"/>
    <w:rsid w:val="00E84B90"/>
    <w:rsid w:val="00E84C44"/>
    <w:rsid w:val="00E84C4E"/>
    <w:rsid w:val="00E84D16"/>
    <w:rsid w:val="00E84F41"/>
    <w:rsid w:val="00E84F5A"/>
    <w:rsid w:val="00E85063"/>
    <w:rsid w:val="00E85210"/>
    <w:rsid w:val="00E85361"/>
    <w:rsid w:val="00E85714"/>
    <w:rsid w:val="00E85C3E"/>
    <w:rsid w:val="00E85E19"/>
    <w:rsid w:val="00E86E44"/>
    <w:rsid w:val="00E86EA7"/>
    <w:rsid w:val="00E86F0D"/>
    <w:rsid w:val="00E87AC6"/>
    <w:rsid w:val="00E87BF4"/>
    <w:rsid w:val="00E87C0F"/>
    <w:rsid w:val="00E90487"/>
    <w:rsid w:val="00E90F0D"/>
    <w:rsid w:val="00E911C9"/>
    <w:rsid w:val="00E9175C"/>
    <w:rsid w:val="00E91810"/>
    <w:rsid w:val="00E91EE8"/>
    <w:rsid w:val="00E92F1F"/>
    <w:rsid w:val="00E93807"/>
    <w:rsid w:val="00E944C8"/>
    <w:rsid w:val="00E94748"/>
    <w:rsid w:val="00E95004"/>
    <w:rsid w:val="00E950FA"/>
    <w:rsid w:val="00E9522F"/>
    <w:rsid w:val="00E952AF"/>
    <w:rsid w:val="00E95F5E"/>
    <w:rsid w:val="00E962A0"/>
    <w:rsid w:val="00E966ED"/>
    <w:rsid w:val="00E96FFB"/>
    <w:rsid w:val="00E97162"/>
    <w:rsid w:val="00E9763C"/>
    <w:rsid w:val="00EA09A8"/>
    <w:rsid w:val="00EA0EB6"/>
    <w:rsid w:val="00EA1170"/>
    <w:rsid w:val="00EA1174"/>
    <w:rsid w:val="00EA133A"/>
    <w:rsid w:val="00EA162B"/>
    <w:rsid w:val="00EA181D"/>
    <w:rsid w:val="00EA1BFB"/>
    <w:rsid w:val="00EA2339"/>
    <w:rsid w:val="00EA2725"/>
    <w:rsid w:val="00EA32C4"/>
    <w:rsid w:val="00EA36CE"/>
    <w:rsid w:val="00EA3C20"/>
    <w:rsid w:val="00EA3E8B"/>
    <w:rsid w:val="00EA4150"/>
    <w:rsid w:val="00EA41F1"/>
    <w:rsid w:val="00EA4229"/>
    <w:rsid w:val="00EA42D9"/>
    <w:rsid w:val="00EA4929"/>
    <w:rsid w:val="00EA4A33"/>
    <w:rsid w:val="00EA4E32"/>
    <w:rsid w:val="00EA51C3"/>
    <w:rsid w:val="00EA54E4"/>
    <w:rsid w:val="00EA58E9"/>
    <w:rsid w:val="00EA5AEE"/>
    <w:rsid w:val="00EA5D60"/>
    <w:rsid w:val="00EA6168"/>
    <w:rsid w:val="00EA7383"/>
    <w:rsid w:val="00EA74CF"/>
    <w:rsid w:val="00EA7E50"/>
    <w:rsid w:val="00EA7FA8"/>
    <w:rsid w:val="00EB0321"/>
    <w:rsid w:val="00EB061F"/>
    <w:rsid w:val="00EB0A1D"/>
    <w:rsid w:val="00EB0F21"/>
    <w:rsid w:val="00EB17B4"/>
    <w:rsid w:val="00EB1A43"/>
    <w:rsid w:val="00EB23A3"/>
    <w:rsid w:val="00EB2EED"/>
    <w:rsid w:val="00EB3695"/>
    <w:rsid w:val="00EB37D8"/>
    <w:rsid w:val="00EB3B64"/>
    <w:rsid w:val="00EB3B69"/>
    <w:rsid w:val="00EB3C3D"/>
    <w:rsid w:val="00EB4630"/>
    <w:rsid w:val="00EB490E"/>
    <w:rsid w:val="00EB49DB"/>
    <w:rsid w:val="00EB4A4E"/>
    <w:rsid w:val="00EB6497"/>
    <w:rsid w:val="00EB7209"/>
    <w:rsid w:val="00EB7C5D"/>
    <w:rsid w:val="00EB7EF0"/>
    <w:rsid w:val="00EB7F24"/>
    <w:rsid w:val="00EC099A"/>
    <w:rsid w:val="00EC0C89"/>
    <w:rsid w:val="00EC33AB"/>
    <w:rsid w:val="00EC33CD"/>
    <w:rsid w:val="00EC349E"/>
    <w:rsid w:val="00EC36B3"/>
    <w:rsid w:val="00EC4773"/>
    <w:rsid w:val="00EC50BF"/>
    <w:rsid w:val="00EC5A48"/>
    <w:rsid w:val="00EC6144"/>
    <w:rsid w:val="00EC66DD"/>
    <w:rsid w:val="00EC743A"/>
    <w:rsid w:val="00EC7D07"/>
    <w:rsid w:val="00ED050D"/>
    <w:rsid w:val="00ED11AE"/>
    <w:rsid w:val="00ED2040"/>
    <w:rsid w:val="00ED2547"/>
    <w:rsid w:val="00ED2572"/>
    <w:rsid w:val="00ED363E"/>
    <w:rsid w:val="00ED3AB5"/>
    <w:rsid w:val="00ED3BCD"/>
    <w:rsid w:val="00ED3CAF"/>
    <w:rsid w:val="00ED3D43"/>
    <w:rsid w:val="00ED3FB6"/>
    <w:rsid w:val="00ED4057"/>
    <w:rsid w:val="00ED4C0B"/>
    <w:rsid w:val="00ED6007"/>
    <w:rsid w:val="00ED6BE1"/>
    <w:rsid w:val="00ED720A"/>
    <w:rsid w:val="00ED7441"/>
    <w:rsid w:val="00EE065A"/>
    <w:rsid w:val="00EE0751"/>
    <w:rsid w:val="00EE09BC"/>
    <w:rsid w:val="00EE09BF"/>
    <w:rsid w:val="00EE0EB6"/>
    <w:rsid w:val="00EE181A"/>
    <w:rsid w:val="00EE19C2"/>
    <w:rsid w:val="00EE1A48"/>
    <w:rsid w:val="00EE212B"/>
    <w:rsid w:val="00EE2307"/>
    <w:rsid w:val="00EE2468"/>
    <w:rsid w:val="00EE2DD2"/>
    <w:rsid w:val="00EE3393"/>
    <w:rsid w:val="00EE3764"/>
    <w:rsid w:val="00EE3967"/>
    <w:rsid w:val="00EE40F2"/>
    <w:rsid w:val="00EE45FA"/>
    <w:rsid w:val="00EE4B02"/>
    <w:rsid w:val="00EE5508"/>
    <w:rsid w:val="00EE58E9"/>
    <w:rsid w:val="00EE5AB3"/>
    <w:rsid w:val="00EE677C"/>
    <w:rsid w:val="00EE6AEB"/>
    <w:rsid w:val="00EE7BFD"/>
    <w:rsid w:val="00EF03AC"/>
    <w:rsid w:val="00EF1157"/>
    <w:rsid w:val="00EF29B9"/>
    <w:rsid w:val="00EF2A79"/>
    <w:rsid w:val="00EF2CAD"/>
    <w:rsid w:val="00EF4097"/>
    <w:rsid w:val="00EF4298"/>
    <w:rsid w:val="00EF42C9"/>
    <w:rsid w:val="00EF47A5"/>
    <w:rsid w:val="00EF4BB3"/>
    <w:rsid w:val="00EF54D7"/>
    <w:rsid w:val="00EF5E13"/>
    <w:rsid w:val="00EF6099"/>
    <w:rsid w:val="00EF63A0"/>
    <w:rsid w:val="00EF67D6"/>
    <w:rsid w:val="00EF72CF"/>
    <w:rsid w:val="00EF764D"/>
    <w:rsid w:val="00EF7846"/>
    <w:rsid w:val="00EF7C46"/>
    <w:rsid w:val="00EF7DCB"/>
    <w:rsid w:val="00F00578"/>
    <w:rsid w:val="00F01051"/>
    <w:rsid w:val="00F01A08"/>
    <w:rsid w:val="00F01BD9"/>
    <w:rsid w:val="00F01C28"/>
    <w:rsid w:val="00F01E79"/>
    <w:rsid w:val="00F028BB"/>
    <w:rsid w:val="00F02943"/>
    <w:rsid w:val="00F02CC3"/>
    <w:rsid w:val="00F02D5A"/>
    <w:rsid w:val="00F046C1"/>
    <w:rsid w:val="00F04DDC"/>
    <w:rsid w:val="00F05860"/>
    <w:rsid w:val="00F05A65"/>
    <w:rsid w:val="00F05CEB"/>
    <w:rsid w:val="00F05ED4"/>
    <w:rsid w:val="00F0645C"/>
    <w:rsid w:val="00F06844"/>
    <w:rsid w:val="00F068AD"/>
    <w:rsid w:val="00F06DE6"/>
    <w:rsid w:val="00F06EC6"/>
    <w:rsid w:val="00F070D4"/>
    <w:rsid w:val="00F07734"/>
    <w:rsid w:val="00F10B10"/>
    <w:rsid w:val="00F11A43"/>
    <w:rsid w:val="00F120CD"/>
    <w:rsid w:val="00F12237"/>
    <w:rsid w:val="00F12C4A"/>
    <w:rsid w:val="00F12FB6"/>
    <w:rsid w:val="00F13AB8"/>
    <w:rsid w:val="00F142A8"/>
    <w:rsid w:val="00F14316"/>
    <w:rsid w:val="00F143AC"/>
    <w:rsid w:val="00F148F7"/>
    <w:rsid w:val="00F15101"/>
    <w:rsid w:val="00F152EB"/>
    <w:rsid w:val="00F15FBE"/>
    <w:rsid w:val="00F1757C"/>
    <w:rsid w:val="00F1762E"/>
    <w:rsid w:val="00F17DE8"/>
    <w:rsid w:val="00F17EFA"/>
    <w:rsid w:val="00F20ED6"/>
    <w:rsid w:val="00F21868"/>
    <w:rsid w:val="00F22833"/>
    <w:rsid w:val="00F22B25"/>
    <w:rsid w:val="00F22C29"/>
    <w:rsid w:val="00F247AE"/>
    <w:rsid w:val="00F24D43"/>
    <w:rsid w:val="00F2534C"/>
    <w:rsid w:val="00F2587B"/>
    <w:rsid w:val="00F25C79"/>
    <w:rsid w:val="00F26DAE"/>
    <w:rsid w:val="00F27463"/>
    <w:rsid w:val="00F303BC"/>
    <w:rsid w:val="00F305FF"/>
    <w:rsid w:val="00F30A6A"/>
    <w:rsid w:val="00F30BC6"/>
    <w:rsid w:val="00F31193"/>
    <w:rsid w:val="00F31EF9"/>
    <w:rsid w:val="00F32C32"/>
    <w:rsid w:val="00F333B8"/>
    <w:rsid w:val="00F334F7"/>
    <w:rsid w:val="00F334FE"/>
    <w:rsid w:val="00F340BF"/>
    <w:rsid w:val="00F344E6"/>
    <w:rsid w:val="00F34B6A"/>
    <w:rsid w:val="00F34E91"/>
    <w:rsid w:val="00F35B25"/>
    <w:rsid w:val="00F35EA5"/>
    <w:rsid w:val="00F36018"/>
    <w:rsid w:val="00F36398"/>
    <w:rsid w:val="00F363BC"/>
    <w:rsid w:val="00F363E8"/>
    <w:rsid w:val="00F36692"/>
    <w:rsid w:val="00F37382"/>
    <w:rsid w:val="00F37AB7"/>
    <w:rsid w:val="00F37D4E"/>
    <w:rsid w:val="00F406E4"/>
    <w:rsid w:val="00F40EF0"/>
    <w:rsid w:val="00F41E85"/>
    <w:rsid w:val="00F41F56"/>
    <w:rsid w:val="00F42641"/>
    <w:rsid w:val="00F430AF"/>
    <w:rsid w:val="00F430FF"/>
    <w:rsid w:val="00F4352C"/>
    <w:rsid w:val="00F43632"/>
    <w:rsid w:val="00F43A63"/>
    <w:rsid w:val="00F45D92"/>
    <w:rsid w:val="00F45EE0"/>
    <w:rsid w:val="00F4686F"/>
    <w:rsid w:val="00F46B05"/>
    <w:rsid w:val="00F47522"/>
    <w:rsid w:val="00F4771E"/>
    <w:rsid w:val="00F47B04"/>
    <w:rsid w:val="00F47B8A"/>
    <w:rsid w:val="00F47E7E"/>
    <w:rsid w:val="00F50EF0"/>
    <w:rsid w:val="00F512B4"/>
    <w:rsid w:val="00F51365"/>
    <w:rsid w:val="00F51392"/>
    <w:rsid w:val="00F517B8"/>
    <w:rsid w:val="00F51986"/>
    <w:rsid w:val="00F51ADC"/>
    <w:rsid w:val="00F52407"/>
    <w:rsid w:val="00F53569"/>
    <w:rsid w:val="00F53971"/>
    <w:rsid w:val="00F54022"/>
    <w:rsid w:val="00F54494"/>
    <w:rsid w:val="00F5507F"/>
    <w:rsid w:val="00F5628B"/>
    <w:rsid w:val="00F5736D"/>
    <w:rsid w:val="00F57FEB"/>
    <w:rsid w:val="00F601E3"/>
    <w:rsid w:val="00F602DF"/>
    <w:rsid w:val="00F6070E"/>
    <w:rsid w:val="00F60C68"/>
    <w:rsid w:val="00F6261D"/>
    <w:rsid w:val="00F629CF"/>
    <w:rsid w:val="00F62A14"/>
    <w:rsid w:val="00F62E15"/>
    <w:rsid w:val="00F6315C"/>
    <w:rsid w:val="00F634E6"/>
    <w:rsid w:val="00F63AE5"/>
    <w:rsid w:val="00F6414C"/>
    <w:rsid w:val="00F642BE"/>
    <w:rsid w:val="00F6498F"/>
    <w:rsid w:val="00F64B00"/>
    <w:rsid w:val="00F64EFA"/>
    <w:rsid w:val="00F64F4E"/>
    <w:rsid w:val="00F66088"/>
    <w:rsid w:val="00F66282"/>
    <w:rsid w:val="00F6685D"/>
    <w:rsid w:val="00F669BD"/>
    <w:rsid w:val="00F66B38"/>
    <w:rsid w:val="00F66D19"/>
    <w:rsid w:val="00F673B1"/>
    <w:rsid w:val="00F67766"/>
    <w:rsid w:val="00F67771"/>
    <w:rsid w:val="00F67EEE"/>
    <w:rsid w:val="00F70418"/>
    <w:rsid w:val="00F7112A"/>
    <w:rsid w:val="00F71179"/>
    <w:rsid w:val="00F718D9"/>
    <w:rsid w:val="00F71E71"/>
    <w:rsid w:val="00F72231"/>
    <w:rsid w:val="00F72EBE"/>
    <w:rsid w:val="00F734F3"/>
    <w:rsid w:val="00F734FB"/>
    <w:rsid w:val="00F73612"/>
    <w:rsid w:val="00F73CD7"/>
    <w:rsid w:val="00F73D2A"/>
    <w:rsid w:val="00F73D63"/>
    <w:rsid w:val="00F74582"/>
    <w:rsid w:val="00F746CD"/>
    <w:rsid w:val="00F74F4D"/>
    <w:rsid w:val="00F75287"/>
    <w:rsid w:val="00F75524"/>
    <w:rsid w:val="00F76B5B"/>
    <w:rsid w:val="00F76D2C"/>
    <w:rsid w:val="00F76E4D"/>
    <w:rsid w:val="00F770BD"/>
    <w:rsid w:val="00F7764A"/>
    <w:rsid w:val="00F77774"/>
    <w:rsid w:val="00F77B1F"/>
    <w:rsid w:val="00F80AC6"/>
    <w:rsid w:val="00F80DF8"/>
    <w:rsid w:val="00F81486"/>
    <w:rsid w:val="00F81808"/>
    <w:rsid w:val="00F81BF1"/>
    <w:rsid w:val="00F823DA"/>
    <w:rsid w:val="00F824B4"/>
    <w:rsid w:val="00F828B8"/>
    <w:rsid w:val="00F82979"/>
    <w:rsid w:val="00F82BF3"/>
    <w:rsid w:val="00F82D35"/>
    <w:rsid w:val="00F82F7F"/>
    <w:rsid w:val="00F835D6"/>
    <w:rsid w:val="00F84586"/>
    <w:rsid w:val="00F845D5"/>
    <w:rsid w:val="00F845E1"/>
    <w:rsid w:val="00F84AB3"/>
    <w:rsid w:val="00F84E39"/>
    <w:rsid w:val="00F85576"/>
    <w:rsid w:val="00F858A4"/>
    <w:rsid w:val="00F85CB6"/>
    <w:rsid w:val="00F86ABA"/>
    <w:rsid w:val="00F86D69"/>
    <w:rsid w:val="00F87549"/>
    <w:rsid w:val="00F87914"/>
    <w:rsid w:val="00F87DCB"/>
    <w:rsid w:val="00F900CE"/>
    <w:rsid w:val="00F902A6"/>
    <w:rsid w:val="00F90550"/>
    <w:rsid w:val="00F905E3"/>
    <w:rsid w:val="00F907BA"/>
    <w:rsid w:val="00F90CB0"/>
    <w:rsid w:val="00F913B3"/>
    <w:rsid w:val="00F91FD6"/>
    <w:rsid w:val="00F929E2"/>
    <w:rsid w:val="00F92C09"/>
    <w:rsid w:val="00F9306F"/>
    <w:rsid w:val="00F930F5"/>
    <w:rsid w:val="00F93691"/>
    <w:rsid w:val="00F9408F"/>
    <w:rsid w:val="00F942C6"/>
    <w:rsid w:val="00F94713"/>
    <w:rsid w:val="00F9481E"/>
    <w:rsid w:val="00F94FD7"/>
    <w:rsid w:val="00F9533F"/>
    <w:rsid w:val="00F9542E"/>
    <w:rsid w:val="00F95A43"/>
    <w:rsid w:val="00F96087"/>
    <w:rsid w:val="00F9628C"/>
    <w:rsid w:val="00F96937"/>
    <w:rsid w:val="00F96D0C"/>
    <w:rsid w:val="00F96F61"/>
    <w:rsid w:val="00F970A7"/>
    <w:rsid w:val="00F97332"/>
    <w:rsid w:val="00FA0C2F"/>
    <w:rsid w:val="00FA1367"/>
    <w:rsid w:val="00FA14CE"/>
    <w:rsid w:val="00FA1C18"/>
    <w:rsid w:val="00FA1E59"/>
    <w:rsid w:val="00FA1F3E"/>
    <w:rsid w:val="00FA24D6"/>
    <w:rsid w:val="00FA2814"/>
    <w:rsid w:val="00FA2C76"/>
    <w:rsid w:val="00FA2F3E"/>
    <w:rsid w:val="00FA33CA"/>
    <w:rsid w:val="00FA346A"/>
    <w:rsid w:val="00FA3490"/>
    <w:rsid w:val="00FA44D7"/>
    <w:rsid w:val="00FA4897"/>
    <w:rsid w:val="00FA4A4D"/>
    <w:rsid w:val="00FA5495"/>
    <w:rsid w:val="00FA54E3"/>
    <w:rsid w:val="00FA56CD"/>
    <w:rsid w:val="00FA5735"/>
    <w:rsid w:val="00FA5878"/>
    <w:rsid w:val="00FA5FFA"/>
    <w:rsid w:val="00FA6188"/>
    <w:rsid w:val="00FA65E7"/>
    <w:rsid w:val="00FA6DDA"/>
    <w:rsid w:val="00FA71EF"/>
    <w:rsid w:val="00FA729E"/>
    <w:rsid w:val="00FA75F8"/>
    <w:rsid w:val="00FA76BA"/>
    <w:rsid w:val="00FA76F4"/>
    <w:rsid w:val="00FA7954"/>
    <w:rsid w:val="00FA79AB"/>
    <w:rsid w:val="00FB01C6"/>
    <w:rsid w:val="00FB046E"/>
    <w:rsid w:val="00FB0E17"/>
    <w:rsid w:val="00FB121E"/>
    <w:rsid w:val="00FB1C97"/>
    <w:rsid w:val="00FB249B"/>
    <w:rsid w:val="00FB2F81"/>
    <w:rsid w:val="00FB38E3"/>
    <w:rsid w:val="00FB4737"/>
    <w:rsid w:val="00FB4BCA"/>
    <w:rsid w:val="00FB53EB"/>
    <w:rsid w:val="00FB6870"/>
    <w:rsid w:val="00FB6942"/>
    <w:rsid w:val="00FB732B"/>
    <w:rsid w:val="00FB7425"/>
    <w:rsid w:val="00FB747F"/>
    <w:rsid w:val="00FB7874"/>
    <w:rsid w:val="00FB7DE3"/>
    <w:rsid w:val="00FC0104"/>
    <w:rsid w:val="00FC12BB"/>
    <w:rsid w:val="00FC2112"/>
    <w:rsid w:val="00FC24F2"/>
    <w:rsid w:val="00FC27CA"/>
    <w:rsid w:val="00FC3412"/>
    <w:rsid w:val="00FC34E7"/>
    <w:rsid w:val="00FC40F3"/>
    <w:rsid w:val="00FC4312"/>
    <w:rsid w:val="00FC43B6"/>
    <w:rsid w:val="00FC4445"/>
    <w:rsid w:val="00FC4775"/>
    <w:rsid w:val="00FC479E"/>
    <w:rsid w:val="00FC4F8C"/>
    <w:rsid w:val="00FC565A"/>
    <w:rsid w:val="00FC576A"/>
    <w:rsid w:val="00FC5DB0"/>
    <w:rsid w:val="00FC607B"/>
    <w:rsid w:val="00FC67A4"/>
    <w:rsid w:val="00FC6AA9"/>
    <w:rsid w:val="00FC6CF6"/>
    <w:rsid w:val="00FC6E4C"/>
    <w:rsid w:val="00FC7414"/>
    <w:rsid w:val="00FD045A"/>
    <w:rsid w:val="00FD1B28"/>
    <w:rsid w:val="00FD23E3"/>
    <w:rsid w:val="00FD30D0"/>
    <w:rsid w:val="00FD326F"/>
    <w:rsid w:val="00FD35D9"/>
    <w:rsid w:val="00FD38C8"/>
    <w:rsid w:val="00FD3B02"/>
    <w:rsid w:val="00FD3D90"/>
    <w:rsid w:val="00FD42B4"/>
    <w:rsid w:val="00FD56B3"/>
    <w:rsid w:val="00FD64B1"/>
    <w:rsid w:val="00FD6534"/>
    <w:rsid w:val="00FD6915"/>
    <w:rsid w:val="00FD6BF0"/>
    <w:rsid w:val="00FD7C93"/>
    <w:rsid w:val="00FD7EB5"/>
    <w:rsid w:val="00FD7FFB"/>
    <w:rsid w:val="00FE0C83"/>
    <w:rsid w:val="00FE0D23"/>
    <w:rsid w:val="00FE10EE"/>
    <w:rsid w:val="00FE1294"/>
    <w:rsid w:val="00FE1C34"/>
    <w:rsid w:val="00FE2021"/>
    <w:rsid w:val="00FE2060"/>
    <w:rsid w:val="00FE24F3"/>
    <w:rsid w:val="00FE26C4"/>
    <w:rsid w:val="00FE2DED"/>
    <w:rsid w:val="00FE3048"/>
    <w:rsid w:val="00FE355A"/>
    <w:rsid w:val="00FE3B4E"/>
    <w:rsid w:val="00FE3C85"/>
    <w:rsid w:val="00FE3D92"/>
    <w:rsid w:val="00FE3E93"/>
    <w:rsid w:val="00FE4CB8"/>
    <w:rsid w:val="00FE4CE5"/>
    <w:rsid w:val="00FE4E08"/>
    <w:rsid w:val="00FE55D2"/>
    <w:rsid w:val="00FE5A1E"/>
    <w:rsid w:val="00FE5AAA"/>
    <w:rsid w:val="00FE5C43"/>
    <w:rsid w:val="00FE5CA5"/>
    <w:rsid w:val="00FE65AD"/>
    <w:rsid w:val="00FE681C"/>
    <w:rsid w:val="00FE6FF1"/>
    <w:rsid w:val="00FE70D5"/>
    <w:rsid w:val="00FE720C"/>
    <w:rsid w:val="00FE7405"/>
    <w:rsid w:val="00FE7572"/>
    <w:rsid w:val="00FE75DF"/>
    <w:rsid w:val="00FE7ADB"/>
    <w:rsid w:val="00FF04CD"/>
    <w:rsid w:val="00FF09F2"/>
    <w:rsid w:val="00FF0B7E"/>
    <w:rsid w:val="00FF180F"/>
    <w:rsid w:val="00FF188D"/>
    <w:rsid w:val="00FF1CD1"/>
    <w:rsid w:val="00FF1F2E"/>
    <w:rsid w:val="00FF200D"/>
    <w:rsid w:val="00FF2863"/>
    <w:rsid w:val="00FF2967"/>
    <w:rsid w:val="00FF3461"/>
    <w:rsid w:val="00FF3C9C"/>
    <w:rsid w:val="00FF3E2F"/>
    <w:rsid w:val="00FF42D5"/>
    <w:rsid w:val="00FF4684"/>
    <w:rsid w:val="00FF4932"/>
    <w:rsid w:val="00FF4DBB"/>
    <w:rsid w:val="00FF4F9E"/>
    <w:rsid w:val="00FF50D0"/>
    <w:rsid w:val="00FF50DA"/>
    <w:rsid w:val="00FF5470"/>
    <w:rsid w:val="00FF6055"/>
    <w:rsid w:val="00FF62BF"/>
    <w:rsid w:val="00FF6596"/>
    <w:rsid w:val="00FF6597"/>
    <w:rsid w:val="00FF67D8"/>
    <w:rsid w:val="00FF6DB4"/>
    <w:rsid w:val="00FF7B0D"/>
    <w:rsid w:val="00FF7B5E"/>
    <w:rsid w:val="0122445A"/>
    <w:rsid w:val="01391416"/>
    <w:rsid w:val="02A18608"/>
    <w:rsid w:val="04BABDA1"/>
    <w:rsid w:val="0DAED830"/>
    <w:rsid w:val="0E25E0D3"/>
    <w:rsid w:val="1115C98A"/>
    <w:rsid w:val="15D7F37A"/>
    <w:rsid w:val="1D005EF7"/>
    <w:rsid w:val="21C78CA8"/>
    <w:rsid w:val="23EC23BE"/>
    <w:rsid w:val="2407D86A"/>
    <w:rsid w:val="296D03A0"/>
    <w:rsid w:val="29DB17F8"/>
    <w:rsid w:val="2DDBF7DD"/>
    <w:rsid w:val="362F275C"/>
    <w:rsid w:val="38A387F3"/>
    <w:rsid w:val="3BBA7C4E"/>
    <w:rsid w:val="44D63BEA"/>
    <w:rsid w:val="44E6E1C0"/>
    <w:rsid w:val="4A0AF71E"/>
    <w:rsid w:val="4A854A99"/>
    <w:rsid w:val="51006520"/>
    <w:rsid w:val="57934481"/>
    <w:rsid w:val="57E46D33"/>
    <w:rsid w:val="5C93C4C7"/>
    <w:rsid w:val="5E9F9188"/>
    <w:rsid w:val="5EC6DF4E"/>
    <w:rsid w:val="65A3DA28"/>
    <w:rsid w:val="69FD2C01"/>
    <w:rsid w:val="6BB0A020"/>
    <w:rsid w:val="6FDD60C1"/>
    <w:rsid w:val="72FAAA95"/>
    <w:rsid w:val="73D5DE1F"/>
    <w:rsid w:val="74A6CEF7"/>
    <w:rsid w:val="774063FD"/>
    <w:rsid w:val="7B94682E"/>
    <w:rsid w:val="7CDC0B8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19"/>
    <w:pPr>
      <w:spacing w:line="240" w:lineRule="auto"/>
    </w:pPr>
    <w:rPr>
      <w:rFonts w:ascii="Arial" w:eastAsia="Calibri" w:hAnsi="Arial" w:cs="Times New Roman"/>
      <w:sz w:val="24"/>
      <w:szCs w:val="24"/>
      <w:lang w:val="en-AU" w:eastAsia="zh-CN"/>
    </w:rPr>
  </w:style>
  <w:style w:type="paragraph" w:styleId="Heading1">
    <w:name w:val="heading 1"/>
    <w:basedOn w:val="Normal"/>
    <w:next w:val="Normal"/>
    <w:link w:val="Heading1Char"/>
    <w:autoRedefine/>
    <w:uiPriority w:val="9"/>
    <w:qFormat/>
    <w:rsid w:val="00830706"/>
    <w:pPr>
      <w:keepNext/>
      <w:keepLines/>
      <w:spacing w:before="240"/>
      <w:outlineLvl w:val="0"/>
    </w:pPr>
    <w:rPr>
      <w:rFonts w:eastAsiaTheme="majorEastAsia" w:cstheme="majorBidi"/>
      <w:b/>
      <w:color w:val="497594"/>
      <w:sz w:val="44"/>
      <w:szCs w:val="32"/>
    </w:rPr>
  </w:style>
  <w:style w:type="paragraph" w:styleId="Heading2">
    <w:name w:val="heading 2"/>
    <w:basedOn w:val="Normal"/>
    <w:next w:val="Normal"/>
    <w:link w:val="Heading2Char"/>
    <w:autoRedefine/>
    <w:uiPriority w:val="9"/>
    <w:unhideWhenUsed/>
    <w:qFormat/>
    <w:rsid w:val="00391D50"/>
    <w:pPr>
      <w:keepNext/>
      <w:keepLines/>
      <w:spacing w:before="240" w:after="120" w:line="276" w:lineRule="auto"/>
      <w:outlineLvl w:val="1"/>
    </w:pPr>
    <w:rPr>
      <w:rFonts w:eastAsiaTheme="majorEastAsia" w:cstheme="majorBidi"/>
      <w:b/>
      <w:color w:val="6EBB1E"/>
      <w:sz w:val="36"/>
      <w:szCs w:val="26"/>
    </w:rPr>
  </w:style>
  <w:style w:type="paragraph" w:styleId="Heading3">
    <w:name w:val="heading 3"/>
    <w:basedOn w:val="Normal"/>
    <w:next w:val="Normal"/>
    <w:link w:val="Heading3Char"/>
    <w:autoRedefine/>
    <w:uiPriority w:val="9"/>
    <w:unhideWhenUsed/>
    <w:qFormat/>
    <w:rsid w:val="00830706"/>
    <w:pPr>
      <w:keepNext/>
      <w:keepLines/>
      <w:spacing w:before="240" w:after="120" w:line="276" w:lineRule="auto"/>
      <w:outlineLvl w:val="2"/>
    </w:pPr>
    <w:rPr>
      <w:rFonts w:eastAsiaTheme="majorEastAsia" w:cs="Arial"/>
      <w:b/>
      <w:color w:val="497594"/>
      <w:sz w:val="28"/>
    </w:rPr>
  </w:style>
  <w:style w:type="paragraph" w:styleId="Heading4">
    <w:name w:val="heading 4"/>
    <w:basedOn w:val="Normal"/>
    <w:next w:val="Normal"/>
    <w:link w:val="Heading4Char"/>
    <w:autoRedefine/>
    <w:uiPriority w:val="9"/>
    <w:unhideWhenUsed/>
    <w:qFormat/>
    <w:rsid w:val="00C70B19"/>
    <w:pPr>
      <w:keepNext/>
      <w:keepLines/>
      <w:spacing w:before="120" w:after="120" w:line="276" w:lineRule="auto"/>
      <w:ind w:left="720"/>
      <w:jc w:val="both"/>
      <w:outlineLvl w:val="3"/>
    </w:pPr>
    <w:rPr>
      <w:rFonts w:eastAsiaTheme="majorEastAsia" w:cstheme="majorBidi"/>
      <w:b/>
      <w:iCs/>
      <w:color w:val="4975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706"/>
    <w:rPr>
      <w:rFonts w:ascii="Arial" w:eastAsiaTheme="majorEastAsia" w:hAnsi="Arial" w:cstheme="majorBidi"/>
      <w:b/>
      <w:color w:val="497594"/>
      <w:sz w:val="44"/>
      <w:szCs w:val="32"/>
      <w:lang w:val="en-AU" w:eastAsia="zh-CN"/>
    </w:rPr>
  </w:style>
  <w:style w:type="paragraph" w:styleId="ListParagraph">
    <w:name w:val="List Paragraph"/>
    <w:basedOn w:val="Normal"/>
    <w:uiPriority w:val="34"/>
    <w:qFormat/>
    <w:rsid w:val="002D37DC"/>
    <w:pPr>
      <w:ind w:left="720"/>
      <w:contextualSpacing/>
    </w:pPr>
  </w:style>
  <w:style w:type="character" w:customStyle="1" w:styleId="Heading2Char">
    <w:name w:val="Heading 2 Char"/>
    <w:basedOn w:val="DefaultParagraphFont"/>
    <w:link w:val="Heading2"/>
    <w:uiPriority w:val="9"/>
    <w:rsid w:val="00391D50"/>
    <w:rPr>
      <w:rFonts w:ascii="Arial" w:eastAsiaTheme="majorEastAsia" w:hAnsi="Arial" w:cstheme="majorBidi"/>
      <w:b/>
      <w:color w:val="6EBB1E"/>
      <w:sz w:val="36"/>
      <w:szCs w:val="26"/>
      <w:lang w:val="en-AU" w:eastAsia="zh-CN"/>
    </w:rPr>
  </w:style>
  <w:style w:type="character" w:styleId="CommentReference">
    <w:name w:val="annotation reference"/>
    <w:basedOn w:val="DefaultParagraphFont"/>
    <w:uiPriority w:val="99"/>
    <w:semiHidden/>
    <w:unhideWhenUsed/>
    <w:rsid w:val="0058148D"/>
    <w:rPr>
      <w:sz w:val="16"/>
      <w:szCs w:val="16"/>
    </w:rPr>
  </w:style>
  <w:style w:type="paragraph" w:styleId="CommentText">
    <w:name w:val="annotation text"/>
    <w:basedOn w:val="Normal"/>
    <w:link w:val="CommentTextChar"/>
    <w:uiPriority w:val="99"/>
    <w:unhideWhenUsed/>
    <w:rsid w:val="0058148D"/>
    <w:rPr>
      <w:sz w:val="20"/>
      <w:szCs w:val="20"/>
    </w:rPr>
  </w:style>
  <w:style w:type="character" w:customStyle="1" w:styleId="CommentTextChar">
    <w:name w:val="Comment Text Char"/>
    <w:basedOn w:val="DefaultParagraphFont"/>
    <w:link w:val="CommentText"/>
    <w:uiPriority w:val="99"/>
    <w:rsid w:val="0058148D"/>
    <w:rPr>
      <w:sz w:val="20"/>
      <w:szCs w:val="20"/>
    </w:rPr>
  </w:style>
  <w:style w:type="paragraph" w:styleId="CommentSubject">
    <w:name w:val="annotation subject"/>
    <w:basedOn w:val="CommentText"/>
    <w:next w:val="CommentText"/>
    <w:link w:val="CommentSubjectChar"/>
    <w:uiPriority w:val="99"/>
    <w:semiHidden/>
    <w:unhideWhenUsed/>
    <w:rsid w:val="0058148D"/>
    <w:rPr>
      <w:b/>
      <w:bCs/>
    </w:rPr>
  </w:style>
  <w:style w:type="character" w:customStyle="1" w:styleId="CommentSubjectChar">
    <w:name w:val="Comment Subject Char"/>
    <w:basedOn w:val="CommentTextChar"/>
    <w:link w:val="CommentSubject"/>
    <w:uiPriority w:val="99"/>
    <w:semiHidden/>
    <w:rsid w:val="0058148D"/>
    <w:rPr>
      <w:b/>
      <w:bCs/>
      <w:sz w:val="20"/>
      <w:szCs w:val="20"/>
    </w:rPr>
  </w:style>
  <w:style w:type="paragraph" w:styleId="BalloonText">
    <w:name w:val="Balloon Text"/>
    <w:basedOn w:val="Normal"/>
    <w:link w:val="BalloonTextChar"/>
    <w:uiPriority w:val="99"/>
    <w:semiHidden/>
    <w:unhideWhenUsed/>
    <w:rsid w:val="005814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48D"/>
    <w:rPr>
      <w:rFonts w:ascii="Segoe UI" w:hAnsi="Segoe UI" w:cs="Segoe UI"/>
      <w:sz w:val="18"/>
      <w:szCs w:val="18"/>
    </w:rPr>
  </w:style>
  <w:style w:type="table" w:styleId="TableGrid">
    <w:name w:val="Table Grid"/>
    <w:basedOn w:val="TableNormal"/>
    <w:uiPriority w:val="39"/>
    <w:rsid w:val="00156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4F5E0A"/>
  </w:style>
  <w:style w:type="character" w:customStyle="1" w:styleId="contextualspellingandgrammarerror">
    <w:name w:val="contextualspellingandgrammarerror"/>
    <w:basedOn w:val="DefaultParagraphFont"/>
    <w:rsid w:val="004F5E0A"/>
  </w:style>
  <w:style w:type="character" w:customStyle="1" w:styleId="eop">
    <w:name w:val="eop"/>
    <w:basedOn w:val="DefaultParagraphFont"/>
    <w:rsid w:val="004F5E0A"/>
  </w:style>
  <w:style w:type="paragraph" w:styleId="Caption">
    <w:name w:val="caption"/>
    <w:basedOn w:val="Normal"/>
    <w:next w:val="Normal"/>
    <w:uiPriority w:val="35"/>
    <w:unhideWhenUsed/>
    <w:qFormat/>
    <w:rsid w:val="00127C3D"/>
    <w:pPr>
      <w:spacing w:after="200"/>
    </w:pPr>
    <w:rPr>
      <w:i/>
      <w:iCs/>
      <w:color w:val="9D8D85" w:themeColor="text2"/>
      <w:sz w:val="18"/>
      <w:szCs w:val="18"/>
    </w:rPr>
  </w:style>
  <w:style w:type="paragraph" w:customStyle="1" w:styleId="paragraph">
    <w:name w:val="paragraph"/>
    <w:basedOn w:val="Normal"/>
    <w:rsid w:val="00D47BD9"/>
    <w:pPr>
      <w:spacing w:before="100" w:beforeAutospacing="1" w:after="100" w:afterAutospacing="1"/>
    </w:pPr>
  </w:style>
  <w:style w:type="character" w:customStyle="1" w:styleId="advancedproofingissue">
    <w:name w:val="advancedproofingissue"/>
    <w:basedOn w:val="DefaultParagraphFont"/>
    <w:rsid w:val="00D47BD9"/>
  </w:style>
  <w:style w:type="paragraph" w:styleId="Header">
    <w:name w:val="header"/>
    <w:basedOn w:val="Normal"/>
    <w:link w:val="HeaderChar"/>
    <w:uiPriority w:val="99"/>
    <w:unhideWhenUsed/>
    <w:rsid w:val="0021040A"/>
    <w:pPr>
      <w:tabs>
        <w:tab w:val="center" w:pos="4513"/>
        <w:tab w:val="right" w:pos="9026"/>
      </w:tabs>
    </w:pPr>
  </w:style>
  <w:style w:type="character" w:customStyle="1" w:styleId="HeaderChar">
    <w:name w:val="Header Char"/>
    <w:basedOn w:val="DefaultParagraphFont"/>
    <w:link w:val="Header"/>
    <w:uiPriority w:val="99"/>
    <w:rsid w:val="0021040A"/>
  </w:style>
  <w:style w:type="paragraph" w:styleId="Footer">
    <w:name w:val="footer"/>
    <w:basedOn w:val="Normal"/>
    <w:link w:val="FooterChar"/>
    <w:uiPriority w:val="99"/>
    <w:unhideWhenUsed/>
    <w:rsid w:val="0021040A"/>
    <w:pPr>
      <w:tabs>
        <w:tab w:val="center" w:pos="4513"/>
        <w:tab w:val="right" w:pos="9026"/>
      </w:tabs>
    </w:pPr>
  </w:style>
  <w:style w:type="character" w:customStyle="1" w:styleId="FooterChar">
    <w:name w:val="Footer Char"/>
    <w:basedOn w:val="DefaultParagraphFont"/>
    <w:link w:val="Footer"/>
    <w:uiPriority w:val="99"/>
    <w:rsid w:val="0021040A"/>
  </w:style>
  <w:style w:type="paragraph" w:styleId="NormalWeb">
    <w:name w:val="Normal (Web)"/>
    <w:basedOn w:val="Normal"/>
    <w:uiPriority w:val="99"/>
    <w:unhideWhenUsed/>
    <w:rsid w:val="004E2255"/>
    <w:pPr>
      <w:spacing w:before="100" w:beforeAutospacing="1" w:after="100" w:afterAutospacing="1"/>
    </w:pPr>
  </w:style>
  <w:style w:type="character" w:customStyle="1" w:styleId="Heading3Char">
    <w:name w:val="Heading 3 Char"/>
    <w:basedOn w:val="DefaultParagraphFont"/>
    <w:link w:val="Heading3"/>
    <w:uiPriority w:val="9"/>
    <w:rsid w:val="00830706"/>
    <w:rPr>
      <w:rFonts w:ascii="Arial" w:eastAsiaTheme="majorEastAsia" w:hAnsi="Arial" w:cs="Arial"/>
      <w:b/>
      <w:color w:val="497594"/>
      <w:sz w:val="28"/>
      <w:szCs w:val="24"/>
      <w:lang w:val="en-AU" w:eastAsia="zh-CN"/>
    </w:rPr>
  </w:style>
  <w:style w:type="character" w:customStyle="1" w:styleId="Heading4Char">
    <w:name w:val="Heading 4 Char"/>
    <w:basedOn w:val="DefaultParagraphFont"/>
    <w:link w:val="Heading4"/>
    <w:uiPriority w:val="9"/>
    <w:rsid w:val="00C70B19"/>
    <w:rPr>
      <w:rFonts w:ascii="Arial" w:eastAsiaTheme="majorEastAsia" w:hAnsi="Arial" w:cstheme="majorBidi"/>
      <w:b/>
      <w:iCs/>
      <w:color w:val="497594"/>
      <w:sz w:val="24"/>
      <w:szCs w:val="24"/>
      <w:lang w:val="en-AU" w:eastAsia="zh-CN"/>
    </w:rPr>
  </w:style>
  <w:style w:type="character" w:styleId="Hyperlink">
    <w:name w:val="Hyperlink"/>
    <w:basedOn w:val="DefaultParagraphFont"/>
    <w:uiPriority w:val="99"/>
    <w:unhideWhenUsed/>
    <w:rsid w:val="00A74D83"/>
    <w:rPr>
      <w:color w:val="497594" w:themeColor="hyperlink"/>
      <w:u w:val="single"/>
    </w:rPr>
  </w:style>
  <w:style w:type="character" w:customStyle="1" w:styleId="findhit">
    <w:name w:val="findhit"/>
    <w:basedOn w:val="DefaultParagraphFont"/>
    <w:rsid w:val="00FF7B0D"/>
  </w:style>
  <w:style w:type="character" w:customStyle="1" w:styleId="spellingerror">
    <w:name w:val="spellingerror"/>
    <w:basedOn w:val="DefaultParagraphFont"/>
    <w:rsid w:val="00FF7B0D"/>
  </w:style>
  <w:style w:type="character" w:styleId="FollowedHyperlink">
    <w:name w:val="FollowedHyperlink"/>
    <w:basedOn w:val="DefaultParagraphFont"/>
    <w:uiPriority w:val="99"/>
    <w:semiHidden/>
    <w:unhideWhenUsed/>
    <w:rsid w:val="00FA6DDA"/>
    <w:rPr>
      <w:color w:val="00B4D9" w:themeColor="followedHyperlink"/>
      <w:u w:val="single"/>
    </w:rPr>
  </w:style>
  <w:style w:type="paragraph" w:styleId="FootnoteText">
    <w:name w:val="footnote text"/>
    <w:basedOn w:val="Normal"/>
    <w:link w:val="FootnoteTextChar"/>
    <w:uiPriority w:val="99"/>
    <w:unhideWhenUsed/>
    <w:rsid w:val="00D0210F"/>
    <w:pPr>
      <w:spacing w:after="0"/>
    </w:pPr>
    <w:rPr>
      <w:sz w:val="20"/>
      <w:szCs w:val="20"/>
    </w:rPr>
  </w:style>
  <w:style w:type="character" w:customStyle="1" w:styleId="FootnoteTextChar">
    <w:name w:val="Footnote Text Char"/>
    <w:basedOn w:val="DefaultParagraphFont"/>
    <w:link w:val="FootnoteText"/>
    <w:uiPriority w:val="99"/>
    <w:rsid w:val="00D0210F"/>
    <w:rPr>
      <w:rFonts w:eastAsia="Times New Roman" w:cs="Times New Roman"/>
      <w:sz w:val="20"/>
      <w:szCs w:val="20"/>
      <w:lang w:val="en-AU" w:eastAsia="zh-CN"/>
    </w:rPr>
  </w:style>
  <w:style w:type="character" w:styleId="FootnoteReference">
    <w:name w:val="footnote reference"/>
    <w:basedOn w:val="DefaultParagraphFont"/>
    <w:uiPriority w:val="99"/>
    <w:semiHidden/>
    <w:unhideWhenUsed/>
    <w:rsid w:val="00D0210F"/>
    <w:rPr>
      <w:vertAlign w:val="superscript"/>
    </w:rPr>
  </w:style>
  <w:style w:type="character" w:customStyle="1" w:styleId="UnresolvedMention1">
    <w:name w:val="Unresolved Mention1"/>
    <w:basedOn w:val="DefaultParagraphFont"/>
    <w:uiPriority w:val="99"/>
    <w:semiHidden/>
    <w:unhideWhenUsed/>
    <w:rsid w:val="00A71620"/>
    <w:rPr>
      <w:color w:val="605E5C"/>
      <w:shd w:val="clear" w:color="auto" w:fill="E1DFDD"/>
    </w:rPr>
  </w:style>
  <w:style w:type="character" w:styleId="Strong">
    <w:name w:val="Strong"/>
    <w:basedOn w:val="DefaultParagraphFont"/>
    <w:uiPriority w:val="22"/>
    <w:qFormat/>
    <w:rsid w:val="003C4C79"/>
    <w:rPr>
      <w:b/>
      <w:bCs/>
    </w:rPr>
  </w:style>
  <w:style w:type="paragraph" w:styleId="Quote">
    <w:name w:val="Quote"/>
    <w:basedOn w:val="Normal"/>
    <w:next w:val="Normal"/>
    <w:link w:val="QuoteChar"/>
    <w:uiPriority w:val="29"/>
    <w:qFormat/>
    <w:rsid w:val="004A231D"/>
    <w:pPr>
      <w:spacing w:line="276" w:lineRule="auto"/>
      <w:ind w:left="709" w:right="662"/>
    </w:pPr>
    <w:rPr>
      <w:rFonts w:ascii="Times New Roman" w:eastAsiaTheme="minorHAnsi" w:hAnsi="Times New Roman"/>
      <w:lang w:eastAsia="en-US"/>
    </w:rPr>
  </w:style>
  <w:style w:type="character" w:customStyle="1" w:styleId="QuoteChar">
    <w:name w:val="Quote Char"/>
    <w:basedOn w:val="DefaultParagraphFont"/>
    <w:link w:val="Quote"/>
    <w:uiPriority w:val="29"/>
    <w:rsid w:val="004A231D"/>
    <w:rPr>
      <w:rFonts w:ascii="Times New Roman" w:hAnsi="Times New Roman" w:cs="Times New Roman"/>
      <w:sz w:val="24"/>
      <w:szCs w:val="24"/>
      <w:lang w:val="en-AU"/>
    </w:rPr>
  </w:style>
  <w:style w:type="paragraph" w:customStyle="1" w:styleId="EndNoteBibliographyTitle">
    <w:name w:val="EndNote Bibliography Title"/>
    <w:basedOn w:val="Normal"/>
    <w:link w:val="EndNoteBibliographyTitleChar"/>
    <w:rsid w:val="00C37733"/>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C37733"/>
    <w:rPr>
      <w:rFonts w:ascii="Calibri" w:eastAsia="Times New Roman" w:hAnsi="Calibri" w:cs="Calibri"/>
      <w:szCs w:val="24"/>
      <w:lang w:val="en-AU" w:eastAsia="zh-CN"/>
    </w:rPr>
  </w:style>
  <w:style w:type="paragraph" w:customStyle="1" w:styleId="EndNoteBibliography">
    <w:name w:val="EndNote Bibliography"/>
    <w:basedOn w:val="Normal"/>
    <w:link w:val="EndNoteBibliographyChar"/>
    <w:rsid w:val="00C37733"/>
    <w:rPr>
      <w:rFonts w:ascii="Calibri" w:hAnsi="Calibri" w:cs="Calibri"/>
    </w:rPr>
  </w:style>
  <w:style w:type="character" w:customStyle="1" w:styleId="EndNoteBibliographyChar">
    <w:name w:val="EndNote Bibliography Char"/>
    <w:basedOn w:val="DefaultParagraphFont"/>
    <w:link w:val="EndNoteBibliography"/>
    <w:rsid w:val="00C37733"/>
    <w:rPr>
      <w:rFonts w:ascii="Calibri" w:eastAsia="Times New Roman" w:hAnsi="Calibri" w:cs="Calibri"/>
      <w:szCs w:val="24"/>
      <w:lang w:val="en-AU" w:eastAsia="zh-CN"/>
    </w:rPr>
  </w:style>
  <w:style w:type="paragraph" w:styleId="Revision">
    <w:name w:val="Revision"/>
    <w:hidden/>
    <w:uiPriority w:val="99"/>
    <w:semiHidden/>
    <w:rsid w:val="00832C73"/>
    <w:pPr>
      <w:spacing w:after="0" w:line="240" w:lineRule="auto"/>
    </w:pPr>
    <w:rPr>
      <w:rFonts w:eastAsia="Times New Roman" w:cs="Times New Roman"/>
      <w:szCs w:val="24"/>
      <w:lang w:val="en-AU" w:eastAsia="zh-CN"/>
    </w:rPr>
  </w:style>
  <w:style w:type="character" w:customStyle="1" w:styleId="UnresolvedMention2">
    <w:name w:val="Unresolved Mention2"/>
    <w:basedOn w:val="DefaultParagraphFont"/>
    <w:uiPriority w:val="99"/>
    <w:semiHidden/>
    <w:unhideWhenUsed/>
    <w:rsid w:val="00357C5C"/>
    <w:rPr>
      <w:color w:val="605E5C"/>
      <w:shd w:val="clear" w:color="auto" w:fill="E1DFDD"/>
    </w:rPr>
  </w:style>
  <w:style w:type="paragraph" w:styleId="Title">
    <w:name w:val="Title"/>
    <w:basedOn w:val="Normal"/>
    <w:next w:val="Normal"/>
    <w:link w:val="TitleChar"/>
    <w:autoRedefine/>
    <w:uiPriority w:val="10"/>
    <w:qFormat/>
    <w:rsid w:val="00A729E9"/>
    <w:pPr>
      <w:spacing w:before="120" w:after="480" w:line="276" w:lineRule="auto"/>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A729E9"/>
    <w:rPr>
      <w:rFonts w:ascii="Arial" w:eastAsiaTheme="majorEastAsia" w:hAnsi="Arial" w:cstheme="majorBidi"/>
      <w:b/>
      <w:spacing w:val="-10"/>
      <w:kern w:val="28"/>
      <w:sz w:val="48"/>
      <w:szCs w:val="56"/>
      <w:lang w:val="en-AU" w:eastAsia="zh-CN"/>
    </w:rPr>
  </w:style>
  <w:style w:type="paragraph" w:styleId="TOCHeading">
    <w:name w:val="TOC Heading"/>
    <w:basedOn w:val="Heading1"/>
    <w:next w:val="Normal"/>
    <w:uiPriority w:val="39"/>
    <w:unhideWhenUsed/>
    <w:qFormat/>
    <w:rsid w:val="00AE205E"/>
    <w:pPr>
      <w:spacing w:before="480" w:after="0" w:line="276" w:lineRule="auto"/>
      <w:outlineLvl w:val="9"/>
    </w:pPr>
    <w:rPr>
      <w:b w:val="0"/>
      <w:bCs/>
      <w:sz w:val="28"/>
      <w:szCs w:val="28"/>
      <w:lang w:val="en-US" w:eastAsia="en-US"/>
    </w:rPr>
  </w:style>
  <w:style w:type="paragraph" w:styleId="TOC1">
    <w:name w:val="toc 1"/>
    <w:basedOn w:val="Normal"/>
    <w:next w:val="Normal"/>
    <w:autoRedefine/>
    <w:uiPriority w:val="39"/>
    <w:unhideWhenUsed/>
    <w:rsid w:val="005E0829"/>
    <w:pPr>
      <w:tabs>
        <w:tab w:val="right" w:leader="dot" w:pos="9350"/>
      </w:tabs>
      <w:spacing w:before="120" w:after="120" w:line="276" w:lineRule="auto"/>
    </w:pPr>
    <w:rPr>
      <w:rFonts w:cstheme="minorHAnsi"/>
      <w:bCs/>
      <w:iCs/>
      <w:noProof/>
      <w:color w:val="497594" w:themeColor="accent1"/>
      <w:szCs w:val="28"/>
    </w:rPr>
  </w:style>
  <w:style w:type="paragraph" w:styleId="TOC2">
    <w:name w:val="toc 2"/>
    <w:basedOn w:val="Normal"/>
    <w:next w:val="Normal"/>
    <w:autoRedefine/>
    <w:uiPriority w:val="39"/>
    <w:unhideWhenUsed/>
    <w:rsid w:val="007E00BE"/>
    <w:pPr>
      <w:spacing w:before="120" w:after="0"/>
      <w:ind w:left="220"/>
    </w:pPr>
    <w:rPr>
      <w:rFonts w:cstheme="minorHAnsi"/>
      <w:bCs/>
      <w:sz w:val="22"/>
      <w:szCs w:val="26"/>
    </w:rPr>
  </w:style>
  <w:style w:type="paragraph" w:styleId="TOC3">
    <w:name w:val="toc 3"/>
    <w:basedOn w:val="Normal"/>
    <w:next w:val="Normal"/>
    <w:autoRedefine/>
    <w:uiPriority w:val="39"/>
    <w:unhideWhenUsed/>
    <w:rsid w:val="00AE205E"/>
    <w:pPr>
      <w:spacing w:after="0"/>
      <w:ind w:left="440"/>
    </w:pPr>
    <w:rPr>
      <w:rFonts w:cstheme="minorHAnsi"/>
      <w:sz w:val="20"/>
    </w:rPr>
  </w:style>
  <w:style w:type="paragraph" w:styleId="TOC4">
    <w:name w:val="toc 4"/>
    <w:basedOn w:val="Normal"/>
    <w:next w:val="Normal"/>
    <w:autoRedefine/>
    <w:uiPriority w:val="39"/>
    <w:unhideWhenUsed/>
    <w:rsid w:val="00AE205E"/>
    <w:pPr>
      <w:spacing w:after="0"/>
      <w:ind w:left="660"/>
    </w:pPr>
    <w:rPr>
      <w:rFonts w:cstheme="minorHAnsi"/>
      <w:sz w:val="20"/>
    </w:rPr>
  </w:style>
  <w:style w:type="paragraph" w:styleId="TOC5">
    <w:name w:val="toc 5"/>
    <w:basedOn w:val="Normal"/>
    <w:next w:val="Normal"/>
    <w:autoRedefine/>
    <w:uiPriority w:val="39"/>
    <w:unhideWhenUsed/>
    <w:rsid w:val="00AE205E"/>
    <w:pPr>
      <w:spacing w:after="0"/>
      <w:ind w:left="880"/>
    </w:pPr>
    <w:rPr>
      <w:rFonts w:cstheme="minorHAnsi"/>
      <w:sz w:val="20"/>
    </w:rPr>
  </w:style>
  <w:style w:type="paragraph" w:styleId="TOC6">
    <w:name w:val="toc 6"/>
    <w:basedOn w:val="Normal"/>
    <w:next w:val="Normal"/>
    <w:autoRedefine/>
    <w:uiPriority w:val="39"/>
    <w:unhideWhenUsed/>
    <w:rsid w:val="00AE205E"/>
    <w:pPr>
      <w:spacing w:after="0"/>
      <w:ind w:left="1100"/>
    </w:pPr>
    <w:rPr>
      <w:rFonts w:cstheme="minorHAnsi"/>
      <w:sz w:val="20"/>
    </w:rPr>
  </w:style>
  <w:style w:type="paragraph" w:styleId="TOC7">
    <w:name w:val="toc 7"/>
    <w:basedOn w:val="Normal"/>
    <w:next w:val="Normal"/>
    <w:autoRedefine/>
    <w:uiPriority w:val="39"/>
    <w:unhideWhenUsed/>
    <w:rsid w:val="00AE205E"/>
    <w:pPr>
      <w:spacing w:after="0"/>
      <w:ind w:left="1320"/>
    </w:pPr>
    <w:rPr>
      <w:rFonts w:cstheme="minorHAnsi"/>
      <w:sz w:val="20"/>
    </w:rPr>
  </w:style>
  <w:style w:type="paragraph" w:styleId="TOC8">
    <w:name w:val="toc 8"/>
    <w:basedOn w:val="Normal"/>
    <w:next w:val="Normal"/>
    <w:autoRedefine/>
    <w:uiPriority w:val="39"/>
    <w:unhideWhenUsed/>
    <w:rsid w:val="00AE205E"/>
    <w:pPr>
      <w:spacing w:after="0"/>
      <w:ind w:left="1540"/>
    </w:pPr>
    <w:rPr>
      <w:rFonts w:cstheme="minorHAnsi"/>
      <w:sz w:val="20"/>
    </w:rPr>
  </w:style>
  <w:style w:type="paragraph" w:styleId="TOC9">
    <w:name w:val="toc 9"/>
    <w:basedOn w:val="Normal"/>
    <w:next w:val="Normal"/>
    <w:autoRedefine/>
    <w:uiPriority w:val="39"/>
    <w:unhideWhenUsed/>
    <w:rsid w:val="00AE205E"/>
    <w:pPr>
      <w:spacing w:after="0"/>
      <w:ind w:left="1760"/>
    </w:pPr>
    <w:rPr>
      <w:rFonts w:cstheme="minorHAnsi"/>
      <w:sz w:val="20"/>
    </w:rPr>
  </w:style>
  <w:style w:type="character" w:customStyle="1" w:styleId="UnresolvedMention">
    <w:name w:val="Unresolved Mention"/>
    <w:basedOn w:val="DefaultParagraphFont"/>
    <w:uiPriority w:val="99"/>
    <w:semiHidden/>
    <w:unhideWhenUsed/>
    <w:rsid w:val="004C3D69"/>
    <w:rPr>
      <w:color w:val="605E5C"/>
      <w:shd w:val="clear" w:color="auto" w:fill="E1DFDD"/>
    </w:rPr>
  </w:style>
  <w:style w:type="character" w:customStyle="1" w:styleId="UnresolvedMention3">
    <w:name w:val="Unresolved Mention3"/>
    <w:basedOn w:val="DefaultParagraphFont"/>
    <w:uiPriority w:val="99"/>
    <w:semiHidden/>
    <w:unhideWhenUsed/>
    <w:rsid w:val="00146D4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76496">
      <w:bodyDiv w:val="1"/>
      <w:marLeft w:val="0"/>
      <w:marRight w:val="0"/>
      <w:marTop w:val="0"/>
      <w:marBottom w:val="0"/>
      <w:divBdr>
        <w:top w:val="none" w:sz="0" w:space="0" w:color="auto"/>
        <w:left w:val="none" w:sz="0" w:space="0" w:color="auto"/>
        <w:bottom w:val="none" w:sz="0" w:space="0" w:color="auto"/>
        <w:right w:val="none" w:sz="0" w:space="0" w:color="auto"/>
      </w:divBdr>
    </w:div>
    <w:div w:id="16853602">
      <w:bodyDiv w:val="1"/>
      <w:marLeft w:val="0"/>
      <w:marRight w:val="0"/>
      <w:marTop w:val="0"/>
      <w:marBottom w:val="0"/>
      <w:divBdr>
        <w:top w:val="none" w:sz="0" w:space="0" w:color="auto"/>
        <w:left w:val="none" w:sz="0" w:space="0" w:color="auto"/>
        <w:bottom w:val="none" w:sz="0" w:space="0" w:color="auto"/>
        <w:right w:val="none" w:sz="0" w:space="0" w:color="auto"/>
      </w:divBdr>
    </w:div>
    <w:div w:id="25755730">
      <w:bodyDiv w:val="1"/>
      <w:marLeft w:val="0"/>
      <w:marRight w:val="0"/>
      <w:marTop w:val="0"/>
      <w:marBottom w:val="0"/>
      <w:divBdr>
        <w:top w:val="none" w:sz="0" w:space="0" w:color="auto"/>
        <w:left w:val="none" w:sz="0" w:space="0" w:color="auto"/>
        <w:bottom w:val="none" w:sz="0" w:space="0" w:color="auto"/>
        <w:right w:val="none" w:sz="0" w:space="0" w:color="auto"/>
      </w:divBdr>
    </w:div>
    <w:div w:id="82269331">
      <w:bodyDiv w:val="1"/>
      <w:marLeft w:val="0"/>
      <w:marRight w:val="0"/>
      <w:marTop w:val="0"/>
      <w:marBottom w:val="0"/>
      <w:divBdr>
        <w:top w:val="none" w:sz="0" w:space="0" w:color="auto"/>
        <w:left w:val="none" w:sz="0" w:space="0" w:color="auto"/>
        <w:bottom w:val="none" w:sz="0" w:space="0" w:color="auto"/>
        <w:right w:val="none" w:sz="0" w:space="0" w:color="auto"/>
      </w:divBdr>
    </w:div>
    <w:div w:id="97717705">
      <w:bodyDiv w:val="1"/>
      <w:marLeft w:val="0"/>
      <w:marRight w:val="0"/>
      <w:marTop w:val="0"/>
      <w:marBottom w:val="0"/>
      <w:divBdr>
        <w:top w:val="none" w:sz="0" w:space="0" w:color="auto"/>
        <w:left w:val="none" w:sz="0" w:space="0" w:color="auto"/>
        <w:bottom w:val="none" w:sz="0" w:space="0" w:color="auto"/>
        <w:right w:val="none" w:sz="0" w:space="0" w:color="auto"/>
      </w:divBdr>
    </w:div>
    <w:div w:id="102266992">
      <w:bodyDiv w:val="1"/>
      <w:marLeft w:val="0"/>
      <w:marRight w:val="0"/>
      <w:marTop w:val="0"/>
      <w:marBottom w:val="0"/>
      <w:divBdr>
        <w:top w:val="none" w:sz="0" w:space="0" w:color="auto"/>
        <w:left w:val="none" w:sz="0" w:space="0" w:color="auto"/>
        <w:bottom w:val="none" w:sz="0" w:space="0" w:color="auto"/>
        <w:right w:val="none" w:sz="0" w:space="0" w:color="auto"/>
      </w:divBdr>
    </w:div>
    <w:div w:id="105279121">
      <w:bodyDiv w:val="1"/>
      <w:marLeft w:val="0"/>
      <w:marRight w:val="0"/>
      <w:marTop w:val="0"/>
      <w:marBottom w:val="0"/>
      <w:divBdr>
        <w:top w:val="none" w:sz="0" w:space="0" w:color="auto"/>
        <w:left w:val="none" w:sz="0" w:space="0" w:color="auto"/>
        <w:bottom w:val="none" w:sz="0" w:space="0" w:color="auto"/>
        <w:right w:val="none" w:sz="0" w:space="0" w:color="auto"/>
      </w:divBdr>
    </w:div>
    <w:div w:id="108663952">
      <w:bodyDiv w:val="1"/>
      <w:marLeft w:val="0"/>
      <w:marRight w:val="0"/>
      <w:marTop w:val="0"/>
      <w:marBottom w:val="0"/>
      <w:divBdr>
        <w:top w:val="none" w:sz="0" w:space="0" w:color="auto"/>
        <w:left w:val="none" w:sz="0" w:space="0" w:color="auto"/>
        <w:bottom w:val="none" w:sz="0" w:space="0" w:color="auto"/>
        <w:right w:val="none" w:sz="0" w:space="0" w:color="auto"/>
      </w:divBdr>
    </w:div>
    <w:div w:id="113259530">
      <w:bodyDiv w:val="1"/>
      <w:marLeft w:val="0"/>
      <w:marRight w:val="0"/>
      <w:marTop w:val="0"/>
      <w:marBottom w:val="0"/>
      <w:divBdr>
        <w:top w:val="none" w:sz="0" w:space="0" w:color="auto"/>
        <w:left w:val="none" w:sz="0" w:space="0" w:color="auto"/>
        <w:bottom w:val="none" w:sz="0" w:space="0" w:color="auto"/>
        <w:right w:val="none" w:sz="0" w:space="0" w:color="auto"/>
      </w:divBdr>
    </w:div>
    <w:div w:id="121728489">
      <w:bodyDiv w:val="1"/>
      <w:marLeft w:val="0"/>
      <w:marRight w:val="0"/>
      <w:marTop w:val="0"/>
      <w:marBottom w:val="0"/>
      <w:divBdr>
        <w:top w:val="none" w:sz="0" w:space="0" w:color="auto"/>
        <w:left w:val="none" w:sz="0" w:space="0" w:color="auto"/>
        <w:bottom w:val="none" w:sz="0" w:space="0" w:color="auto"/>
        <w:right w:val="none" w:sz="0" w:space="0" w:color="auto"/>
      </w:divBdr>
    </w:div>
    <w:div w:id="122622880">
      <w:bodyDiv w:val="1"/>
      <w:marLeft w:val="0"/>
      <w:marRight w:val="0"/>
      <w:marTop w:val="0"/>
      <w:marBottom w:val="0"/>
      <w:divBdr>
        <w:top w:val="none" w:sz="0" w:space="0" w:color="auto"/>
        <w:left w:val="none" w:sz="0" w:space="0" w:color="auto"/>
        <w:bottom w:val="none" w:sz="0" w:space="0" w:color="auto"/>
        <w:right w:val="none" w:sz="0" w:space="0" w:color="auto"/>
      </w:divBdr>
    </w:div>
    <w:div w:id="127430606">
      <w:bodyDiv w:val="1"/>
      <w:marLeft w:val="0"/>
      <w:marRight w:val="0"/>
      <w:marTop w:val="0"/>
      <w:marBottom w:val="0"/>
      <w:divBdr>
        <w:top w:val="none" w:sz="0" w:space="0" w:color="auto"/>
        <w:left w:val="none" w:sz="0" w:space="0" w:color="auto"/>
        <w:bottom w:val="none" w:sz="0" w:space="0" w:color="auto"/>
        <w:right w:val="none" w:sz="0" w:space="0" w:color="auto"/>
      </w:divBdr>
    </w:div>
    <w:div w:id="128673957">
      <w:bodyDiv w:val="1"/>
      <w:marLeft w:val="0"/>
      <w:marRight w:val="0"/>
      <w:marTop w:val="0"/>
      <w:marBottom w:val="0"/>
      <w:divBdr>
        <w:top w:val="none" w:sz="0" w:space="0" w:color="auto"/>
        <w:left w:val="none" w:sz="0" w:space="0" w:color="auto"/>
        <w:bottom w:val="none" w:sz="0" w:space="0" w:color="auto"/>
        <w:right w:val="none" w:sz="0" w:space="0" w:color="auto"/>
      </w:divBdr>
    </w:div>
    <w:div w:id="128743024">
      <w:bodyDiv w:val="1"/>
      <w:marLeft w:val="0"/>
      <w:marRight w:val="0"/>
      <w:marTop w:val="0"/>
      <w:marBottom w:val="0"/>
      <w:divBdr>
        <w:top w:val="none" w:sz="0" w:space="0" w:color="auto"/>
        <w:left w:val="none" w:sz="0" w:space="0" w:color="auto"/>
        <w:bottom w:val="none" w:sz="0" w:space="0" w:color="auto"/>
        <w:right w:val="none" w:sz="0" w:space="0" w:color="auto"/>
      </w:divBdr>
    </w:div>
    <w:div w:id="155195249">
      <w:bodyDiv w:val="1"/>
      <w:marLeft w:val="0"/>
      <w:marRight w:val="0"/>
      <w:marTop w:val="0"/>
      <w:marBottom w:val="0"/>
      <w:divBdr>
        <w:top w:val="none" w:sz="0" w:space="0" w:color="auto"/>
        <w:left w:val="none" w:sz="0" w:space="0" w:color="auto"/>
        <w:bottom w:val="none" w:sz="0" w:space="0" w:color="auto"/>
        <w:right w:val="none" w:sz="0" w:space="0" w:color="auto"/>
      </w:divBdr>
    </w:div>
    <w:div w:id="185292227">
      <w:bodyDiv w:val="1"/>
      <w:marLeft w:val="0"/>
      <w:marRight w:val="0"/>
      <w:marTop w:val="0"/>
      <w:marBottom w:val="0"/>
      <w:divBdr>
        <w:top w:val="none" w:sz="0" w:space="0" w:color="auto"/>
        <w:left w:val="none" w:sz="0" w:space="0" w:color="auto"/>
        <w:bottom w:val="none" w:sz="0" w:space="0" w:color="auto"/>
        <w:right w:val="none" w:sz="0" w:space="0" w:color="auto"/>
      </w:divBdr>
      <w:divsChild>
        <w:div w:id="1027636506">
          <w:marLeft w:val="0"/>
          <w:marRight w:val="0"/>
          <w:marTop w:val="0"/>
          <w:marBottom w:val="0"/>
          <w:divBdr>
            <w:top w:val="none" w:sz="0" w:space="0" w:color="auto"/>
            <w:left w:val="none" w:sz="0" w:space="0" w:color="auto"/>
            <w:bottom w:val="none" w:sz="0" w:space="0" w:color="auto"/>
            <w:right w:val="none" w:sz="0" w:space="0" w:color="auto"/>
          </w:divBdr>
          <w:divsChild>
            <w:div w:id="946156309">
              <w:marLeft w:val="0"/>
              <w:marRight w:val="0"/>
              <w:marTop w:val="0"/>
              <w:marBottom w:val="0"/>
              <w:divBdr>
                <w:top w:val="none" w:sz="0" w:space="0" w:color="auto"/>
                <w:left w:val="none" w:sz="0" w:space="0" w:color="auto"/>
                <w:bottom w:val="none" w:sz="0" w:space="0" w:color="auto"/>
                <w:right w:val="none" w:sz="0" w:space="0" w:color="auto"/>
              </w:divBdr>
              <w:divsChild>
                <w:div w:id="19028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1326">
      <w:bodyDiv w:val="1"/>
      <w:marLeft w:val="0"/>
      <w:marRight w:val="0"/>
      <w:marTop w:val="0"/>
      <w:marBottom w:val="0"/>
      <w:divBdr>
        <w:top w:val="none" w:sz="0" w:space="0" w:color="auto"/>
        <w:left w:val="none" w:sz="0" w:space="0" w:color="auto"/>
        <w:bottom w:val="none" w:sz="0" w:space="0" w:color="auto"/>
        <w:right w:val="none" w:sz="0" w:space="0" w:color="auto"/>
      </w:divBdr>
    </w:div>
    <w:div w:id="196890778">
      <w:bodyDiv w:val="1"/>
      <w:marLeft w:val="0"/>
      <w:marRight w:val="0"/>
      <w:marTop w:val="0"/>
      <w:marBottom w:val="0"/>
      <w:divBdr>
        <w:top w:val="none" w:sz="0" w:space="0" w:color="auto"/>
        <w:left w:val="none" w:sz="0" w:space="0" w:color="auto"/>
        <w:bottom w:val="none" w:sz="0" w:space="0" w:color="auto"/>
        <w:right w:val="none" w:sz="0" w:space="0" w:color="auto"/>
      </w:divBdr>
    </w:div>
    <w:div w:id="199710080">
      <w:bodyDiv w:val="1"/>
      <w:marLeft w:val="0"/>
      <w:marRight w:val="0"/>
      <w:marTop w:val="0"/>
      <w:marBottom w:val="0"/>
      <w:divBdr>
        <w:top w:val="none" w:sz="0" w:space="0" w:color="auto"/>
        <w:left w:val="none" w:sz="0" w:space="0" w:color="auto"/>
        <w:bottom w:val="none" w:sz="0" w:space="0" w:color="auto"/>
        <w:right w:val="none" w:sz="0" w:space="0" w:color="auto"/>
      </w:divBdr>
    </w:div>
    <w:div w:id="235752196">
      <w:bodyDiv w:val="1"/>
      <w:marLeft w:val="0"/>
      <w:marRight w:val="0"/>
      <w:marTop w:val="0"/>
      <w:marBottom w:val="0"/>
      <w:divBdr>
        <w:top w:val="none" w:sz="0" w:space="0" w:color="auto"/>
        <w:left w:val="none" w:sz="0" w:space="0" w:color="auto"/>
        <w:bottom w:val="none" w:sz="0" w:space="0" w:color="auto"/>
        <w:right w:val="none" w:sz="0" w:space="0" w:color="auto"/>
      </w:divBdr>
    </w:div>
    <w:div w:id="255016383">
      <w:bodyDiv w:val="1"/>
      <w:marLeft w:val="0"/>
      <w:marRight w:val="0"/>
      <w:marTop w:val="0"/>
      <w:marBottom w:val="0"/>
      <w:divBdr>
        <w:top w:val="none" w:sz="0" w:space="0" w:color="auto"/>
        <w:left w:val="none" w:sz="0" w:space="0" w:color="auto"/>
        <w:bottom w:val="none" w:sz="0" w:space="0" w:color="auto"/>
        <w:right w:val="none" w:sz="0" w:space="0" w:color="auto"/>
      </w:divBdr>
      <w:divsChild>
        <w:div w:id="382750596">
          <w:marLeft w:val="0"/>
          <w:marRight w:val="0"/>
          <w:marTop w:val="0"/>
          <w:marBottom w:val="120"/>
          <w:divBdr>
            <w:top w:val="none" w:sz="0" w:space="0" w:color="auto"/>
            <w:left w:val="none" w:sz="0" w:space="0" w:color="auto"/>
            <w:bottom w:val="none" w:sz="0" w:space="0" w:color="auto"/>
            <w:right w:val="none" w:sz="0" w:space="0" w:color="auto"/>
          </w:divBdr>
          <w:divsChild>
            <w:div w:id="2081052802">
              <w:marLeft w:val="0"/>
              <w:marRight w:val="0"/>
              <w:marTop w:val="0"/>
              <w:marBottom w:val="0"/>
              <w:divBdr>
                <w:top w:val="none" w:sz="0" w:space="0" w:color="auto"/>
                <w:left w:val="none" w:sz="0" w:space="0" w:color="auto"/>
                <w:bottom w:val="none" w:sz="0" w:space="0" w:color="auto"/>
                <w:right w:val="none" w:sz="0" w:space="0" w:color="auto"/>
              </w:divBdr>
            </w:div>
          </w:divsChild>
        </w:div>
        <w:div w:id="499855647">
          <w:marLeft w:val="0"/>
          <w:marRight w:val="0"/>
          <w:marTop w:val="0"/>
          <w:marBottom w:val="120"/>
          <w:divBdr>
            <w:top w:val="none" w:sz="0" w:space="0" w:color="auto"/>
            <w:left w:val="none" w:sz="0" w:space="0" w:color="auto"/>
            <w:bottom w:val="none" w:sz="0" w:space="0" w:color="auto"/>
            <w:right w:val="none" w:sz="0" w:space="0" w:color="auto"/>
          </w:divBdr>
          <w:divsChild>
            <w:div w:id="1212308243">
              <w:marLeft w:val="0"/>
              <w:marRight w:val="0"/>
              <w:marTop w:val="0"/>
              <w:marBottom w:val="0"/>
              <w:divBdr>
                <w:top w:val="none" w:sz="0" w:space="0" w:color="auto"/>
                <w:left w:val="none" w:sz="0" w:space="0" w:color="auto"/>
                <w:bottom w:val="none" w:sz="0" w:space="0" w:color="auto"/>
                <w:right w:val="none" w:sz="0" w:space="0" w:color="auto"/>
              </w:divBdr>
              <w:divsChild>
                <w:div w:id="110325950">
                  <w:marLeft w:val="0"/>
                  <w:marRight w:val="0"/>
                  <w:marTop w:val="0"/>
                  <w:marBottom w:val="0"/>
                  <w:divBdr>
                    <w:top w:val="none" w:sz="0" w:space="0" w:color="auto"/>
                    <w:left w:val="none" w:sz="0" w:space="0" w:color="auto"/>
                    <w:bottom w:val="none" w:sz="0" w:space="0" w:color="auto"/>
                    <w:right w:val="none" w:sz="0" w:space="0" w:color="auto"/>
                  </w:divBdr>
                </w:div>
                <w:div w:id="149180829">
                  <w:marLeft w:val="0"/>
                  <w:marRight w:val="0"/>
                  <w:marTop w:val="0"/>
                  <w:marBottom w:val="0"/>
                  <w:divBdr>
                    <w:top w:val="none" w:sz="0" w:space="0" w:color="auto"/>
                    <w:left w:val="none" w:sz="0" w:space="0" w:color="auto"/>
                    <w:bottom w:val="none" w:sz="0" w:space="0" w:color="auto"/>
                    <w:right w:val="none" w:sz="0" w:space="0" w:color="auto"/>
                  </w:divBdr>
                </w:div>
                <w:div w:id="251209500">
                  <w:marLeft w:val="0"/>
                  <w:marRight w:val="0"/>
                  <w:marTop w:val="0"/>
                  <w:marBottom w:val="0"/>
                  <w:divBdr>
                    <w:top w:val="none" w:sz="0" w:space="0" w:color="auto"/>
                    <w:left w:val="none" w:sz="0" w:space="0" w:color="auto"/>
                    <w:bottom w:val="none" w:sz="0" w:space="0" w:color="auto"/>
                    <w:right w:val="none" w:sz="0" w:space="0" w:color="auto"/>
                  </w:divBdr>
                </w:div>
                <w:div w:id="251479209">
                  <w:marLeft w:val="0"/>
                  <w:marRight w:val="0"/>
                  <w:marTop w:val="0"/>
                  <w:marBottom w:val="0"/>
                  <w:divBdr>
                    <w:top w:val="none" w:sz="0" w:space="0" w:color="auto"/>
                    <w:left w:val="none" w:sz="0" w:space="0" w:color="auto"/>
                    <w:bottom w:val="none" w:sz="0" w:space="0" w:color="auto"/>
                    <w:right w:val="none" w:sz="0" w:space="0" w:color="auto"/>
                  </w:divBdr>
                </w:div>
                <w:div w:id="383598154">
                  <w:marLeft w:val="0"/>
                  <w:marRight w:val="0"/>
                  <w:marTop w:val="0"/>
                  <w:marBottom w:val="0"/>
                  <w:divBdr>
                    <w:top w:val="none" w:sz="0" w:space="0" w:color="auto"/>
                    <w:left w:val="none" w:sz="0" w:space="0" w:color="auto"/>
                    <w:bottom w:val="none" w:sz="0" w:space="0" w:color="auto"/>
                    <w:right w:val="none" w:sz="0" w:space="0" w:color="auto"/>
                  </w:divBdr>
                </w:div>
                <w:div w:id="504975555">
                  <w:marLeft w:val="0"/>
                  <w:marRight w:val="0"/>
                  <w:marTop w:val="0"/>
                  <w:marBottom w:val="0"/>
                  <w:divBdr>
                    <w:top w:val="none" w:sz="0" w:space="0" w:color="auto"/>
                    <w:left w:val="none" w:sz="0" w:space="0" w:color="auto"/>
                    <w:bottom w:val="none" w:sz="0" w:space="0" w:color="auto"/>
                    <w:right w:val="none" w:sz="0" w:space="0" w:color="auto"/>
                  </w:divBdr>
                </w:div>
                <w:div w:id="568730662">
                  <w:marLeft w:val="0"/>
                  <w:marRight w:val="0"/>
                  <w:marTop w:val="0"/>
                  <w:marBottom w:val="0"/>
                  <w:divBdr>
                    <w:top w:val="none" w:sz="0" w:space="0" w:color="auto"/>
                    <w:left w:val="none" w:sz="0" w:space="0" w:color="auto"/>
                    <w:bottom w:val="none" w:sz="0" w:space="0" w:color="auto"/>
                    <w:right w:val="none" w:sz="0" w:space="0" w:color="auto"/>
                  </w:divBdr>
                </w:div>
                <w:div w:id="663433939">
                  <w:marLeft w:val="0"/>
                  <w:marRight w:val="0"/>
                  <w:marTop w:val="0"/>
                  <w:marBottom w:val="0"/>
                  <w:divBdr>
                    <w:top w:val="none" w:sz="0" w:space="0" w:color="auto"/>
                    <w:left w:val="none" w:sz="0" w:space="0" w:color="auto"/>
                    <w:bottom w:val="none" w:sz="0" w:space="0" w:color="auto"/>
                    <w:right w:val="none" w:sz="0" w:space="0" w:color="auto"/>
                  </w:divBdr>
                </w:div>
                <w:div w:id="679627531">
                  <w:marLeft w:val="0"/>
                  <w:marRight w:val="0"/>
                  <w:marTop w:val="0"/>
                  <w:marBottom w:val="0"/>
                  <w:divBdr>
                    <w:top w:val="none" w:sz="0" w:space="0" w:color="auto"/>
                    <w:left w:val="none" w:sz="0" w:space="0" w:color="auto"/>
                    <w:bottom w:val="none" w:sz="0" w:space="0" w:color="auto"/>
                    <w:right w:val="none" w:sz="0" w:space="0" w:color="auto"/>
                  </w:divBdr>
                </w:div>
                <w:div w:id="683946454">
                  <w:marLeft w:val="0"/>
                  <w:marRight w:val="0"/>
                  <w:marTop w:val="0"/>
                  <w:marBottom w:val="0"/>
                  <w:divBdr>
                    <w:top w:val="none" w:sz="0" w:space="0" w:color="auto"/>
                    <w:left w:val="none" w:sz="0" w:space="0" w:color="auto"/>
                    <w:bottom w:val="none" w:sz="0" w:space="0" w:color="auto"/>
                    <w:right w:val="none" w:sz="0" w:space="0" w:color="auto"/>
                  </w:divBdr>
                </w:div>
                <w:div w:id="688260364">
                  <w:marLeft w:val="0"/>
                  <w:marRight w:val="0"/>
                  <w:marTop w:val="0"/>
                  <w:marBottom w:val="0"/>
                  <w:divBdr>
                    <w:top w:val="none" w:sz="0" w:space="0" w:color="auto"/>
                    <w:left w:val="none" w:sz="0" w:space="0" w:color="auto"/>
                    <w:bottom w:val="none" w:sz="0" w:space="0" w:color="auto"/>
                    <w:right w:val="none" w:sz="0" w:space="0" w:color="auto"/>
                  </w:divBdr>
                </w:div>
                <w:div w:id="721949375">
                  <w:marLeft w:val="0"/>
                  <w:marRight w:val="0"/>
                  <w:marTop w:val="0"/>
                  <w:marBottom w:val="0"/>
                  <w:divBdr>
                    <w:top w:val="none" w:sz="0" w:space="0" w:color="auto"/>
                    <w:left w:val="none" w:sz="0" w:space="0" w:color="auto"/>
                    <w:bottom w:val="none" w:sz="0" w:space="0" w:color="auto"/>
                    <w:right w:val="none" w:sz="0" w:space="0" w:color="auto"/>
                  </w:divBdr>
                </w:div>
                <w:div w:id="726881176">
                  <w:marLeft w:val="0"/>
                  <w:marRight w:val="0"/>
                  <w:marTop w:val="0"/>
                  <w:marBottom w:val="0"/>
                  <w:divBdr>
                    <w:top w:val="none" w:sz="0" w:space="0" w:color="auto"/>
                    <w:left w:val="none" w:sz="0" w:space="0" w:color="auto"/>
                    <w:bottom w:val="none" w:sz="0" w:space="0" w:color="auto"/>
                    <w:right w:val="none" w:sz="0" w:space="0" w:color="auto"/>
                  </w:divBdr>
                </w:div>
                <w:div w:id="788620009">
                  <w:marLeft w:val="0"/>
                  <w:marRight w:val="0"/>
                  <w:marTop w:val="0"/>
                  <w:marBottom w:val="0"/>
                  <w:divBdr>
                    <w:top w:val="none" w:sz="0" w:space="0" w:color="auto"/>
                    <w:left w:val="none" w:sz="0" w:space="0" w:color="auto"/>
                    <w:bottom w:val="none" w:sz="0" w:space="0" w:color="auto"/>
                    <w:right w:val="none" w:sz="0" w:space="0" w:color="auto"/>
                  </w:divBdr>
                </w:div>
                <w:div w:id="858349964">
                  <w:marLeft w:val="0"/>
                  <w:marRight w:val="0"/>
                  <w:marTop w:val="0"/>
                  <w:marBottom w:val="0"/>
                  <w:divBdr>
                    <w:top w:val="none" w:sz="0" w:space="0" w:color="auto"/>
                    <w:left w:val="none" w:sz="0" w:space="0" w:color="auto"/>
                    <w:bottom w:val="none" w:sz="0" w:space="0" w:color="auto"/>
                    <w:right w:val="none" w:sz="0" w:space="0" w:color="auto"/>
                  </w:divBdr>
                </w:div>
                <w:div w:id="860167735">
                  <w:marLeft w:val="0"/>
                  <w:marRight w:val="0"/>
                  <w:marTop w:val="0"/>
                  <w:marBottom w:val="0"/>
                  <w:divBdr>
                    <w:top w:val="none" w:sz="0" w:space="0" w:color="auto"/>
                    <w:left w:val="none" w:sz="0" w:space="0" w:color="auto"/>
                    <w:bottom w:val="none" w:sz="0" w:space="0" w:color="auto"/>
                    <w:right w:val="none" w:sz="0" w:space="0" w:color="auto"/>
                  </w:divBdr>
                </w:div>
                <w:div w:id="971793685">
                  <w:marLeft w:val="0"/>
                  <w:marRight w:val="0"/>
                  <w:marTop w:val="0"/>
                  <w:marBottom w:val="0"/>
                  <w:divBdr>
                    <w:top w:val="none" w:sz="0" w:space="0" w:color="auto"/>
                    <w:left w:val="none" w:sz="0" w:space="0" w:color="auto"/>
                    <w:bottom w:val="none" w:sz="0" w:space="0" w:color="auto"/>
                    <w:right w:val="none" w:sz="0" w:space="0" w:color="auto"/>
                  </w:divBdr>
                </w:div>
                <w:div w:id="1027412290">
                  <w:marLeft w:val="0"/>
                  <w:marRight w:val="0"/>
                  <w:marTop w:val="0"/>
                  <w:marBottom w:val="0"/>
                  <w:divBdr>
                    <w:top w:val="none" w:sz="0" w:space="0" w:color="auto"/>
                    <w:left w:val="none" w:sz="0" w:space="0" w:color="auto"/>
                    <w:bottom w:val="none" w:sz="0" w:space="0" w:color="auto"/>
                    <w:right w:val="none" w:sz="0" w:space="0" w:color="auto"/>
                  </w:divBdr>
                </w:div>
                <w:div w:id="1073351012">
                  <w:marLeft w:val="0"/>
                  <w:marRight w:val="0"/>
                  <w:marTop w:val="0"/>
                  <w:marBottom w:val="0"/>
                  <w:divBdr>
                    <w:top w:val="none" w:sz="0" w:space="0" w:color="auto"/>
                    <w:left w:val="none" w:sz="0" w:space="0" w:color="auto"/>
                    <w:bottom w:val="none" w:sz="0" w:space="0" w:color="auto"/>
                    <w:right w:val="none" w:sz="0" w:space="0" w:color="auto"/>
                  </w:divBdr>
                </w:div>
                <w:div w:id="1094517861">
                  <w:marLeft w:val="0"/>
                  <w:marRight w:val="0"/>
                  <w:marTop w:val="0"/>
                  <w:marBottom w:val="0"/>
                  <w:divBdr>
                    <w:top w:val="none" w:sz="0" w:space="0" w:color="auto"/>
                    <w:left w:val="none" w:sz="0" w:space="0" w:color="auto"/>
                    <w:bottom w:val="none" w:sz="0" w:space="0" w:color="auto"/>
                    <w:right w:val="none" w:sz="0" w:space="0" w:color="auto"/>
                  </w:divBdr>
                </w:div>
                <w:div w:id="1149402545">
                  <w:marLeft w:val="0"/>
                  <w:marRight w:val="0"/>
                  <w:marTop w:val="0"/>
                  <w:marBottom w:val="0"/>
                  <w:divBdr>
                    <w:top w:val="none" w:sz="0" w:space="0" w:color="auto"/>
                    <w:left w:val="none" w:sz="0" w:space="0" w:color="auto"/>
                    <w:bottom w:val="none" w:sz="0" w:space="0" w:color="auto"/>
                    <w:right w:val="none" w:sz="0" w:space="0" w:color="auto"/>
                  </w:divBdr>
                </w:div>
                <w:div w:id="1164585740">
                  <w:marLeft w:val="0"/>
                  <w:marRight w:val="0"/>
                  <w:marTop w:val="0"/>
                  <w:marBottom w:val="0"/>
                  <w:divBdr>
                    <w:top w:val="none" w:sz="0" w:space="0" w:color="auto"/>
                    <w:left w:val="none" w:sz="0" w:space="0" w:color="auto"/>
                    <w:bottom w:val="none" w:sz="0" w:space="0" w:color="auto"/>
                    <w:right w:val="none" w:sz="0" w:space="0" w:color="auto"/>
                  </w:divBdr>
                </w:div>
                <w:div w:id="1249077434">
                  <w:marLeft w:val="0"/>
                  <w:marRight w:val="0"/>
                  <w:marTop w:val="0"/>
                  <w:marBottom w:val="0"/>
                  <w:divBdr>
                    <w:top w:val="none" w:sz="0" w:space="0" w:color="auto"/>
                    <w:left w:val="none" w:sz="0" w:space="0" w:color="auto"/>
                    <w:bottom w:val="none" w:sz="0" w:space="0" w:color="auto"/>
                    <w:right w:val="none" w:sz="0" w:space="0" w:color="auto"/>
                  </w:divBdr>
                </w:div>
                <w:div w:id="1284389020">
                  <w:marLeft w:val="0"/>
                  <w:marRight w:val="0"/>
                  <w:marTop w:val="0"/>
                  <w:marBottom w:val="0"/>
                  <w:divBdr>
                    <w:top w:val="none" w:sz="0" w:space="0" w:color="auto"/>
                    <w:left w:val="none" w:sz="0" w:space="0" w:color="auto"/>
                    <w:bottom w:val="none" w:sz="0" w:space="0" w:color="auto"/>
                    <w:right w:val="none" w:sz="0" w:space="0" w:color="auto"/>
                  </w:divBdr>
                </w:div>
                <w:div w:id="1300721589">
                  <w:marLeft w:val="0"/>
                  <w:marRight w:val="0"/>
                  <w:marTop w:val="0"/>
                  <w:marBottom w:val="0"/>
                  <w:divBdr>
                    <w:top w:val="none" w:sz="0" w:space="0" w:color="auto"/>
                    <w:left w:val="none" w:sz="0" w:space="0" w:color="auto"/>
                    <w:bottom w:val="none" w:sz="0" w:space="0" w:color="auto"/>
                    <w:right w:val="none" w:sz="0" w:space="0" w:color="auto"/>
                  </w:divBdr>
                </w:div>
                <w:div w:id="1355350925">
                  <w:marLeft w:val="0"/>
                  <w:marRight w:val="0"/>
                  <w:marTop w:val="0"/>
                  <w:marBottom w:val="0"/>
                  <w:divBdr>
                    <w:top w:val="none" w:sz="0" w:space="0" w:color="auto"/>
                    <w:left w:val="none" w:sz="0" w:space="0" w:color="auto"/>
                    <w:bottom w:val="none" w:sz="0" w:space="0" w:color="auto"/>
                    <w:right w:val="none" w:sz="0" w:space="0" w:color="auto"/>
                  </w:divBdr>
                </w:div>
                <w:div w:id="1411122982">
                  <w:marLeft w:val="0"/>
                  <w:marRight w:val="0"/>
                  <w:marTop w:val="0"/>
                  <w:marBottom w:val="0"/>
                  <w:divBdr>
                    <w:top w:val="none" w:sz="0" w:space="0" w:color="auto"/>
                    <w:left w:val="none" w:sz="0" w:space="0" w:color="auto"/>
                    <w:bottom w:val="none" w:sz="0" w:space="0" w:color="auto"/>
                    <w:right w:val="none" w:sz="0" w:space="0" w:color="auto"/>
                  </w:divBdr>
                </w:div>
                <w:div w:id="1449006815">
                  <w:marLeft w:val="0"/>
                  <w:marRight w:val="0"/>
                  <w:marTop w:val="0"/>
                  <w:marBottom w:val="0"/>
                  <w:divBdr>
                    <w:top w:val="none" w:sz="0" w:space="0" w:color="auto"/>
                    <w:left w:val="none" w:sz="0" w:space="0" w:color="auto"/>
                    <w:bottom w:val="none" w:sz="0" w:space="0" w:color="auto"/>
                    <w:right w:val="none" w:sz="0" w:space="0" w:color="auto"/>
                  </w:divBdr>
                </w:div>
                <w:div w:id="1452673589">
                  <w:marLeft w:val="0"/>
                  <w:marRight w:val="0"/>
                  <w:marTop w:val="0"/>
                  <w:marBottom w:val="0"/>
                  <w:divBdr>
                    <w:top w:val="none" w:sz="0" w:space="0" w:color="auto"/>
                    <w:left w:val="none" w:sz="0" w:space="0" w:color="auto"/>
                    <w:bottom w:val="none" w:sz="0" w:space="0" w:color="auto"/>
                    <w:right w:val="none" w:sz="0" w:space="0" w:color="auto"/>
                  </w:divBdr>
                </w:div>
                <w:div w:id="1605766061">
                  <w:marLeft w:val="0"/>
                  <w:marRight w:val="0"/>
                  <w:marTop w:val="0"/>
                  <w:marBottom w:val="0"/>
                  <w:divBdr>
                    <w:top w:val="none" w:sz="0" w:space="0" w:color="auto"/>
                    <w:left w:val="none" w:sz="0" w:space="0" w:color="auto"/>
                    <w:bottom w:val="none" w:sz="0" w:space="0" w:color="auto"/>
                    <w:right w:val="none" w:sz="0" w:space="0" w:color="auto"/>
                  </w:divBdr>
                </w:div>
                <w:div w:id="1634361263">
                  <w:marLeft w:val="0"/>
                  <w:marRight w:val="0"/>
                  <w:marTop w:val="0"/>
                  <w:marBottom w:val="0"/>
                  <w:divBdr>
                    <w:top w:val="none" w:sz="0" w:space="0" w:color="auto"/>
                    <w:left w:val="none" w:sz="0" w:space="0" w:color="auto"/>
                    <w:bottom w:val="none" w:sz="0" w:space="0" w:color="auto"/>
                    <w:right w:val="none" w:sz="0" w:space="0" w:color="auto"/>
                  </w:divBdr>
                </w:div>
                <w:div w:id="1733457598">
                  <w:marLeft w:val="0"/>
                  <w:marRight w:val="0"/>
                  <w:marTop w:val="0"/>
                  <w:marBottom w:val="0"/>
                  <w:divBdr>
                    <w:top w:val="none" w:sz="0" w:space="0" w:color="auto"/>
                    <w:left w:val="none" w:sz="0" w:space="0" w:color="auto"/>
                    <w:bottom w:val="none" w:sz="0" w:space="0" w:color="auto"/>
                    <w:right w:val="none" w:sz="0" w:space="0" w:color="auto"/>
                  </w:divBdr>
                </w:div>
                <w:div w:id="1812479475">
                  <w:marLeft w:val="0"/>
                  <w:marRight w:val="0"/>
                  <w:marTop w:val="0"/>
                  <w:marBottom w:val="0"/>
                  <w:divBdr>
                    <w:top w:val="none" w:sz="0" w:space="0" w:color="auto"/>
                    <w:left w:val="none" w:sz="0" w:space="0" w:color="auto"/>
                    <w:bottom w:val="none" w:sz="0" w:space="0" w:color="auto"/>
                    <w:right w:val="none" w:sz="0" w:space="0" w:color="auto"/>
                  </w:divBdr>
                </w:div>
                <w:div w:id="1907765604">
                  <w:marLeft w:val="0"/>
                  <w:marRight w:val="0"/>
                  <w:marTop w:val="0"/>
                  <w:marBottom w:val="0"/>
                  <w:divBdr>
                    <w:top w:val="none" w:sz="0" w:space="0" w:color="auto"/>
                    <w:left w:val="none" w:sz="0" w:space="0" w:color="auto"/>
                    <w:bottom w:val="none" w:sz="0" w:space="0" w:color="auto"/>
                    <w:right w:val="none" w:sz="0" w:space="0" w:color="auto"/>
                  </w:divBdr>
                </w:div>
                <w:div w:id="1908880093">
                  <w:marLeft w:val="0"/>
                  <w:marRight w:val="0"/>
                  <w:marTop w:val="0"/>
                  <w:marBottom w:val="0"/>
                  <w:divBdr>
                    <w:top w:val="none" w:sz="0" w:space="0" w:color="auto"/>
                    <w:left w:val="none" w:sz="0" w:space="0" w:color="auto"/>
                    <w:bottom w:val="none" w:sz="0" w:space="0" w:color="auto"/>
                    <w:right w:val="none" w:sz="0" w:space="0" w:color="auto"/>
                  </w:divBdr>
                </w:div>
                <w:div w:id="1911651193">
                  <w:marLeft w:val="0"/>
                  <w:marRight w:val="0"/>
                  <w:marTop w:val="0"/>
                  <w:marBottom w:val="0"/>
                  <w:divBdr>
                    <w:top w:val="none" w:sz="0" w:space="0" w:color="auto"/>
                    <w:left w:val="none" w:sz="0" w:space="0" w:color="auto"/>
                    <w:bottom w:val="none" w:sz="0" w:space="0" w:color="auto"/>
                    <w:right w:val="none" w:sz="0" w:space="0" w:color="auto"/>
                  </w:divBdr>
                </w:div>
                <w:div w:id="2037844961">
                  <w:marLeft w:val="0"/>
                  <w:marRight w:val="0"/>
                  <w:marTop w:val="0"/>
                  <w:marBottom w:val="0"/>
                  <w:divBdr>
                    <w:top w:val="none" w:sz="0" w:space="0" w:color="auto"/>
                    <w:left w:val="none" w:sz="0" w:space="0" w:color="auto"/>
                    <w:bottom w:val="none" w:sz="0" w:space="0" w:color="auto"/>
                    <w:right w:val="none" w:sz="0" w:space="0" w:color="auto"/>
                  </w:divBdr>
                </w:div>
                <w:div w:id="2133204571">
                  <w:marLeft w:val="0"/>
                  <w:marRight w:val="0"/>
                  <w:marTop w:val="0"/>
                  <w:marBottom w:val="0"/>
                  <w:divBdr>
                    <w:top w:val="none" w:sz="0" w:space="0" w:color="auto"/>
                    <w:left w:val="none" w:sz="0" w:space="0" w:color="auto"/>
                    <w:bottom w:val="none" w:sz="0" w:space="0" w:color="auto"/>
                    <w:right w:val="none" w:sz="0" w:space="0" w:color="auto"/>
                  </w:divBdr>
                </w:div>
                <w:div w:id="2141918161">
                  <w:marLeft w:val="0"/>
                  <w:marRight w:val="0"/>
                  <w:marTop w:val="0"/>
                  <w:marBottom w:val="0"/>
                  <w:divBdr>
                    <w:top w:val="none" w:sz="0" w:space="0" w:color="auto"/>
                    <w:left w:val="none" w:sz="0" w:space="0" w:color="auto"/>
                    <w:bottom w:val="none" w:sz="0" w:space="0" w:color="auto"/>
                    <w:right w:val="none" w:sz="0" w:space="0" w:color="auto"/>
                  </w:divBdr>
                </w:div>
                <w:div w:id="21472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8901">
      <w:bodyDiv w:val="1"/>
      <w:marLeft w:val="0"/>
      <w:marRight w:val="0"/>
      <w:marTop w:val="0"/>
      <w:marBottom w:val="0"/>
      <w:divBdr>
        <w:top w:val="none" w:sz="0" w:space="0" w:color="auto"/>
        <w:left w:val="none" w:sz="0" w:space="0" w:color="auto"/>
        <w:bottom w:val="none" w:sz="0" w:space="0" w:color="auto"/>
        <w:right w:val="none" w:sz="0" w:space="0" w:color="auto"/>
      </w:divBdr>
    </w:div>
    <w:div w:id="273365031">
      <w:bodyDiv w:val="1"/>
      <w:marLeft w:val="0"/>
      <w:marRight w:val="0"/>
      <w:marTop w:val="0"/>
      <w:marBottom w:val="0"/>
      <w:divBdr>
        <w:top w:val="none" w:sz="0" w:space="0" w:color="auto"/>
        <w:left w:val="none" w:sz="0" w:space="0" w:color="auto"/>
        <w:bottom w:val="none" w:sz="0" w:space="0" w:color="auto"/>
        <w:right w:val="none" w:sz="0" w:space="0" w:color="auto"/>
      </w:divBdr>
    </w:div>
    <w:div w:id="278337613">
      <w:bodyDiv w:val="1"/>
      <w:marLeft w:val="0"/>
      <w:marRight w:val="0"/>
      <w:marTop w:val="0"/>
      <w:marBottom w:val="0"/>
      <w:divBdr>
        <w:top w:val="none" w:sz="0" w:space="0" w:color="auto"/>
        <w:left w:val="none" w:sz="0" w:space="0" w:color="auto"/>
        <w:bottom w:val="none" w:sz="0" w:space="0" w:color="auto"/>
        <w:right w:val="none" w:sz="0" w:space="0" w:color="auto"/>
      </w:divBdr>
    </w:div>
    <w:div w:id="283000414">
      <w:bodyDiv w:val="1"/>
      <w:marLeft w:val="0"/>
      <w:marRight w:val="0"/>
      <w:marTop w:val="0"/>
      <w:marBottom w:val="0"/>
      <w:divBdr>
        <w:top w:val="none" w:sz="0" w:space="0" w:color="auto"/>
        <w:left w:val="none" w:sz="0" w:space="0" w:color="auto"/>
        <w:bottom w:val="none" w:sz="0" w:space="0" w:color="auto"/>
        <w:right w:val="none" w:sz="0" w:space="0" w:color="auto"/>
      </w:divBdr>
    </w:div>
    <w:div w:id="289358005">
      <w:bodyDiv w:val="1"/>
      <w:marLeft w:val="0"/>
      <w:marRight w:val="0"/>
      <w:marTop w:val="0"/>
      <w:marBottom w:val="0"/>
      <w:divBdr>
        <w:top w:val="none" w:sz="0" w:space="0" w:color="auto"/>
        <w:left w:val="none" w:sz="0" w:space="0" w:color="auto"/>
        <w:bottom w:val="none" w:sz="0" w:space="0" w:color="auto"/>
        <w:right w:val="none" w:sz="0" w:space="0" w:color="auto"/>
      </w:divBdr>
    </w:div>
    <w:div w:id="307249021">
      <w:bodyDiv w:val="1"/>
      <w:marLeft w:val="0"/>
      <w:marRight w:val="0"/>
      <w:marTop w:val="0"/>
      <w:marBottom w:val="0"/>
      <w:divBdr>
        <w:top w:val="none" w:sz="0" w:space="0" w:color="auto"/>
        <w:left w:val="none" w:sz="0" w:space="0" w:color="auto"/>
        <w:bottom w:val="none" w:sz="0" w:space="0" w:color="auto"/>
        <w:right w:val="none" w:sz="0" w:space="0" w:color="auto"/>
      </w:divBdr>
      <w:divsChild>
        <w:div w:id="2082559353">
          <w:marLeft w:val="0"/>
          <w:marRight w:val="0"/>
          <w:marTop w:val="0"/>
          <w:marBottom w:val="0"/>
          <w:divBdr>
            <w:top w:val="none" w:sz="0" w:space="0" w:color="auto"/>
            <w:left w:val="none" w:sz="0" w:space="0" w:color="auto"/>
            <w:bottom w:val="none" w:sz="0" w:space="0" w:color="auto"/>
            <w:right w:val="none" w:sz="0" w:space="0" w:color="auto"/>
          </w:divBdr>
          <w:divsChild>
            <w:div w:id="497161324">
              <w:marLeft w:val="0"/>
              <w:marRight w:val="0"/>
              <w:marTop w:val="0"/>
              <w:marBottom w:val="0"/>
              <w:divBdr>
                <w:top w:val="none" w:sz="0" w:space="0" w:color="auto"/>
                <w:left w:val="none" w:sz="0" w:space="0" w:color="auto"/>
                <w:bottom w:val="none" w:sz="0" w:space="0" w:color="auto"/>
                <w:right w:val="none" w:sz="0" w:space="0" w:color="auto"/>
              </w:divBdr>
              <w:divsChild>
                <w:div w:id="847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4253">
      <w:bodyDiv w:val="1"/>
      <w:marLeft w:val="0"/>
      <w:marRight w:val="0"/>
      <w:marTop w:val="0"/>
      <w:marBottom w:val="0"/>
      <w:divBdr>
        <w:top w:val="none" w:sz="0" w:space="0" w:color="auto"/>
        <w:left w:val="none" w:sz="0" w:space="0" w:color="auto"/>
        <w:bottom w:val="none" w:sz="0" w:space="0" w:color="auto"/>
        <w:right w:val="none" w:sz="0" w:space="0" w:color="auto"/>
      </w:divBdr>
    </w:div>
    <w:div w:id="314140629">
      <w:bodyDiv w:val="1"/>
      <w:marLeft w:val="0"/>
      <w:marRight w:val="0"/>
      <w:marTop w:val="0"/>
      <w:marBottom w:val="0"/>
      <w:divBdr>
        <w:top w:val="none" w:sz="0" w:space="0" w:color="auto"/>
        <w:left w:val="none" w:sz="0" w:space="0" w:color="auto"/>
        <w:bottom w:val="none" w:sz="0" w:space="0" w:color="auto"/>
        <w:right w:val="none" w:sz="0" w:space="0" w:color="auto"/>
      </w:divBdr>
    </w:div>
    <w:div w:id="322508695">
      <w:bodyDiv w:val="1"/>
      <w:marLeft w:val="0"/>
      <w:marRight w:val="0"/>
      <w:marTop w:val="0"/>
      <w:marBottom w:val="0"/>
      <w:divBdr>
        <w:top w:val="none" w:sz="0" w:space="0" w:color="auto"/>
        <w:left w:val="none" w:sz="0" w:space="0" w:color="auto"/>
        <w:bottom w:val="none" w:sz="0" w:space="0" w:color="auto"/>
        <w:right w:val="none" w:sz="0" w:space="0" w:color="auto"/>
      </w:divBdr>
    </w:div>
    <w:div w:id="327051862">
      <w:bodyDiv w:val="1"/>
      <w:marLeft w:val="0"/>
      <w:marRight w:val="0"/>
      <w:marTop w:val="0"/>
      <w:marBottom w:val="0"/>
      <w:divBdr>
        <w:top w:val="none" w:sz="0" w:space="0" w:color="auto"/>
        <w:left w:val="none" w:sz="0" w:space="0" w:color="auto"/>
        <w:bottom w:val="none" w:sz="0" w:space="0" w:color="auto"/>
        <w:right w:val="none" w:sz="0" w:space="0" w:color="auto"/>
      </w:divBdr>
    </w:div>
    <w:div w:id="335116554">
      <w:bodyDiv w:val="1"/>
      <w:marLeft w:val="0"/>
      <w:marRight w:val="0"/>
      <w:marTop w:val="0"/>
      <w:marBottom w:val="0"/>
      <w:divBdr>
        <w:top w:val="none" w:sz="0" w:space="0" w:color="auto"/>
        <w:left w:val="none" w:sz="0" w:space="0" w:color="auto"/>
        <w:bottom w:val="none" w:sz="0" w:space="0" w:color="auto"/>
        <w:right w:val="none" w:sz="0" w:space="0" w:color="auto"/>
      </w:divBdr>
    </w:div>
    <w:div w:id="351224326">
      <w:bodyDiv w:val="1"/>
      <w:marLeft w:val="0"/>
      <w:marRight w:val="0"/>
      <w:marTop w:val="0"/>
      <w:marBottom w:val="0"/>
      <w:divBdr>
        <w:top w:val="none" w:sz="0" w:space="0" w:color="auto"/>
        <w:left w:val="none" w:sz="0" w:space="0" w:color="auto"/>
        <w:bottom w:val="none" w:sz="0" w:space="0" w:color="auto"/>
        <w:right w:val="none" w:sz="0" w:space="0" w:color="auto"/>
      </w:divBdr>
    </w:div>
    <w:div w:id="353072331">
      <w:bodyDiv w:val="1"/>
      <w:marLeft w:val="0"/>
      <w:marRight w:val="0"/>
      <w:marTop w:val="0"/>
      <w:marBottom w:val="0"/>
      <w:divBdr>
        <w:top w:val="none" w:sz="0" w:space="0" w:color="auto"/>
        <w:left w:val="none" w:sz="0" w:space="0" w:color="auto"/>
        <w:bottom w:val="none" w:sz="0" w:space="0" w:color="auto"/>
        <w:right w:val="none" w:sz="0" w:space="0" w:color="auto"/>
      </w:divBdr>
    </w:div>
    <w:div w:id="370763180">
      <w:bodyDiv w:val="1"/>
      <w:marLeft w:val="0"/>
      <w:marRight w:val="0"/>
      <w:marTop w:val="0"/>
      <w:marBottom w:val="0"/>
      <w:divBdr>
        <w:top w:val="none" w:sz="0" w:space="0" w:color="auto"/>
        <w:left w:val="none" w:sz="0" w:space="0" w:color="auto"/>
        <w:bottom w:val="none" w:sz="0" w:space="0" w:color="auto"/>
        <w:right w:val="none" w:sz="0" w:space="0" w:color="auto"/>
      </w:divBdr>
    </w:div>
    <w:div w:id="370962599">
      <w:bodyDiv w:val="1"/>
      <w:marLeft w:val="0"/>
      <w:marRight w:val="0"/>
      <w:marTop w:val="0"/>
      <w:marBottom w:val="0"/>
      <w:divBdr>
        <w:top w:val="none" w:sz="0" w:space="0" w:color="auto"/>
        <w:left w:val="none" w:sz="0" w:space="0" w:color="auto"/>
        <w:bottom w:val="none" w:sz="0" w:space="0" w:color="auto"/>
        <w:right w:val="none" w:sz="0" w:space="0" w:color="auto"/>
      </w:divBdr>
    </w:div>
    <w:div w:id="413625973">
      <w:bodyDiv w:val="1"/>
      <w:marLeft w:val="0"/>
      <w:marRight w:val="0"/>
      <w:marTop w:val="0"/>
      <w:marBottom w:val="0"/>
      <w:divBdr>
        <w:top w:val="none" w:sz="0" w:space="0" w:color="auto"/>
        <w:left w:val="none" w:sz="0" w:space="0" w:color="auto"/>
        <w:bottom w:val="none" w:sz="0" w:space="0" w:color="auto"/>
        <w:right w:val="none" w:sz="0" w:space="0" w:color="auto"/>
      </w:divBdr>
    </w:div>
    <w:div w:id="416681686">
      <w:bodyDiv w:val="1"/>
      <w:marLeft w:val="0"/>
      <w:marRight w:val="0"/>
      <w:marTop w:val="0"/>
      <w:marBottom w:val="0"/>
      <w:divBdr>
        <w:top w:val="none" w:sz="0" w:space="0" w:color="auto"/>
        <w:left w:val="none" w:sz="0" w:space="0" w:color="auto"/>
        <w:bottom w:val="none" w:sz="0" w:space="0" w:color="auto"/>
        <w:right w:val="none" w:sz="0" w:space="0" w:color="auto"/>
      </w:divBdr>
    </w:div>
    <w:div w:id="426390436">
      <w:bodyDiv w:val="1"/>
      <w:marLeft w:val="0"/>
      <w:marRight w:val="0"/>
      <w:marTop w:val="0"/>
      <w:marBottom w:val="0"/>
      <w:divBdr>
        <w:top w:val="none" w:sz="0" w:space="0" w:color="auto"/>
        <w:left w:val="none" w:sz="0" w:space="0" w:color="auto"/>
        <w:bottom w:val="none" w:sz="0" w:space="0" w:color="auto"/>
        <w:right w:val="none" w:sz="0" w:space="0" w:color="auto"/>
      </w:divBdr>
    </w:div>
    <w:div w:id="427696993">
      <w:bodyDiv w:val="1"/>
      <w:marLeft w:val="0"/>
      <w:marRight w:val="0"/>
      <w:marTop w:val="0"/>
      <w:marBottom w:val="0"/>
      <w:divBdr>
        <w:top w:val="none" w:sz="0" w:space="0" w:color="auto"/>
        <w:left w:val="none" w:sz="0" w:space="0" w:color="auto"/>
        <w:bottom w:val="none" w:sz="0" w:space="0" w:color="auto"/>
        <w:right w:val="none" w:sz="0" w:space="0" w:color="auto"/>
      </w:divBdr>
    </w:div>
    <w:div w:id="441071841">
      <w:bodyDiv w:val="1"/>
      <w:marLeft w:val="0"/>
      <w:marRight w:val="0"/>
      <w:marTop w:val="0"/>
      <w:marBottom w:val="0"/>
      <w:divBdr>
        <w:top w:val="none" w:sz="0" w:space="0" w:color="auto"/>
        <w:left w:val="none" w:sz="0" w:space="0" w:color="auto"/>
        <w:bottom w:val="none" w:sz="0" w:space="0" w:color="auto"/>
        <w:right w:val="none" w:sz="0" w:space="0" w:color="auto"/>
      </w:divBdr>
    </w:div>
    <w:div w:id="454181532">
      <w:bodyDiv w:val="1"/>
      <w:marLeft w:val="0"/>
      <w:marRight w:val="0"/>
      <w:marTop w:val="0"/>
      <w:marBottom w:val="0"/>
      <w:divBdr>
        <w:top w:val="none" w:sz="0" w:space="0" w:color="auto"/>
        <w:left w:val="none" w:sz="0" w:space="0" w:color="auto"/>
        <w:bottom w:val="none" w:sz="0" w:space="0" w:color="auto"/>
        <w:right w:val="none" w:sz="0" w:space="0" w:color="auto"/>
      </w:divBdr>
    </w:div>
    <w:div w:id="461651136">
      <w:bodyDiv w:val="1"/>
      <w:marLeft w:val="0"/>
      <w:marRight w:val="0"/>
      <w:marTop w:val="0"/>
      <w:marBottom w:val="0"/>
      <w:divBdr>
        <w:top w:val="none" w:sz="0" w:space="0" w:color="auto"/>
        <w:left w:val="none" w:sz="0" w:space="0" w:color="auto"/>
        <w:bottom w:val="none" w:sz="0" w:space="0" w:color="auto"/>
        <w:right w:val="none" w:sz="0" w:space="0" w:color="auto"/>
      </w:divBdr>
    </w:div>
    <w:div w:id="470027039">
      <w:bodyDiv w:val="1"/>
      <w:marLeft w:val="0"/>
      <w:marRight w:val="0"/>
      <w:marTop w:val="0"/>
      <w:marBottom w:val="0"/>
      <w:divBdr>
        <w:top w:val="none" w:sz="0" w:space="0" w:color="auto"/>
        <w:left w:val="none" w:sz="0" w:space="0" w:color="auto"/>
        <w:bottom w:val="none" w:sz="0" w:space="0" w:color="auto"/>
        <w:right w:val="none" w:sz="0" w:space="0" w:color="auto"/>
      </w:divBdr>
      <w:divsChild>
        <w:div w:id="678511448">
          <w:marLeft w:val="0"/>
          <w:marRight w:val="0"/>
          <w:marTop w:val="0"/>
          <w:marBottom w:val="0"/>
          <w:divBdr>
            <w:top w:val="none" w:sz="0" w:space="0" w:color="auto"/>
            <w:left w:val="none" w:sz="0" w:space="0" w:color="auto"/>
            <w:bottom w:val="none" w:sz="0" w:space="0" w:color="auto"/>
            <w:right w:val="none" w:sz="0" w:space="0" w:color="auto"/>
          </w:divBdr>
          <w:divsChild>
            <w:div w:id="1207180231">
              <w:marLeft w:val="0"/>
              <w:marRight w:val="0"/>
              <w:marTop w:val="0"/>
              <w:marBottom w:val="0"/>
              <w:divBdr>
                <w:top w:val="none" w:sz="0" w:space="0" w:color="auto"/>
                <w:left w:val="none" w:sz="0" w:space="0" w:color="auto"/>
                <w:bottom w:val="none" w:sz="0" w:space="0" w:color="auto"/>
                <w:right w:val="none" w:sz="0" w:space="0" w:color="auto"/>
              </w:divBdr>
              <w:divsChild>
                <w:div w:id="4906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147">
      <w:bodyDiv w:val="1"/>
      <w:marLeft w:val="0"/>
      <w:marRight w:val="0"/>
      <w:marTop w:val="0"/>
      <w:marBottom w:val="0"/>
      <w:divBdr>
        <w:top w:val="none" w:sz="0" w:space="0" w:color="auto"/>
        <w:left w:val="none" w:sz="0" w:space="0" w:color="auto"/>
        <w:bottom w:val="none" w:sz="0" w:space="0" w:color="auto"/>
        <w:right w:val="none" w:sz="0" w:space="0" w:color="auto"/>
      </w:divBdr>
    </w:div>
    <w:div w:id="471794941">
      <w:bodyDiv w:val="1"/>
      <w:marLeft w:val="0"/>
      <w:marRight w:val="0"/>
      <w:marTop w:val="0"/>
      <w:marBottom w:val="0"/>
      <w:divBdr>
        <w:top w:val="none" w:sz="0" w:space="0" w:color="auto"/>
        <w:left w:val="none" w:sz="0" w:space="0" w:color="auto"/>
        <w:bottom w:val="none" w:sz="0" w:space="0" w:color="auto"/>
        <w:right w:val="none" w:sz="0" w:space="0" w:color="auto"/>
      </w:divBdr>
    </w:div>
    <w:div w:id="485706155">
      <w:bodyDiv w:val="1"/>
      <w:marLeft w:val="0"/>
      <w:marRight w:val="0"/>
      <w:marTop w:val="0"/>
      <w:marBottom w:val="0"/>
      <w:divBdr>
        <w:top w:val="none" w:sz="0" w:space="0" w:color="auto"/>
        <w:left w:val="none" w:sz="0" w:space="0" w:color="auto"/>
        <w:bottom w:val="none" w:sz="0" w:space="0" w:color="auto"/>
        <w:right w:val="none" w:sz="0" w:space="0" w:color="auto"/>
      </w:divBdr>
    </w:div>
    <w:div w:id="497624437">
      <w:bodyDiv w:val="1"/>
      <w:marLeft w:val="0"/>
      <w:marRight w:val="0"/>
      <w:marTop w:val="0"/>
      <w:marBottom w:val="0"/>
      <w:divBdr>
        <w:top w:val="none" w:sz="0" w:space="0" w:color="auto"/>
        <w:left w:val="none" w:sz="0" w:space="0" w:color="auto"/>
        <w:bottom w:val="none" w:sz="0" w:space="0" w:color="auto"/>
        <w:right w:val="none" w:sz="0" w:space="0" w:color="auto"/>
      </w:divBdr>
    </w:div>
    <w:div w:id="506990872">
      <w:bodyDiv w:val="1"/>
      <w:marLeft w:val="0"/>
      <w:marRight w:val="0"/>
      <w:marTop w:val="0"/>
      <w:marBottom w:val="0"/>
      <w:divBdr>
        <w:top w:val="none" w:sz="0" w:space="0" w:color="auto"/>
        <w:left w:val="none" w:sz="0" w:space="0" w:color="auto"/>
        <w:bottom w:val="none" w:sz="0" w:space="0" w:color="auto"/>
        <w:right w:val="none" w:sz="0" w:space="0" w:color="auto"/>
      </w:divBdr>
    </w:div>
    <w:div w:id="513495507">
      <w:bodyDiv w:val="1"/>
      <w:marLeft w:val="0"/>
      <w:marRight w:val="0"/>
      <w:marTop w:val="0"/>
      <w:marBottom w:val="0"/>
      <w:divBdr>
        <w:top w:val="none" w:sz="0" w:space="0" w:color="auto"/>
        <w:left w:val="none" w:sz="0" w:space="0" w:color="auto"/>
        <w:bottom w:val="none" w:sz="0" w:space="0" w:color="auto"/>
        <w:right w:val="none" w:sz="0" w:space="0" w:color="auto"/>
      </w:divBdr>
    </w:div>
    <w:div w:id="515507616">
      <w:bodyDiv w:val="1"/>
      <w:marLeft w:val="0"/>
      <w:marRight w:val="0"/>
      <w:marTop w:val="0"/>
      <w:marBottom w:val="0"/>
      <w:divBdr>
        <w:top w:val="none" w:sz="0" w:space="0" w:color="auto"/>
        <w:left w:val="none" w:sz="0" w:space="0" w:color="auto"/>
        <w:bottom w:val="none" w:sz="0" w:space="0" w:color="auto"/>
        <w:right w:val="none" w:sz="0" w:space="0" w:color="auto"/>
      </w:divBdr>
    </w:div>
    <w:div w:id="530067309">
      <w:bodyDiv w:val="1"/>
      <w:marLeft w:val="0"/>
      <w:marRight w:val="0"/>
      <w:marTop w:val="0"/>
      <w:marBottom w:val="0"/>
      <w:divBdr>
        <w:top w:val="none" w:sz="0" w:space="0" w:color="auto"/>
        <w:left w:val="none" w:sz="0" w:space="0" w:color="auto"/>
        <w:bottom w:val="none" w:sz="0" w:space="0" w:color="auto"/>
        <w:right w:val="none" w:sz="0" w:space="0" w:color="auto"/>
      </w:divBdr>
    </w:div>
    <w:div w:id="549340818">
      <w:bodyDiv w:val="1"/>
      <w:marLeft w:val="0"/>
      <w:marRight w:val="0"/>
      <w:marTop w:val="0"/>
      <w:marBottom w:val="0"/>
      <w:divBdr>
        <w:top w:val="none" w:sz="0" w:space="0" w:color="auto"/>
        <w:left w:val="none" w:sz="0" w:space="0" w:color="auto"/>
        <w:bottom w:val="none" w:sz="0" w:space="0" w:color="auto"/>
        <w:right w:val="none" w:sz="0" w:space="0" w:color="auto"/>
      </w:divBdr>
    </w:div>
    <w:div w:id="584536887">
      <w:bodyDiv w:val="1"/>
      <w:marLeft w:val="0"/>
      <w:marRight w:val="0"/>
      <w:marTop w:val="0"/>
      <w:marBottom w:val="0"/>
      <w:divBdr>
        <w:top w:val="none" w:sz="0" w:space="0" w:color="auto"/>
        <w:left w:val="none" w:sz="0" w:space="0" w:color="auto"/>
        <w:bottom w:val="none" w:sz="0" w:space="0" w:color="auto"/>
        <w:right w:val="none" w:sz="0" w:space="0" w:color="auto"/>
      </w:divBdr>
    </w:div>
    <w:div w:id="601911657">
      <w:bodyDiv w:val="1"/>
      <w:marLeft w:val="0"/>
      <w:marRight w:val="0"/>
      <w:marTop w:val="0"/>
      <w:marBottom w:val="0"/>
      <w:divBdr>
        <w:top w:val="none" w:sz="0" w:space="0" w:color="auto"/>
        <w:left w:val="none" w:sz="0" w:space="0" w:color="auto"/>
        <w:bottom w:val="none" w:sz="0" w:space="0" w:color="auto"/>
        <w:right w:val="none" w:sz="0" w:space="0" w:color="auto"/>
      </w:divBdr>
    </w:div>
    <w:div w:id="602035420">
      <w:bodyDiv w:val="1"/>
      <w:marLeft w:val="0"/>
      <w:marRight w:val="0"/>
      <w:marTop w:val="0"/>
      <w:marBottom w:val="0"/>
      <w:divBdr>
        <w:top w:val="none" w:sz="0" w:space="0" w:color="auto"/>
        <w:left w:val="none" w:sz="0" w:space="0" w:color="auto"/>
        <w:bottom w:val="none" w:sz="0" w:space="0" w:color="auto"/>
        <w:right w:val="none" w:sz="0" w:space="0" w:color="auto"/>
      </w:divBdr>
    </w:div>
    <w:div w:id="621499486">
      <w:bodyDiv w:val="1"/>
      <w:marLeft w:val="0"/>
      <w:marRight w:val="0"/>
      <w:marTop w:val="0"/>
      <w:marBottom w:val="0"/>
      <w:divBdr>
        <w:top w:val="none" w:sz="0" w:space="0" w:color="auto"/>
        <w:left w:val="none" w:sz="0" w:space="0" w:color="auto"/>
        <w:bottom w:val="none" w:sz="0" w:space="0" w:color="auto"/>
        <w:right w:val="none" w:sz="0" w:space="0" w:color="auto"/>
      </w:divBdr>
    </w:div>
    <w:div w:id="646478064">
      <w:bodyDiv w:val="1"/>
      <w:marLeft w:val="0"/>
      <w:marRight w:val="0"/>
      <w:marTop w:val="0"/>
      <w:marBottom w:val="0"/>
      <w:divBdr>
        <w:top w:val="none" w:sz="0" w:space="0" w:color="auto"/>
        <w:left w:val="none" w:sz="0" w:space="0" w:color="auto"/>
        <w:bottom w:val="none" w:sz="0" w:space="0" w:color="auto"/>
        <w:right w:val="none" w:sz="0" w:space="0" w:color="auto"/>
      </w:divBdr>
    </w:div>
    <w:div w:id="656424454">
      <w:bodyDiv w:val="1"/>
      <w:marLeft w:val="0"/>
      <w:marRight w:val="0"/>
      <w:marTop w:val="0"/>
      <w:marBottom w:val="0"/>
      <w:divBdr>
        <w:top w:val="none" w:sz="0" w:space="0" w:color="auto"/>
        <w:left w:val="none" w:sz="0" w:space="0" w:color="auto"/>
        <w:bottom w:val="none" w:sz="0" w:space="0" w:color="auto"/>
        <w:right w:val="none" w:sz="0" w:space="0" w:color="auto"/>
      </w:divBdr>
    </w:div>
    <w:div w:id="662245622">
      <w:bodyDiv w:val="1"/>
      <w:marLeft w:val="0"/>
      <w:marRight w:val="0"/>
      <w:marTop w:val="0"/>
      <w:marBottom w:val="0"/>
      <w:divBdr>
        <w:top w:val="none" w:sz="0" w:space="0" w:color="auto"/>
        <w:left w:val="none" w:sz="0" w:space="0" w:color="auto"/>
        <w:bottom w:val="none" w:sz="0" w:space="0" w:color="auto"/>
        <w:right w:val="none" w:sz="0" w:space="0" w:color="auto"/>
      </w:divBdr>
    </w:div>
    <w:div w:id="664288819">
      <w:bodyDiv w:val="1"/>
      <w:marLeft w:val="0"/>
      <w:marRight w:val="0"/>
      <w:marTop w:val="0"/>
      <w:marBottom w:val="0"/>
      <w:divBdr>
        <w:top w:val="none" w:sz="0" w:space="0" w:color="auto"/>
        <w:left w:val="none" w:sz="0" w:space="0" w:color="auto"/>
        <w:bottom w:val="none" w:sz="0" w:space="0" w:color="auto"/>
        <w:right w:val="none" w:sz="0" w:space="0" w:color="auto"/>
      </w:divBdr>
    </w:div>
    <w:div w:id="686640902">
      <w:bodyDiv w:val="1"/>
      <w:marLeft w:val="0"/>
      <w:marRight w:val="0"/>
      <w:marTop w:val="0"/>
      <w:marBottom w:val="0"/>
      <w:divBdr>
        <w:top w:val="none" w:sz="0" w:space="0" w:color="auto"/>
        <w:left w:val="none" w:sz="0" w:space="0" w:color="auto"/>
        <w:bottom w:val="none" w:sz="0" w:space="0" w:color="auto"/>
        <w:right w:val="none" w:sz="0" w:space="0" w:color="auto"/>
      </w:divBdr>
      <w:divsChild>
        <w:div w:id="516116777">
          <w:marLeft w:val="0"/>
          <w:marRight w:val="0"/>
          <w:marTop w:val="0"/>
          <w:marBottom w:val="0"/>
          <w:divBdr>
            <w:top w:val="none" w:sz="0" w:space="0" w:color="auto"/>
            <w:left w:val="none" w:sz="0" w:space="0" w:color="auto"/>
            <w:bottom w:val="none" w:sz="0" w:space="0" w:color="auto"/>
            <w:right w:val="none" w:sz="0" w:space="0" w:color="auto"/>
          </w:divBdr>
        </w:div>
        <w:div w:id="1371999379">
          <w:marLeft w:val="0"/>
          <w:marRight w:val="0"/>
          <w:marTop w:val="0"/>
          <w:marBottom w:val="0"/>
          <w:divBdr>
            <w:top w:val="none" w:sz="0" w:space="0" w:color="auto"/>
            <w:left w:val="none" w:sz="0" w:space="0" w:color="auto"/>
            <w:bottom w:val="none" w:sz="0" w:space="0" w:color="auto"/>
            <w:right w:val="none" w:sz="0" w:space="0" w:color="auto"/>
          </w:divBdr>
        </w:div>
        <w:div w:id="1703750893">
          <w:marLeft w:val="0"/>
          <w:marRight w:val="0"/>
          <w:marTop w:val="0"/>
          <w:marBottom w:val="0"/>
          <w:divBdr>
            <w:top w:val="none" w:sz="0" w:space="0" w:color="auto"/>
            <w:left w:val="none" w:sz="0" w:space="0" w:color="auto"/>
            <w:bottom w:val="none" w:sz="0" w:space="0" w:color="auto"/>
            <w:right w:val="none" w:sz="0" w:space="0" w:color="auto"/>
          </w:divBdr>
        </w:div>
      </w:divsChild>
    </w:div>
    <w:div w:id="692927144">
      <w:bodyDiv w:val="1"/>
      <w:marLeft w:val="0"/>
      <w:marRight w:val="0"/>
      <w:marTop w:val="0"/>
      <w:marBottom w:val="0"/>
      <w:divBdr>
        <w:top w:val="none" w:sz="0" w:space="0" w:color="auto"/>
        <w:left w:val="none" w:sz="0" w:space="0" w:color="auto"/>
        <w:bottom w:val="none" w:sz="0" w:space="0" w:color="auto"/>
        <w:right w:val="none" w:sz="0" w:space="0" w:color="auto"/>
      </w:divBdr>
    </w:div>
    <w:div w:id="696736842">
      <w:bodyDiv w:val="1"/>
      <w:marLeft w:val="0"/>
      <w:marRight w:val="0"/>
      <w:marTop w:val="0"/>
      <w:marBottom w:val="0"/>
      <w:divBdr>
        <w:top w:val="none" w:sz="0" w:space="0" w:color="auto"/>
        <w:left w:val="none" w:sz="0" w:space="0" w:color="auto"/>
        <w:bottom w:val="none" w:sz="0" w:space="0" w:color="auto"/>
        <w:right w:val="none" w:sz="0" w:space="0" w:color="auto"/>
      </w:divBdr>
    </w:div>
    <w:div w:id="702050365">
      <w:bodyDiv w:val="1"/>
      <w:marLeft w:val="0"/>
      <w:marRight w:val="0"/>
      <w:marTop w:val="0"/>
      <w:marBottom w:val="0"/>
      <w:divBdr>
        <w:top w:val="none" w:sz="0" w:space="0" w:color="auto"/>
        <w:left w:val="none" w:sz="0" w:space="0" w:color="auto"/>
        <w:bottom w:val="none" w:sz="0" w:space="0" w:color="auto"/>
        <w:right w:val="none" w:sz="0" w:space="0" w:color="auto"/>
      </w:divBdr>
    </w:div>
    <w:div w:id="718209057">
      <w:bodyDiv w:val="1"/>
      <w:marLeft w:val="0"/>
      <w:marRight w:val="0"/>
      <w:marTop w:val="0"/>
      <w:marBottom w:val="0"/>
      <w:divBdr>
        <w:top w:val="none" w:sz="0" w:space="0" w:color="auto"/>
        <w:left w:val="none" w:sz="0" w:space="0" w:color="auto"/>
        <w:bottom w:val="none" w:sz="0" w:space="0" w:color="auto"/>
        <w:right w:val="none" w:sz="0" w:space="0" w:color="auto"/>
      </w:divBdr>
    </w:div>
    <w:div w:id="774331205">
      <w:bodyDiv w:val="1"/>
      <w:marLeft w:val="0"/>
      <w:marRight w:val="0"/>
      <w:marTop w:val="0"/>
      <w:marBottom w:val="0"/>
      <w:divBdr>
        <w:top w:val="none" w:sz="0" w:space="0" w:color="auto"/>
        <w:left w:val="none" w:sz="0" w:space="0" w:color="auto"/>
        <w:bottom w:val="none" w:sz="0" w:space="0" w:color="auto"/>
        <w:right w:val="none" w:sz="0" w:space="0" w:color="auto"/>
      </w:divBdr>
    </w:div>
    <w:div w:id="778764614">
      <w:bodyDiv w:val="1"/>
      <w:marLeft w:val="0"/>
      <w:marRight w:val="0"/>
      <w:marTop w:val="0"/>
      <w:marBottom w:val="0"/>
      <w:divBdr>
        <w:top w:val="none" w:sz="0" w:space="0" w:color="auto"/>
        <w:left w:val="none" w:sz="0" w:space="0" w:color="auto"/>
        <w:bottom w:val="none" w:sz="0" w:space="0" w:color="auto"/>
        <w:right w:val="none" w:sz="0" w:space="0" w:color="auto"/>
      </w:divBdr>
    </w:div>
    <w:div w:id="792796001">
      <w:bodyDiv w:val="1"/>
      <w:marLeft w:val="0"/>
      <w:marRight w:val="0"/>
      <w:marTop w:val="0"/>
      <w:marBottom w:val="0"/>
      <w:divBdr>
        <w:top w:val="none" w:sz="0" w:space="0" w:color="auto"/>
        <w:left w:val="none" w:sz="0" w:space="0" w:color="auto"/>
        <w:bottom w:val="none" w:sz="0" w:space="0" w:color="auto"/>
        <w:right w:val="none" w:sz="0" w:space="0" w:color="auto"/>
      </w:divBdr>
    </w:div>
    <w:div w:id="794718391">
      <w:bodyDiv w:val="1"/>
      <w:marLeft w:val="0"/>
      <w:marRight w:val="0"/>
      <w:marTop w:val="0"/>
      <w:marBottom w:val="0"/>
      <w:divBdr>
        <w:top w:val="none" w:sz="0" w:space="0" w:color="auto"/>
        <w:left w:val="none" w:sz="0" w:space="0" w:color="auto"/>
        <w:bottom w:val="none" w:sz="0" w:space="0" w:color="auto"/>
        <w:right w:val="none" w:sz="0" w:space="0" w:color="auto"/>
      </w:divBdr>
    </w:div>
    <w:div w:id="805005618">
      <w:bodyDiv w:val="1"/>
      <w:marLeft w:val="0"/>
      <w:marRight w:val="0"/>
      <w:marTop w:val="0"/>
      <w:marBottom w:val="0"/>
      <w:divBdr>
        <w:top w:val="none" w:sz="0" w:space="0" w:color="auto"/>
        <w:left w:val="none" w:sz="0" w:space="0" w:color="auto"/>
        <w:bottom w:val="none" w:sz="0" w:space="0" w:color="auto"/>
        <w:right w:val="none" w:sz="0" w:space="0" w:color="auto"/>
      </w:divBdr>
    </w:div>
    <w:div w:id="816385540">
      <w:bodyDiv w:val="1"/>
      <w:marLeft w:val="0"/>
      <w:marRight w:val="0"/>
      <w:marTop w:val="0"/>
      <w:marBottom w:val="0"/>
      <w:divBdr>
        <w:top w:val="none" w:sz="0" w:space="0" w:color="auto"/>
        <w:left w:val="none" w:sz="0" w:space="0" w:color="auto"/>
        <w:bottom w:val="none" w:sz="0" w:space="0" w:color="auto"/>
        <w:right w:val="none" w:sz="0" w:space="0" w:color="auto"/>
      </w:divBdr>
    </w:div>
    <w:div w:id="851260009">
      <w:bodyDiv w:val="1"/>
      <w:marLeft w:val="0"/>
      <w:marRight w:val="0"/>
      <w:marTop w:val="0"/>
      <w:marBottom w:val="0"/>
      <w:divBdr>
        <w:top w:val="none" w:sz="0" w:space="0" w:color="auto"/>
        <w:left w:val="none" w:sz="0" w:space="0" w:color="auto"/>
        <w:bottom w:val="none" w:sz="0" w:space="0" w:color="auto"/>
        <w:right w:val="none" w:sz="0" w:space="0" w:color="auto"/>
      </w:divBdr>
    </w:div>
    <w:div w:id="851332826">
      <w:bodyDiv w:val="1"/>
      <w:marLeft w:val="0"/>
      <w:marRight w:val="0"/>
      <w:marTop w:val="0"/>
      <w:marBottom w:val="0"/>
      <w:divBdr>
        <w:top w:val="none" w:sz="0" w:space="0" w:color="auto"/>
        <w:left w:val="none" w:sz="0" w:space="0" w:color="auto"/>
        <w:bottom w:val="none" w:sz="0" w:space="0" w:color="auto"/>
        <w:right w:val="none" w:sz="0" w:space="0" w:color="auto"/>
      </w:divBdr>
    </w:div>
    <w:div w:id="884416593">
      <w:bodyDiv w:val="1"/>
      <w:marLeft w:val="0"/>
      <w:marRight w:val="0"/>
      <w:marTop w:val="0"/>
      <w:marBottom w:val="0"/>
      <w:divBdr>
        <w:top w:val="none" w:sz="0" w:space="0" w:color="auto"/>
        <w:left w:val="none" w:sz="0" w:space="0" w:color="auto"/>
        <w:bottom w:val="none" w:sz="0" w:space="0" w:color="auto"/>
        <w:right w:val="none" w:sz="0" w:space="0" w:color="auto"/>
      </w:divBdr>
    </w:div>
    <w:div w:id="896283423">
      <w:bodyDiv w:val="1"/>
      <w:marLeft w:val="0"/>
      <w:marRight w:val="0"/>
      <w:marTop w:val="0"/>
      <w:marBottom w:val="0"/>
      <w:divBdr>
        <w:top w:val="none" w:sz="0" w:space="0" w:color="auto"/>
        <w:left w:val="none" w:sz="0" w:space="0" w:color="auto"/>
        <w:bottom w:val="none" w:sz="0" w:space="0" w:color="auto"/>
        <w:right w:val="none" w:sz="0" w:space="0" w:color="auto"/>
      </w:divBdr>
    </w:div>
    <w:div w:id="902641425">
      <w:bodyDiv w:val="1"/>
      <w:marLeft w:val="0"/>
      <w:marRight w:val="0"/>
      <w:marTop w:val="0"/>
      <w:marBottom w:val="0"/>
      <w:divBdr>
        <w:top w:val="none" w:sz="0" w:space="0" w:color="auto"/>
        <w:left w:val="none" w:sz="0" w:space="0" w:color="auto"/>
        <w:bottom w:val="none" w:sz="0" w:space="0" w:color="auto"/>
        <w:right w:val="none" w:sz="0" w:space="0" w:color="auto"/>
      </w:divBdr>
    </w:div>
    <w:div w:id="913585301">
      <w:bodyDiv w:val="1"/>
      <w:marLeft w:val="0"/>
      <w:marRight w:val="0"/>
      <w:marTop w:val="0"/>
      <w:marBottom w:val="0"/>
      <w:divBdr>
        <w:top w:val="none" w:sz="0" w:space="0" w:color="auto"/>
        <w:left w:val="none" w:sz="0" w:space="0" w:color="auto"/>
        <w:bottom w:val="none" w:sz="0" w:space="0" w:color="auto"/>
        <w:right w:val="none" w:sz="0" w:space="0" w:color="auto"/>
      </w:divBdr>
    </w:div>
    <w:div w:id="916791335">
      <w:bodyDiv w:val="1"/>
      <w:marLeft w:val="0"/>
      <w:marRight w:val="0"/>
      <w:marTop w:val="0"/>
      <w:marBottom w:val="0"/>
      <w:divBdr>
        <w:top w:val="none" w:sz="0" w:space="0" w:color="auto"/>
        <w:left w:val="none" w:sz="0" w:space="0" w:color="auto"/>
        <w:bottom w:val="none" w:sz="0" w:space="0" w:color="auto"/>
        <w:right w:val="none" w:sz="0" w:space="0" w:color="auto"/>
      </w:divBdr>
    </w:div>
    <w:div w:id="928319661">
      <w:bodyDiv w:val="1"/>
      <w:marLeft w:val="0"/>
      <w:marRight w:val="0"/>
      <w:marTop w:val="0"/>
      <w:marBottom w:val="0"/>
      <w:divBdr>
        <w:top w:val="none" w:sz="0" w:space="0" w:color="auto"/>
        <w:left w:val="none" w:sz="0" w:space="0" w:color="auto"/>
        <w:bottom w:val="none" w:sz="0" w:space="0" w:color="auto"/>
        <w:right w:val="none" w:sz="0" w:space="0" w:color="auto"/>
      </w:divBdr>
    </w:div>
    <w:div w:id="966861535">
      <w:bodyDiv w:val="1"/>
      <w:marLeft w:val="0"/>
      <w:marRight w:val="0"/>
      <w:marTop w:val="0"/>
      <w:marBottom w:val="0"/>
      <w:divBdr>
        <w:top w:val="none" w:sz="0" w:space="0" w:color="auto"/>
        <w:left w:val="none" w:sz="0" w:space="0" w:color="auto"/>
        <w:bottom w:val="none" w:sz="0" w:space="0" w:color="auto"/>
        <w:right w:val="none" w:sz="0" w:space="0" w:color="auto"/>
      </w:divBdr>
    </w:div>
    <w:div w:id="977340675">
      <w:bodyDiv w:val="1"/>
      <w:marLeft w:val="0"/>
      <w:marRight w:val="0"/>
      <w:marTop w:val="0"/>
      <w:marBottom w:val="0"/>
      <w:divBdr>
        <w:top w:val="none" w:sz="0" w:space="0" w:color="auto"/>
        <w:left w:val="none" w:sz="0" w:space="0" w:color="auto"/>
        <w:bottom w:val="none" w:sz="0" w:space="0" w:color="auto"/>
        <w:right w:val="none" w:sz="0" w:space="0" w:color="auto"/>
      </w:divBdr>
    </w:div>
    <w:div w:id="981083016">
      <w:bodyDiv w:val="1"/>
      <w:marLeft w:val="0"/>
      <w:marRight w:val="0"/>
      <w:marTop w:val="0"/>
      <w:marBottom w:val="0"/>
      <w:divBdr>
        <w:top w:val="none" w:sz="0" w:space="0" w:color="auto"/>
        <w:left w:val="none" w:sz="0" w:space="0" w:color="auto"/>
        <w:bottom w:val="none" w:sz="0" w:space="0" w:color="auto"/>
        <w:right w:val="none" w:sz="0" w:space="0" w:color="auto"/>
      </w:divBdr>
    </w:div>
    <w:div w:id="987317674">
      <w:bodyDiv w:val="1"/>
      <w:marLeft w:val="0"/>
      <w:marRight w:val="0"/>
      <w:marTop w:val="0"/>
      <w:marBottom w:val="0"/>
      <w:divBdr>
        <w:top w:val="none" w:sz="0" w:space="0" w:color="auto"/>
        <w:left w:val="none" w:sz="0" w:space="0" w:color="auto"/>
        <w:bottom w:val="none" w:sz="0" w:space="0" w:color="auto"/>
        <w:right w:val="none" w:sz="0" w:space="0" w:color="auto"/>
      </w:divBdr>
    </w:div>
    <w:div w:id="1037126069">
      <w:bodyDiv w:val="1"/>
      <w:marLeft w:val="0"/>
      <w:marRight w:val="0"/>
      <w:marTop w:val="0"/>
      <w:marBottom w:val="0"/>
      <w:divBdr>
        <w:top w:val="none" w:sz="0" w:space="0" w:color="auto"/>
        <w:left w:val="none" w:sz="0" w:space="0" w:color="auto"/>
        <w:bottom w:val="none" w:sz="0" w:space="0" w:color="auto"/>
        <w:right w:val="none" w:sz="0" w:space="0" w:color="auto"/>
      </w:divBdr>
    </w:div>
    <w:div w:id="1044522790">
      <w:bodyDiv w:val="1"/>
      <w:marLeft w:val="0"/>
      <w:marRight w:val="0"/>
      <w:marTop w:val="0"/>
      <w:marBottom w:val="0"/>
      <w:divBdr>
        <w:top w:val="none" w:sz="0" w:space="0" w:color="auto"/>
        <w:left w:val="none" w:sz="0" w:space="0" w:color="auto"/>
        <w:bottom w:val="none" w:sz="0" w:space="0" w:color="auto"/>
        <w:right w:val="none" w:sz="0" w:space="0" w:color="auto"/>
      </w:divBdr>
    </w:div>
    <w:div w:id="1047922378">
      <w:bodyDiv w:val="1"/>
      <w:marLeft w:val="0"/>
      <w:marRight w:val="0"/>
      <w:marTop w:val="0"/>
      <w:marBottom w:val="0"/>
      <w:divBdr>
        <w:top w:val="none" w:sz="0" w:space="0" w:color="auto"/>
        <w:left w:val="none" w:sz="0" w:space="0" w:color="auto"/>
        <w:bottom w:val="none" w:sz="0" w:space="0" w:color="auto"/>
        <w:right w:val="none" w:sz="0" w:space="0" w:color="auto"/>
      </w:divBdr>
    </w:div>
    <w:div w:id="1052581064">
      <w:bodyDiv w:val="1"/>
      <w:marLeft w:val="0"/>
      <w:marRight w:val="0"/>
      <w:marTop w:val="0"/>
      <w:marBottom w:val="0"/>
      <w:divBdr>
        <w:top w:val="none" w:sz="0" w:space="0" w:color="auto"/>
        <w:left w:val="none" w:sz="0" w:space="0" w:color="auto"/>
        <w:bottom w:val="none" w:sz="0" w:space="0" w:color="auto"/>
        <w:right w:val="none" w:sz="0" w:space="0" w:color="auto"/>
      </w:divBdr>
    </w:div>
    <w:div w:id="1061634393">
      <w:bodyDiv w:val="1"/>
      <w:marLeft w:val="0"/>
      <w:marRight w:val="0"/>
      <w:marTop w:val="0"/>
      <w:marBottom w:val="0"/>
      <w:divBdr>
        <w:top w:val="none" w:sz="0" w:space="0" w:color="auto"/>
        <w:left w:val="none" w:sz="0" w:space="0" w:color="auto"/>
        <w:bottom w:val="none" w:sz="0" w:space="0" w:color="auto"/>
        <w:right w:val="none" w:sz="0" w:space="0" w:color="auto"/>
      </w:divBdr>
    </w:div>
    <w:div w:id="1071121756">
      <w:bodyDiv w:val="1"/>
      <w:marLeft w:val="0"/>
      <w:marRight w:val="0"/>
      <w:marTop w:val="0"/>
      <w:marBottom w:val="0"/>
      <w:divBdr>
        <w:top w:val="none" w:sz="0" w:space="0" w:color="auto"/>
        <w:left w:val="none" w:sz="0" w:space="0" w:color="auto"/>
        <w:bottom w:val="none" w:sz="0" w:space="0" w:color="auto"/>
        <w:right w:val="none" w:sz="0" w:space="0" w:color="auto"/>
      </w:divBdr>
      <w:divsChild>
        <w:div w:id="35860260">
          <w:marLeft w:val="0"/>
          <w:marRight w:val="0"/>
          <w:marTop w:val="0"/>
          <w:marBottom w:val="0"/>
          <w:divBdr>
            <w:top w:val="none" w:sz="0" w:space="0" w:color="auto"/>
            <w:left w:val="none" w:sz="0" w:space="0" w:color="auto"/>
            <w:bottom w:val="none" w:sz="0" w:space="0" w:color="auto"/>
            <w:right w:val="none" w:sz="0" w:space="0" w:color="auto"/>
          </w:divBdr>
        </w:div>
        <w:div w:id="371463237">
          <w:marLeft w:val="0"/>
          <w:marRight w:val="0"/>
          <w:marTop w:val="0"/>
          <w:marBottom w:val="0"/>
          <w:divBdr>
            <w:top w:val="none" w:sz="0" w:space="0" w:color="auto"/>
            <w:left w:val="none" w:sz="0" w:space="0" w:color="auto"/>
            <w:bottom w:val="none" w:sz="0" w:space="0" w:color="auto"/>
            <w:right w:val="none" w:sz="0" w:space="0" w:color="auto"/>
          </w:divBdr>
        </w:div>
        <w:div w:id="884874699">
          <w:marLeft w:val="0"/>
          <w:marRight w:val="0"/>
          <w:marTop w:val="0"/>
          <w:marBottom w:val="0"/>
          <w:divBdr>
            <w:top w:val="none" w:sz="0" w:space="0" w:color="auto"/>
            <w:left w:val="none" w:sz="0" w:space="0" w:color="auto"/>
            <w:bottom w:val="none" w:sz="0" w:space="0" w:color="auto"/>
            <w:right w:val="none" w:sz="0" w:space="0" w:color="auto"/>
          </w:divBdr>
        </w:div>
        <w:div w:id="1988511941">
          <w:marLeft w:val="0"/>
          <w:marRight w:val="0"/>
          <w:marTop w:val="0"/>
          <w:marBottom w:val="0"/>
          <w:divBdr>
            <w:top w:val="none" w:sz="0" w:space="0" w:color="auto"/>
            <w:left w:val="none" w:sz="0" w:space="0" w:color="auto"/>
            <w:bottom w:val="none" w:sz="0" w:space="0" w:color="auto"/>
            <w:right w:val="none" w:sz="0" w:space="0" w:color="auto"/>
          </w:divBdr>
        </w:div>
      </w:divsChild>
    </w:div>
    <w:div w:id="1071125375">
      <w:bodyDiv w:val="1"/>
      <w:marLeft w:val="0"/>
      <w:marRight w:val="0"/>
      <w:marTop w:val="0"/>
      <w:marBottom w:val="0"/>
      <w:divBdr>
        <w:top w:val="none" w:sz="0" w:space="0" w:color="auto"/>
        <w:left w:val="none" w:sz="0" w:space="0" w:color="auto"/>
        <w:bottom w:val="none" w:sz="0" w:space="0" w:color="auto"/>
        <w:right w:val="none" w:sz="0" w:space="0" w:color="auto"/>
      </w:divBdr>
      <w:divsChild>
        <w:div w:id="1393889052">
          <w:marLeft w:val="0"/>
          <w:marRight w:val="0"/>
          <w:marTop w:val="0"/>
          <w:marBottom w:val="0"/>
          <w:divBdr>
            <w:top w:val="none" w:sz="0" w:space="0" w:color="auto"/>
            <w:left w:val="none" w:sz="0" w:space="0" w:color="auto"/>
            <w:bottom w:val="none" w:sz="0" w:space="0" w:color="auto"/>
            <w:right w:val="none" w:sz="0" w:space="0" w:color="auto"/>
          </w:divBdr>
        </w:div>
      </w:divsChild>
    </w:div>
    <w:div w:id="1083800455">
      <w:bodyDiv w:val="1"/>
      <w:marLeft w:val="0"/>
      <w:marRight w:val="0"/>
      <w:marTop w:val="0"/>
      <w:marBottom w:val="0"/>
      <w:divBdr>
        <w:top w:val="none" w:sz="0" w:space="0" w:color="auto"/>
        <w:left w:val="none" w:sz="0" w:space="0" w:color="auto"/>
        <w:bottom w:val="none" w:sz="0" w:space="0" w:color="auto"/>
        <w:right w:val="none" w:sz="0" w:space="0" w:color="auto"/>
      </w:divBdr>
    </w:div>
    <w:div w:id="1087968531">
      <w:bodyDiv w:val="1"/>
      <w:marLeft w:val="0"/>
      <w:marRight w:val="0"/>
      <w:marTop w:val="0"/>
      <w:marBottom w:val="0"/>
      <w:divBdr>
        <w:top w:val="none" w:sz="0" w:space="0" w:color="auto"/>
        <w:left w:val="none" w:sz="0" w:space="0" w:color="auto"/>
        <w:bottom w:val="none" w:sz="0" w:space="0" w:color="auto"/>
        <w:right w:val="none" w:sz="0" w:space="0" w:color="auto"/>
      </w:divBdr>
    </w:div>
    <w:div w:id="1091197116">
      <w:bodyDiv w:val="1"/>
      <w:marLeft w:val="0"/>
      <w:marRight w:val="0"/>
      <w:marTop w:val="0"/>
      <w:marBottom w:val="0"/>
      <w:divBdr>
        <w:top w:val="none" w:sz="0" w:space="0" w:color="auto"/>
        <w:left w:val="none" w:sz="0" w:space="0" w:color="auto"/>
        <w:bottom w:val="none" w:sz="0" w:space="0" w:color="auto"/>
        <w:right w:val="none" w:sz="0" w:space="0" w:color="auto"/>
      </w:divBdr>
    </w:div>
    <w:div w:id="1122071463">
      <w:bodyDiv w:val="1"/>
      <w:marLeft w:val="0"/>
      <w:marRight w:val="0"/>
      <w:marTop w:val="0"/>
      <w:marBottom w:val="0"/>
      <w:divBdr>
        <w:top w:val="none" w:sz="0" w:space="0" w:color="auto"/>
        <w:left w:val="none" w:sz="0" w:space="0" w:color="auto"/>
        <w:bottom w:val="none" w:sz="0" w:space="0" w:color="auto"/>
        <w:right w:val="none" w:sz="0" w:space="0" w:color="auto"/>
      </w:divBdr>
      <w:divsChild>
        <w:div w:id="201286124">
          <w:marLeft w:val="0"/>
          <w:marRight w:val="0"/>
          <w:marTop w:val="0"/>
          <w:marBottom w:val="0"/>
          <w:divBdr>
            <w:top w:val="none" w:sz="0" w:space="0" w:color="auto"/>
            <w:left w:val="none" w:sz="0" w:space="0" w:color="auto"/>
            <w:bottom w:val="none" w:sz="0" w:space="0" w:color="auto"/>
            <w:right w:val="none" w:sz="0" w:space="0" w:color="auto"/>
          </w:divBdr>
        </w:div>
        <w:div w:id="750807615">
          <w:marLeft w:val="0"/>
          <w:marRight w:val="0"/>
          <w:marTop w:val="0"/>
          <w:marBottom w:val="0"/>
          <w:divBdr>
            <w:top w:val="none" w:sz="0" w:space="0" w:color="auto"/>
            <w:left w:val="none" w:sz="0" w:space="0" w:color="auto"/>
            <w:bottom w:val="none" w:sz="0" w:space="0" w:color="auto"/>
            <w:right w:val="none" w:sz="0" w:space="0" w:color="auto"/>
          </w:divBdr>
        </w:div>
        <w:div w:id="1164321512">
          <w:marLeft w:val="0"/>
          <w:marRight w:val="0"/>
          <w:marTop w:val="0"/>
          <w:marBottom w:val="0"/>
          <w:divBdr>
            <w:top w:val="none" w:sz="0" w:space="0" w:color="auto"/>
            <w:left w:val="none" w:sz="0" w:space="0" w:color="auto"/>
            <w:bottom w:val="none" w:sz="0" w:space="0" w:color="auto"/>
            <w:right w:val="none" w:sz="0" w:space="0" w:color="auto"/>
          </w:divBdr>
        </w:div>
        <w:div w:id="1920023490">
          <w:marLeft w:val="0"/>
          <w:marRight w:val="0"/>
          <w:marTop w:val="0"/>
          <w:marBottom w:val="0"/>
          <w:divBdr>
            <w:top w:val="none" w:sz="0" w:space="0" w:color="auto"/>
            <w:left w:val="none" w:sz="0" w:space="0" w:color="auto"/>
            <w:bottom w:val="none" w:sz="0" w:space="0" w:color="auto"/>
            <w:right w:val="none" w:sz="0" w:space="0" w:color="auto"/>
          </w:divBdr>
        </w:div>
      </w:divsChild>
    </w:div>
    <w:div w:id="1170877312">
      <w:bodyDiv w:val="1"/>
      <w:marLeft w:val="0"/>
      <w:marRight w:val="0"/>
      <w:marTop w:val="0"/>
      <w:marBottom w:val="0"/>
      <w:divBdr>
        <w:top w:val="none" w:sz="0" w:space="0" w:color="auto"/>
        <w:left w:val="none" w:sz="0" w:space="0" w:color="auto"/>
        <w:bottom w:val="none" w:sz="0" w:space="0" w:color="auto"/>
        <w:right w:val="none" w:sz="0" w:space="0" w:color="auto"/>
      </w:divBdr>
    </w:div>
    <w:div w:id="1194466693">
      <w:bodyDiv w:val="1"/>
      <w:marLeft w:val="0"/>
      <w:marRight w:val="0"/>
      <w:marTop w:val="0"/>
      <w:marBottom w:val="0"/>
      <w:divBdr>
        <w:top w:val="none" w:sz="0" w:space="0" w:color="auto"/>
        <w:left w:val="none" w:sz="0" w:space="0" w:color="auto"/>
        <w:bottom w:val="none" w:sz="0" w:space="0" w:color="auto"/>
        <w:right w:val="none" w:sz="0" w:space="0" w:color="auto"/>
      </w:divBdr>
    </w:div>
    <w:div w:id="1197155206">
      <w:bodyDiv w:val="1"/>
      <w:marLeft w:val="0"/>
      <w:marRight w:val="0"/>
      <w:marTop w:val="0"/>
      <w:marBottom w:val="0"/>
      <w:divBdr>
        <w:top w:val="none" w:sz="0" w:space="0" w:color="auto"/>
        <w:left w:val="none" w:sz="0" w:space="0" w:color="auto"/>
        <w:bottom w:val="none" w:sz="0" w:space="0" w:color="auto"/>
        <w:right w:val="none" w:sz="0" w:space="0" w:color="auto"/>
      </w:divBdr>
    </w:div>
    <w:div w:id="1200162782">
      <w:bodyDiv w:val="1"/>
      <w:marLeft w:val="0"/>
      <w:marRight w:val="0"/>
      <w:marTop w:val="0"/>
      <w:marBottom w:val="0"/>
      <w:divBdr>
        <w:top w:val="none" w:sz="0" w:space="0" w:color="auto"/>
        <w:left w:val="none" w:sz="0" w:space="0" w:color="auto"/>
        <w:bottom w:val="none" w:sz="0" w:space="0" w:color="auto"/>
        <w:right w:val="none" w:sz="0" w:space="0" w:color="auto"/>
      </w:divBdr>
    </w:div>
    <w:div w:id="1214148925">
      <w:bodyDiv w:val="1"/>
      <w:marLeft w:val="0"/>
      <w:marRight w:val="0"/>
      <w:marTop w:val="0"/>
      <w:marBottom w:val="0"/>
      <w:divBdr>
        <w:top w:val="none" w:sz="0" w:space="0" w:color="auto"/>
        <w:left w:val="none" w:sz="0" w:space="0" w:color="auto"/>
        <w:bottom w:val="none" w:sz="0" w:space="0" w:color="auto"/>
        <w:right w:val="none" w:sz="0" w:space="0" w:color="auto"/>
      </w:divBdr>
    </w:div>
    <w:div w:id="1233275127">
      <w:bodyDiv w:val="1"/>
      <w:marLeft w:val="0"/>
      <w:marRight w:val="0"/>
      <w:marTop w:val="0"/>
      <w:marBottom w:val="0"/>
      <w:divBdr>
        <w:top w:val="none" w:sz="0" w:space="0" w:color="auto"/>
        <w:left w:val="none" w:sz="0" w:space="0" w:color="auto"/>
        <w:bottom w:val="none" w:sz="0" w:space="0" w:color="auto"/>
        <w:right w:val="none" w:sz="0" w:space="0" w:color="auto"/>
      </w:divBdr>
      <w:divsChild>
        <w:div w:id="115148531">
          <w:marLeft w:val="0"/>
          <w:marRight w:val="0"/>
          <w:marTop w:val="0"/>
          <w:marBottom w:val="0"/>
          <w:divBdr>
            <w:top w:val="none" w:sz="0" w:space="0" w:color="auto"/>
            <w:left w:val="none" w:sz="0" w:space="0" w:color="auto"/>
            <w:bottom w:val="none" w:sz="0" w:space="0" w:color="auto"/>
            <w:right w:val="none" w:sz="0" w:space="0" w:color="auto"/>
          </w:divBdr>
        </w:div>
        <w:div w:id="146095937">
          <w:marLeft w:val="0"/>
          <w:marRight w:val="0"/>
          <w:marTop w:val="0"/>
          <w:marBottom w:val="0"/>
          <w:divBdr>
            <w:top w:val="none" w:sz="0" w:space="0" w:color="auto"/>
            <w:left w:val="none" w:sz="0" w:space="0" w:color="auto"/>
            <w:bottom w:val="none" w:sz="0" w:space="0" w:color="auto"/>
            <w:right w:val="none" w:sz="0" w:space="0" w:color="auto"/>
          </w:divBdr>
        </w:div>
        <w:div w:id="691682999">
          <w:marLeft w:val="0"/>
          <w:marRight w:val="0"/>
          <w:marTop w:val="0"/>
          <w:marBottom w:val="0"/>
          <w:divBdr>
            <w:top w:val="none" w:sz="0" w:space="0" w:color="auto"/>
            <w:left w:val="none" w:sz="0" w:space="0" w:color="auto"/>
            <w:bottom w:val="none" w:sz="0" w:space="0" w:color="auto"/>
            <w:right w:val="none" w:sz="0" w:space="0" w:color="auto"/>
          </w:divBdr>
        </w:div>
        <w:div w:id="838278753">
          <w:marLeft w:val="0"/>
          <w:marRight w:val="0"/>
          <w:marTop w:val="0"/>
          <w:marBottom w:val="0"/>
          <w:divBdr>
            <w:top w:val="none" w:sz="0" w:space="0" w:color="auto"/>
            <w:left w:val="none" w:sz="0" w:space="0" w:color="auto"/>
            <w:bottom w:val="none" w:sz="0" w:space="0" w:color="auto"/>
            <w:right w:val="none" w:sz="0" w:space="0" w:color="auto"/>
          </w:divBdr>
        </w:div>
        <w:div w:id="1259095576">
          <w:marLeft w:val="0"/>
          <w:marRight w:val="0"/>
          <w:marTop w:val="0"/>
          <w:marBottom w:val="0"/>
          <w:divBdr>
            <w:top w:val="none" w:sz="0" w:space="0" w:color="auto"/>
            <w:left w:val="none" w:sz="0" w:space="0" w:color="auto"/>
            <w:bottom w:val="none" w:sz="0" w:space="0" w:color="auto"/>
            <w:right w:val="none" w:sz="0" w:space="0" w:color="auto"/>
          </w:divBdr>
        </w:div>
        <w:div w:id="1749305252">
          <w:marLeft w:val="0"/>
          <w:marRight w:val="0"/>
          <w:marTop w:val="0"/>
          <w:marBottom w:val="0"/>
          <w:divBdr>
            <w:top w:val="none" w:sz="0" w:space="0" w:color="auto"/>
            <w:left w:val="none" w:sz="0" w:space="0" w:color="auto"/>
            <w:bottom w:val="none" w:sz="0" w:space="0" w:color="auto"/>
            <w:right w:val="none" w:sz="0" w:space="0" w:color="auto"/>
          </w:divBdr>
        </w:div>
        <w:div w:id="1831747648">
          <w:marLeft w:val="0"/>
          <w:marRight w:val="0"/>
          <w:marTop w:val="0"/>
          <w:marBottom w:val="0"/>
          <w:divBdr>
            <w:top w:val="none" w:sz="0" w:space="0" w:color="auto"/>
            <w:left w:val="none" w:sz="0" w:space="0" w:color="auto"/>
            <w:bottom w:val="none" w:sz="0" w:space="0" w:color="auto"/>
            <w:right w:val="none" w:sz="0" w:space="0" w:color="auto"/>
          </w:divBdr>
        </w:div>
        <w:div w:id="1950700248">
          <w:marLeft w:val="0"/>
          <w:marRight w:val="0"/>
          <w:marTop w:val="0"/>
          <w:marBottom w:val="0"/>
          <w:divBdr>
            <w:top w:val="none" w:sz="0" w:space="0" w:color="auto"/>
            <w:left w:val="none" w:sz="0" w:space="0" w:color="auto"/>
            <w:bottom w:val="none" w:sz="0" w:space="0" w:color="auto"/>
            <w:right w:val="none" w:sz="0" w:space="0" w:color="auto"/>
          </w:divBdr>
        </w:div>
      </w:divsChild>
    </w:div>
    <w:div w:id="1245644892">
      <w:bodyDiv w:val="1"/>
      <w:marLeft w:val="0"/>
      <w:marRight w:val="0"/>
      <w:marTop w:val="0"/>
      <w:marBottom w:val="0"/>
      <w:divBdr>
        <w:top w:val="none" w:sz="0" w:space="0" w:color="auto"/>
        <w:left w:val="none" w:sz="0" w:space="0" w:color="auto"/>
        <w:bottom w:val="none" w:sz="0" w:space="0" w:color="auto"/>
        <w:right w:val="none" w:sz="0" w:space="0" w:color="auto"/>
      </w:divBdr>
      <w:divsChild>
        <w:div w:id="467166000">
          <w:marLeft w:val="0"/>
          <w:marRight w:val="0"/>
          <w:marTop w:val="0"/>
          <w:marBottom w:val="0"/>
          <w:divBdr>
            <w:top w:val="none" w:sz="0" w:space="0" w:color="auto"/>
            <w:left w:val="none" w:sz="0" w:space="0" w:color="auto"/>
            <w:bottom w:val="none" w:sz="0" w:space="0" w:color="auto"/>
            <w:right w:val="none" w:sz="0" w:space="0" w:color="auto"/>
          </w:divBdr>
          <w:divsChild>
            <w:div w:id="284964151">
              <w:marLeft w:val="0"/>
              <w:marRight w:val="0"/>
              <w:marTop w:val="0"/>
              <w:marBottom w:val="0"/>
              <w:divBdr>
                <w:top w:val="none" w:sz="0" w:space="0" w:color="auto"/>
                <w:left w:val="none" w:sz="0" w:space="0" w:color="auto"/>
                <w:bottom w:val="none" w:sz="0" w:space="0" w:color="auto"/>
                <w:right w:val="none" w:sz="0" w:space="0" w:color="auto"/>
              </w:divBdr>
              <w:divsChild>
                <w:div w:id="1199128331">
                  <w:marLeft w:val="0"/>
                  <w:marRight w:val="0"/>
                  <w:marTop w:val="0"/>
                  <w:marBottom w:val="0"/>
                  <w:divBdr>
                    <w:top w:val="none" w:sz="0" w:space="0" w:color="auto"/>
                    <w:left w:val="none" w:sz="0" w:space="0" w:color="auto"/>
                    <w:bottom w:val="none" w:sz="0" w:space="0" w:color="auto"/>
                    <w:right w:val="none" w:sz="0" w:space="0" w:color="auto"/>
                  </w:divBdr>
                  <w:divsChild>
                    <w:div w:id="16192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669071">
      <w:bodyDiv w:val="1"/>
      <w:marLeft w:val="0"/>
      <w:marRight w:val="0"/>
      <w:marTop w:val="0"/>
      <w:marBottom w:val="0"/>
      <w:divBdr>
        <w:top w:val="none" w:sz="0" w:space="0" w:color="auto"/>
        <w:left w:val="none" w:sz="0" w:space="0" w:color="auto"/>
        <w:bottom w:val="none" w:sz="0" w:space="0" w:color="auto"/>
        <w:right w:val="none" w:sz="0" w:space="0" w:color="auto"/>
      </w:divBdr>
    </w:div>
    <w:div w:id="1293170380">
      <w:bodyDiv w:val="1"/>
      <w:marLeft w:val="0"/>
      <w:marRight w:val="0"/>
      <w:marTop w:val="0"/>
      <w:marBottom w:val="0"/>
      <w:divBdr>
        <w:top w:val="none" w:sz="0" w:space="0" w:color="auto"/>
        <w:left w:val="none" w:sz="0" w:space="0" w:color="auto"/>
        <w:bottom w:val="none" w:sz="0" w:space="0" w:color="auto"/>
        <w:right w:val="none" w:sz="0" w:space="0" w:color="auto"/>
      </w:divBdr>
    </w:div>
    <w:div w:id="1305618041">
      <w:bodyDiv w:val="1"/>
      <w:marLeft w:val="0"/>
      <w:marRight w:val="0"/>
      <w:marTop w:val="0"/>
      <w:marBottom w:val="0"/>
      <w:divBdr>
        <w:top w:val="none" w:sz="0" w:space="0" w:color="auto"/>
        <w:left w:val="none" w:sz="0" w:space="0" w:color="auto"/>
        <w:bottom w:val="none" w:sz="0" w:space="0" w:color="auto"/>
        <w:right w:val="none" w:sz="0" w:space="0" w:color="auto"/>
      </w:divBdr>
    </w:div>
    <w:div w:id="1321497818">
      <w:bodyDiv w:val="1"/>
      <w:marLeft w:val="0"/>
      <w:marRight w:val="0"/>
      <w:marTop w:val="0"/>
      <w:marBottom w:val="0"/>
      <w:divBdr>
        <w:top w:val="none" w:sz="0" w:space="0" w:color="auto"/>
        <w:left w:val="none" w:sz="0" w:space="0" w:color="auto"/>
        <w:bottom w:val="none" w:sz="0" w:space="0" w:color="auto"/>
        <w:right w:val="none" w:sz="0" w:space="0" w:color="auto"/>
      </w:divBdr>
      <w:divsChild>
        <w:div w:id="202182069">
          <w:marLeft w:val="0"/>
          <w:marRight w:val="0"/>
          <w:marTop w:val="0"/>
          <w:marBottom w:val="0"/>
          <w:divBdr>
            <w:top w:val="none" w:sz="0" w:space="0" w:color="auto"/>
            <w:left w:val="none" w:sz="0" w:space="0" w:color="auto"/>
            <w:bottom w:val="none" w:sz="0" w:space="0" w:color="auto"/>
            <w:right w:val="none" w:sz="0" w:space="0" w:color="auto"/>
          </w:divBdr>
        </w:div>
        <w:div w:id="274411803">
          <w:marLeft w:val="0"/>
          <w:marRight w:val="0"/>
          <w:marTop w:val="0"/>
          <w:marBottom w:val="0"/>
          <w:divBdr>
            <w:top w:val="none" w:sz="0" w:space="0" w:color="auto"/>
            <w:left w:val="none" w:sz="0" w:space="0" w:color="auto"/>
            <w:bottom w:val="none" w:sz="0" w:space="0" w:color="auto"/>
            <w:right w:val="none" w:sz="0" w:space="0" w:color="auto"/>
          </w:divBdr>
        </w:div>
        <w:div w:id="437721988">
          <w:marLeft w:val="0"/>
          <w:marRight w:val="0"/>
          <w:marTop w:val="0"/>
          <w:marBottom w:val="0"/>
          <w:divBdr>
            <w:top w:val="none" w:sz="0" w:space="0" w:color="auto"/>
            <w:left w:val="none" w:sz="0" w:space="0" w:color="auto"/>
            <w:bottom w:val="none" w:sz="0" w:space="0" w:color="auto"/>
            <w:right w:val="none" w:sz="0" w:space="0" w:color="auto"/>
          </w:divBdr>
        </w:div>
        <w:div w:id="466361537">
          <w:marLeft w:val="0"/>
          <w:marRight w:val="0"/>
          <w:marTop w:val="0"/>
          <w:marBottom w:val="0"/>
          <w:divBdr>
            <w:top w:val="none" w:sz="0" w:space="0" w:color="auto"/>
            <w:left w:val="none" w:sz="0" w:space="0" w:color="auto"/>
            <w:bottom w:val="none" w:sz="0" w:space="0" w:color="auto"/>
            <w:right w:val="none" w:sz="0" w:space="0" w:color="auto"/>
          </w:divBdr>
        </w:div>
        <w:div w:id="571892883">
          <w:marLeft w:val="0"/>
          <w:marRight w:val="0"/>
          <w:marTop w:val="0"/>
          <w:marBottom w:val="0"/>
          <w:divBdr>
            <w:top w:val="none" w:sz="0" w:space="0" w:color="auto"/>
            <w:left w:val="none" w:sz="0" w:space="0" w:color="auto"/>
            <w:bottom w:val="none" w:sz="0" w:space="0" w:color="auto"/>
            <w:right w:val="none" w:sz="0" w:space="0" w:color="auto"/>
          </w:divBdr>
        </w:div>
        <w:div w:id="701636445">
          <w:marLeft w:val="0"/>
          <w:marRight w:val="0"/>
          <w:marTop w:val="0"/>
          <w:marBottom w:val="0"/>
          <w:divBdr>
            <w:top w:val="none" w:sz="0" w:space="0" w:color="auto"/>
            <w:left w:val="none" w:sz="0" w:space="0" w:color="auto"/>
            <w:bottom w:val="none" w:sz="0" w:space="0" w:color="auto"/>
            <w:right w:val="none" w:sz="0" w:space="0" w:color="auto"/>
          </w:divBdr>
        </w:div>
        <w:div w:id="824786392">
          <w:marLeft w:val="0"/>
          <w:marRight w:val="0"/>
          <w:marTop w:val="0"/>
          <w:marBottom w:val="0"/>
          <w:divBdr>
            <w:top w:val="none" w:sz="0" w:space="0" w:color="auto"/>
            <w:left w:val="none" w:sz="0" w:space="0" w:color="auto"/>
            <w:bottom w:val="none" w:sz="0" w:space="0" w:color="auto"/>
            <w:right w:val="none" w:sz="0" w:space="0" w:color="auto"/>
          </w:divBdr>
        </w:div>
        <w:div w:id="977687102">
          <w:marLeft w:val="0"/>
          <w:marRight w:val="0"/>
          <w:marTop w:val="0"/>
          <w:marBottom w:val="0"/>
          <w:divBdr>
            <w:top w:val="none" w:sz="0" w:space="0" w:color="auto"/>
            <w:left w:val="none" w:sz="0" w:space="0" w:color="auto"/>
            <w:bottom w:val="none" w:sz="0" w:space="0" w:color="auto"/>
            <w:right w:val="none" w:sz="0" w:space="0" w:color="auto"/>
          </w:divBdr>
        </w:div>
        <w:div w:id="1048257611">
          <w:marLeft w:val="0"/>
          <w:marRight w:val="0"/>
          <w:marTop w:val="0"/>
          <w:marBottom w:val="0"/>
          <w:divBdr>
            <w:top w:val="none" w:sz="0" w:space="0" w:color="auto"/>
            <w:left w:val="none" w:sz="0" w:space="0" w:color="auto"/>
            <w:bottom w:val="none" w:sz="0" w:space="0" w:color="auto"/>
            <w:right w:val="none" w:sz="0" w:space="0" w:color="auto"/>
          </w:divBdr>
        </w:div>
        <w:div w:id="1312636054">
          <w:marLeft w:val="0"/>
          <w:marRight w:val="0"/>
          <w:marTop w:val="0"/>
          <w:marBottom w:val="0"/>
          <w:divBdr>
            <w:top w:val="none" w:sz="0" w:space="0" w:color="auto"/>
            <w:left w:val="none" w:sz="0" w:space="0" w:color="auto"/>
            <w:bottom w:val="none" w:sz="0" w:space="0" w:color="auto"/>
            <w:right w:val="none" w:sz="0" w:space="0" w:color="auto"/>
          </w:divBdr>
        </w:div>
        <w:div w:id="1440294320">
          <w:marLeft w:val="0"/>
          <w:marRight w:val="0"/>
          <w:marTop w:val="0"/>
          <w:marBottom w:val="0"/>
          <w:divBdr>
            <w:top w:val="none" w:sz="0" w:space="0" w:color="auto"/>
            <w:left w:val="none" w:sz="0" w:space="0" w:color="auto"/>
            <w:bottom w:val="none" w:sz="0" w:space="0" w:color="auto"/>
            <w:right w:val="none" w:sz="0" w:space="0" w:color="auto"/>
          </w:divBdr>
        </w:div>
        <w:div w:id="1749184508">
          <w:marLeft w:val="0"/>
          <w:marRight w:val="0"/>
          <w:marTop w:val="0"/>
          <w:marBottom w:val="0"/>
          <w:divBdr>
            <w:top w:val="none" w:sz="0" w:space="0" w:color="auto"/>
            <w:left w:val="none" w:sz="0" w:space="0" w:color="auto"/>
            <w:bottom w:val="none" w:sz="0" w:space="0" w:color="auto"/>
            <w:right w:val="none" w:sz="0" w:space="0" w:color="auto"/>
          </w:divBdr>
        </w:div>
        <w:div w:id="1838417117">
          <w:marLeft w:val="0"/>
          <w:marRight w:val="0"/>
          <w:marTop w:val="0"/>
          <w:marBottom w:val="0"/>
          <w:divBdr>
            <w:top w:val="none" w:sz="0" w:space="0" w:color="auto"/>
            <w:left w:val="none" w:sz="0" w:space="0" w:color="auto"/>
            <w:bottom w:val="none" w:sz="0" w:space="0" w:color="auto"/>
            <w:right w:val="none" w:sz="0" w:space="0" w:color="auto"/>
          </w:divBdr>
        </w:div>
        <w:div w:id="1878349043">
          <w:marLeft w:val="0"/>
          <w:marRight w:val="0"/>
          <w:marTop w:val="0"/>
          <w:marBottom w:val="0"/>
          <w:divBdr>
            <w:top w:val="none" w:sz="0" w:space="0" w:color="auto"/>
            <w:left w:val="none" w:sz="0" w:space="0" w:color="auto"/>
            <w:bottom w:val="none" w:sz="0" w:space="0" w:color="auto"/>
            <w:right w:val="none" w:sz="0" w:space="0" w:color="auto"/>
          </w:divBdr>
        </w:div>
        <w:div w:id="1893493723">
          <w:marLeft w:val="0"/>
          <w:marRight w:val="0"/>
          <w:marTop w:val="0"/>
          <w:marBottom w:val="0"/>
          <w:divBdr>
            <w:top w:val="none" w:sz="0" w:space="0" w:color="auto"/>
            <w:left w:val="none" w:sz="0" w:space="0" w:color="auto"/>
            <w:bottom w:val="none" w:sz="0" w:space="0" w:color="auto"/>
            <w:right w:val="none" w:sz="0" w:space="0" w:color="auto"/>
          </w:divBdr>
        </w:div>
        <w:div w:id="1928273072">
          <w:marLeft w:val="0"/>
          <w:marRight w:val="0"/>
          <w:marTop w:val="0"/>
          <w:marBottom w:val="0"/>
          <w:divBdr>
            <w:top w:val="none" w:sz="0" w:space="0" w:color="auto"/>
            <w:left w:val="none" w:sz="0" w:space="0" w:color="auto"/>
            <w:bottom w:val="none" w:sz="0" w:space="0" w:color="auto"/>
            <w:right w:val="none" w:sz="0" w:space="0" w:color="auto"/>
          </w:divBdr>
        </w:div>
        <w:div w:id="1949191293">
          <w:marLeft w:val="0"/>
          <w:marRight w:val="0"/>
          <w:marTop w:val="0"/>
          <w:marBottom w:val="0"/>
          <w:divBdr>
            <w:top w:val="none" w:sz="0" w:space="0" w:color="auto"/>
            <w:left w:val="none" w:sz="0" w:space="0" w:color="auto"/>
            <w:bottom w:val="none" w:sz="0" w:space="0" w:color="auto"/>
            <w:right w:val="none" w:sz="0" w:space="0" w:color="auto"/>
          </w:divBdr>
        </w:div>
      </w:divsChild>
    </w:div>
    <w:div w:id="1327855128">
      <w:bodyDiv w:val="1"/>
      <w:marLeft w:val="0"/>
      <w:marRight w:val="0"/>
      <w:marTop w:val="0"/>
      <w:marBottom w:val="0"/>
      <w:divBdr>
        <w:top w:val="none" w:sz="0" w:space="0" w:color="auto"/>
        <w:left w:val="none" w:sz="0" w:space="0" w:color="auto"/>
        <w:bottom w:val="none" w:sz="0" w:space="0" w:color="auto"/>
        <w:right w:val="none" w:sz="0" w:space="0" w:color="auto"/>
      </w:divBdr>
    </w:div>
    <w:div w:id="1367869713">
      <w:bodyDiv w:val="1"/>
      <w:marLeft w:val="0"/>
      <w:marRight w:val="0"/>
      <w:marTop w:val="0"/>
      <w:marBottom w:val="0"/>
      <w:divBdr>
        <w:top w:val="none" w:sz="0" w:space="0" w:color="auto"/>
        <w:left w:val="none" w:sz="0" w:space="0" w:color="auto"/>
        <w:bottom w:val="none" w:sz="0" w:space="0" w:color="auto"/>
        <w:right w:val="none" w:sz="0" w:space="0" w:color="auto"/>
      </w:divBdr>
    </w:div>
    <w:div w:id="1376584793">
      <w:bodyDiv w:val="1"/>
      <w:marLeft w:val="0"/>
      <w:marRight w:val="0"/>
      <w:marTop w:val="0"/>
      <w:marBottom w:val="0"/>
      <w:divBdr>
        <w:top w:val="none" w:sz="0" w:space="0" w:color="auto"/>
        <w:left w:val="none" w:sz="0" w:space="0" w:color="auto"/>
        <w:bottom w:val="none" w:sz="0" w:space="0" w:color="auto"/>
        <w:right w:val="none" w:sz="0" w:space="0" w:color="auto"/>
      </w:divBdr>
    </w:div>
    <w:div w:id="1394229673">
      <w:bodyDiv w:val="1"/>
      <w:marLeft w:val="0"/>
      <w:marRight w:val="0"/>
      <w:marTop w:val="0"/>
      <w:marBottom w:val="0"/>
      <w:divBdr>
        <w:top w:val="none" w:sz="0" w:space="0" w:color="auto"/>
        <w:left w:val="none" w:sz="0" w:space="0" w:color="auto"/>
        <w:bottom w:val="none" w:sz="0" w:space="0" w:color="auto"/>
        <w:right w:val="none" w:sz="0" w:space="0" w:color="auto"/>
      </w:divBdr>
    </w:div>
    <w:div w:id="1394501073">
      <w:bodyDiv w:val="1"/>
      <w:marLeft w:val="0"/>
      <w:marRight w:val="0"/>
      <w:marTop w:val="0"/>
      <w:marBottom w:val="0"/>
      <w:divBdr>
        <w:top w:val="none" w:sz="0" w:space="0" w:color="auto"/>
        <w:left w:val="none" w:sz="0" w:space="0" w:color="auto"/>
        <w:bottom w:val="none" w:sz="0" w:space="0" w:color="auto"/>
        <w:right w:val="none" w:sz="0" w:space="0" w:color="auto"/>
      </w:divBdr>
      <w:divsChild>
        <w:div w:id="416025296">
          <w:marLeft w:val="0"/>
          <w:marRight w:val="0"/>
          <w:marTop w:val="0"/>
          <w:marBottom w:val="0"/>
          <w:divBdr>
            <w:top w:val="none" w:sz="0" w:space="0" w:color="auto"/>
            <w:left w:val="none" w:sz="0" w:space="0" w:color="auto"/>
            <w:bottom w:val="none" w:sz="0" w:space="0" w:color="auto"/>
            <w:right w:val="none" w:sz="0" w:space="0" w:color="auto"/>
          </w:divBdr>
          <w:divsChild>
            <w:div w:id="343240552">
              <w:marLeft w:val="0"/>
              <w:marRight w:val="0"/>
              <w:marTop w:val="0"/>
              <w:marBottom w:val="0"/>
              <w:divBdr>
                <w:top w:val="none" w:sz="0" w:space="0" w:color="auto"/>
                <w:left w:val="none" w:sz="0" w:space="0" w:color="auto"/>
                <w:bottom w:val="none" w:sz="0" w:space="0" w:color="auto"/>
                <w:right w:val="none" w:sz="0" w:space="0" w:color="auto"/>
              </w:divBdr>
              <w:divsChild>
                <w:div w:id="213128698">
                  <w:marLeft w:val="0"/>
                  <w:marRight w:val="0"/>
                  <w:marTop w:val="0"/>
                  <w:marBottom w:val="0"/>
                  <w:divBdr>
                    <w:top w:val="none" w:sz="0" w:space="0" w:color="auto"/>
                    <w:left w:val="none" w:sz="0" w:space="0" w:color="auto"/>
                    <w:bottom w:val="none" w:sz="0" w:space="0" w:color="auto"/>
                    <w:right w:val="none" w:sz="0" w:space="0" w:color="auto"/>
                  </w:divBdr>
                  <w:divsChild>
                    <w:div w:id="8925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934077">
      <w:bodyDiv w:val="1"/>
      <w:marLeft w:val="0"/>
      <w:marRight w:val="0"/>
      <w:marTop w:val="0"/>
      <w:marBottom w:val="0"/>
      <w:divBdr>
        <w:top w:val="none" w:sz="0" w:space="0" w:color="auto"/>
        <w:left w:val="none" w:sz="0" w:space="0" w:color="auto"/>
        <w:bottom w:val="none" w:sz="0" w:space="0" w:color="auto"/>
        <w:right w:val="none" w:sz="0" w:space="0" w:color="auto"/>
      </w:divBdr>
    </w:div>
    <w:div w:id="1400204371">
      <w:bodyDiv w:val="1"/>
      <w:marLeft w:val="0"/>
      <w:marRight w:val="0"/>
      <w:marTop w:val="0"/>
      <w:marBottom w:val="0"/>
      <w:divBdr>
        <w:top w:val="none" w:sz="0" w:space="0" w:color="auto"/>
        <w:left w:val="none" w:sz="0" w:space="0" w:color="auto"/>
        <w:bottom w:val="none" w:sz="0" w:space="0" w:color="auto"/>
        <w:right w:val="none" w:sz="0" w:space="0" w:color="auto"/>
      </w:divBdr>
    </w:div>
    <w:div w:id="1420442787">
      <w:bodyDiv w:val="1"/>
      <w:marLeft w:val="0"/>
      <w:marRight w:val="0"/>
      <w:marTop w:val="0"/>
      <w:marBottom w:val="0"/>
      <w:divBdr>
        <w:top w:val="none" w:sz="0" w:space="0" w:color="auto"/>
        <w:left w:val="none" w:sz="0" w:space="0" w:color="auto"/>
        <w:bottom w:val="none" w:sz="0" w:space="0" w:color="auto"/>
        <w:right w:val="none" w:sz="0" w:space="0" w:color="auto"/>
      </w:divBdr>
    </w:div>
    <w:div w:id="1446537770">
      <w:bodyDiv w:val="1"/>
      <w:marLeft w:val="0"/>
      <w:marRight w:val="0"/>
      <w:marTop w:val="0"/>
      <w:marBottom w:val="0"/>
      <w:divBdr>
        <w:top w:val="none" w:sz="0" w:space="0" w:color="auto"/>
        <w:left w:val="none" w:sz="0" w:space="0" w:color="auto"/>
        <w:bottom w:val="none" w:sz="0" w:space="0" w:color="auto"/>
        <w:right w:val="none" w:sz="0" w:space="0" w:color="auto"/>
      </w:divBdr>
    </w:div>
    <w:div w:id="1465588006">
      <w:bodyDiv w:val="1"/>
      <w:marLeft w:val="0"/>
      <w:marRight w:val="0"/>
      <w:marTop w:val="0"/>
      <w:marBottom w:val="0"/>
      <w:divBdr>
        <w:top w:val="none" w:sz="0" w:space="0" w:color="auto"/>
        <w:left w:val="none" w:sz="0" w:space="0" w:color="auto"/>
        <w:bottom w:val="none" w:sz="0" w:space="0" w:color="auto"/>
        <w:right w:val="none" w:sz="0" w:space="0" w:color="auto"/>
      </w:divBdr>
    </w:div>
    <w:div w:id="1485008408">
      <w:bodyDiv w:val="1"/>
      <w:marLeft w:val="0"/>
      <w:marRight w:val="0"/>
      <w:marTop w:val="0"/>
      <w:marBottom w:val="0"/>
      <w:divBdr>
        <w:top w:val="none" w:sz="0" w:space="0" w:color="auto"/>
        <w:left w:val="none" w:sz="0" w:space="0" w:color="auto"/>
        <w:bottom w:val="none" w:sz="0" w:space="0" w:color="auto"/>
        <w:right w:val="none" w:sz="0" w:space="0" w:color="auto"/>
      </w:divBdr>
    </w:div>
    <w:div w:id="1488863960">
      <w:bodyDiv w:val="1"/>
      <w:marLeft w:val="0"/>
      <w:marRight w:val="0"/>
      <w:marTop w:val="0"/>
      <w:marBottom w:val="0"/>
      <w:divBdr>
        <w:top w:val="none" w:sz="0" w:space="0" w:color="auto"/>
        <w:left w:val="none" w:sz="0" w:space="0" w:color="auto"/>
        <w:bottom w:val="none" w:sz="0" w:space="0" w:color="auto"/>
        <w:right w:val="none" w:sz="0" w:space="0" w:color="auto"/>
      </w:divBdr>
    </w:div>
    <w:div w:id="1526291847">
      <w:bodyDiv w:val="1"/>
      <w:marLeft w:val="0"/>
      <w:marRight w:val="0"/>
      <w:marTop w:val="0"/>
      <w:marBottom w:val="0"/>
      <w:divBdr>
        <w:top w:val="none" w:sz="0" w:space="0" w:color="auto"/>
        <w:left w:val="none" w:sz="0" w:space="0" w:color="auto"/>
        <w:bottom w:val="none" w:sz="0" w:space="0" w:color="auto"/>
        <w:right w:val="none" w:sz="0" w:space="0" w:color="auto"/>
      </w:divBdr>
    </w:div>
    <w:div w:id="1589463990">
      <w:bodyDiv w:val="1"/>
      <w:marLeft w:val="0"/>
      <w:marRight w:val="0"/>
      <w:marTop w:val="0"/>
      <w:marBottom w:val="0"/>
      <w:divBdr>
        <w:top w:val="none" w:sz="0" w:space="0" w:color="auto"/>
        <w:left w:val="none" w:sz="0" w:space="0" w:color="auto"/>
        <w:bottom w:val="none" w:sz="0" w:space="0" w:color="auto"/>
        <w:right w:val="none" w:sz="0" w:space="0" w:color="auto"/>
      </w:divBdr>
    </w:div>
    <w:div w:id="1612082629">
      <w:bodyDiv w:val="1"/>
      <w:marLeft w:val="0"/>
      <w:marRight w:val="0"/>
      <w:marTop w:val="0"/>
      <w:marBottom w:val="0"/>
      <w:divBdr>
        <w:top w:val="none" w:sz="0" w:space="0" w:color="auto"/>
        <w:left w:val="none" w:sz="0" w:space="0" w:color="auto"/>
        <w:bottom w:val="none" w:sz="0" w:space="0" w:color="auto"/>
        <w:right w:val="none" w:sz="0" w:space="0" w:color="auto"/>
      </w:divBdr>
    </w:div>
    <w:div w:id="1644384156">
      <w:bodyDiv w:val="1"/>
      <w:marLeft w:val="0"/>
      <w:marRight w:val="0"/>
      <w:marTop w:val="0"/>
      <w:marBottom w:val="0"/>
      <w:divBdr>
        <w:top w:val="none" w:sz="0" w:space="0" w:color="auto"/>
        <w:left w:val="none" w:sz="0" w:space="0" w:color="auto"/>
        <w:bottom w:val="none" w:sz="0" w:space="0" w:color="auto"/>
        <w:right w:val="none" w:sz="0" w:space="0" w:color="auto"/>
      </w:divBdr>
    </w:div>
    <w:div w:id="1645236292">
      <w:bodyDiv w:val="1"/>
      <w:marLeft w:val="0"/>
      <w:marRight w:val="0"/>
      <w:marTop w:val="0"/>
      <w:marBottom w:val="0"/>
      <w:divBdr>
        <w:top w:val="none" w:sz="0" w:space="0" w:color="auto"/>
        <w:left w:val="none" w:sz="0" w:space="0" w:color="auto"/>
        <w:bottom w:val="none" w:sz="0" w:space="0" w:color="auto"/>
        <w:right w:val="none" w:sz="0" w:space="0" w:color="auto"/>
      </w:divBdr>
    </w:div>
    <w:div w:id="1680350511">
      <w:bodyDiv w:val="1"/>
      <w:marLeft w:val="0"/>
      <w:marRight w:val="0"/>
      <w:marTop w:val="0"/>
      <w:marBottom w:val="0"/>
      <w:divBdr>
        <w:top w:val="none" w:sz="0" w:space="0" w:color="auto"/>
        <w:left w:val="none" w:sz="0" w:space="0" w:color="auto"/>
        <w:bottom w:val="none" w:sz="0" w:space="0" w:color="auto"/>
        <w:right w:val="none" w:sz="0" w:space="0" w:color="auto"/>
      </w:divBdr>
    </w:div>
    <w:div w:id="1685589589">
      <w:bodyDiv w:val="1"/>
      <w:marLeft w:val="0"/>
      <w:marRight w:val="0"/>
      <w:marTop w:val="0"/>
      <w:marBottom w:val="0"/>
      <w:divBdr>
        <w:top w:val="none" w:sz="0" w:space="0" w:color="auto"/>
        <w:left w:val="none" w:sz="0" w:space="0" w:color="auto"/>
        <w:bottom w:val="none" w:sz="0" w:space="0" w:color="auto"/>
        <w:right w:val="none" w:sz="0" w:space="0" w:color="auto"/>
      </w:divBdr>
    </w:div>
    <w:div w:id="1693847203">
      <w:bodyDiv w:val="1"/>
      <w:marLeft w:val="0"/>
      <w:marRight w:val="0"/>
      <w:marTop w:val="0"/>
      <w:marBottom w:val="0"/>
      <w:divBdr>
        <w:top w:val="none" w:sz="0" w:space="0" w:color="auto"/>
        <w:left w:val="none" w:sz="0" w:space="0" w:color="auto"/>
        <w:bottom w:val="none" w:sz="0" w:space="0" w:color="auto"/>
        <w:right w:val="none" w:sz="0" w:space="0" w:color="auto"/>
      </w:divBdr>
    </w:div>
    <w:div w:id="1697346883">
      <w:bodyDiv w:val="1"/>
      <w:marLeft w:val="0"/>
      <w:marRight w:val="0"/>
      <w:marTop w:val="0"/>
      <w:marBottom w:val="0"/>
      <w:divBdr>
        <w:top w:val="none" w:sz="0" w:space="0" w:color="auto"/>
        <w:left w:val="none" w:sz="0" w:space="0" w:color="auto"/>
        <w:bottom w:val="none" w:sz="0" w:space="0" w:color="auto"/>
        <w:right w:val="none" w:sz="0" w:space="0" w:color="auto"/>
      </w:divBdr>
    </w:div>
    <w:div w:id="1722703534">
      <w:bodyDiv w:val="1"/>
      <w:marLeft w:val="0"/>
      <w:marRight w:val="0"/>
      <w:marTop w:val="0"/>
      <w:marBottom w:val="0"/>
      <w:divBdr>
        <w:top w:val="none" w:sz="0" w:space="0" w:color="auto"/>
        <w:left w:val="none" w:sz="0" w:space="0" w:color="auto"/>
        <w:bottom w:val="none" w:sz="0" w:space="0" w:color="auto"/>
        <w:right w:val="none" w:sz="0" w:space="0" w:color="auto"/>
      </w:divBdr>
    </w:div>
    <w:div w:id="1722823823">
      <w:bodyDiv w:val="1"/>
      <w:marLeft w:val="0"/>
      <w:marRight w:val="0"/>
      <w:marTop w:val="0"/>
      <w:marBottom w:val="0"/>
      <w:divBdr>
        <w:top w:val="none" w:sz="0" w:space="0" w:color="auto"/>
        <w:left w:val="none" w:sz="0" w:space="0" w:color="auto"/>
        <w:bottom w:val="none" w:sz="0" w:space="0" w:color="auto"/>
        <w:right w:val="none" w:sz="0" w:space="0" w:color="auto"/>
      </w:divBdr>
    </w:div>
    <w:div w:id="1752579908">
      <w:bodyDiv w:val="1"/>
      <w:marLeft w:val="0"/>
      <w:marRight w:val="0"/>
      <w:marTop w:val="0"/>
      <w:marBottom w:val="0"/>
      <w:divBdr>
        <w:top w:val="none" w:sz="0" w:space="0" w:color="auto"/>
        <w:left w:val="none" w:sz="0" w:space="0" w:color="auto"/>
        <w:bottom w:val="none" w:sz="0" w:space="0" w:color="auto"/>
        <w:right w:val="none" w:sz="0" w:space="0" w:color="auto"/>
      </w:divBdr>
    </w:div>
    <w:div w:id="1755932927">
      <w:bodyDiv w:val="1"/>
      <w:marLeft w:val="0"/>
      <w:marRight w:val="0"/>
      <w:marTop w:val="0"/>
      <w:marBottom w:val="0"/>
      <w:divBdr>
        <w:top w:val="none" w:sz="0" w:space="0" w:color="auto"/>
        <w:left w:val="none" w:sz="0" w:space="0" w:color="auto"/>
        <w:bottom w:val="none" w:sz="0" w:space="0" w:color="auto"/>
        <w:right w:val="none" w:sz="0" w:space="0" w:color="auto"/>
      </w:divBdr>
    </w:div>
    <w:div w:id="1762263814">
      <w:bodyDiv w:val="1"/>
      <w:marLeft w:val="0"/>
      <w:marRight w:val="0"/>
      <w:marTop w:val="0"/>
      <w:marBottom w:val="0"/>
      <w:divBdr>
        <w:top w:val="none" w:sz="0" w:space="0" w:color="auto"/>
        <w:left w:val="none" w:sz="0" w:space="0" w:color="auto"/>
        <w:bottom w:val="none" w:sz="0" w:space="0" w:color="auto"/>
        <w:right w:val="none" w:sz="0" w:space="0" w:color="auto"/>
      </w:divBdr>
    </w:div>
    <w:div w:id="1792556134">
      <w:bodyDiv w:val="1"/>
      <w:marLeft w:val="0"/>
      <w:marRight w:val="0"/>
      <w:marTop w:val="0"/>
      <w:marBottom w:val="0"/>
      <w:divBdr>
        <w:top w:val="none" w:sz="0" w:space="0" w:color="auto"/>
        <w:left w:val="none" w:sz="0" w:space="0" w:color="auto"/>
        <w:bottom w:val="none" w:sz="0" w:space="0" w:color="auto"/>
        <w:right w:val="none" w:sz="0" w:space="0" w:color="auto"/>
      </w:divBdr>
    </w:div>
    <w:div w:id="1801612898">
      <w:bodyDiv w:val="1"/>
      <w:marLeft w:val="0"/>
      <w:marRight w:val="0"/>
      <w:marTop w:val="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
        <w:div w:id="1972396602">
          <w:marLeft w:val="0"/>
          <w:marRight w:val="0"/>
          <w:marTop w:val="0"/>
          <w:marBottom w:val="0"/>
          <w:divBdr>
            <w:top w:val="none" w:sz="0" w:space="0" w:color="auto"/>
            <w:left w:val="none" w:sz="0" w:space="0" w:color="auto"/>
            <w:bottom w:val="none" w:sz="0" w:space="0" w:color="auto"/>
            <w:right w:val="none" w:sz="0" w:space="0" w:color="auto"/>
          </w:divBdr>
        </w:div>
      </w:divsChild>
    </w:div>
    <w:div w:id="1805810056">
      <w:bodyDiv w:val="1"/>
      <w:marLeft w:val="0"/>
      <w:marRight w:val="0"/>
      <w:marTop w:val="0"/>
      <w:marBottom w:val="0"/>
      <w:divBdr>
        <w:top w:val="none" w:sz="0" w:space="0" w:color="auto"/>
        <w:left w:val="none" w:sz="0" w:space="0" w:color="auto"/>
        <w:bottom w:val="none" w:sz="0" w:space="0" w:color="auto"/>
        <w:right w:val="none" w:sz="0" w:space="0" w:color="auto"/>
      </w:divBdr>
    </w:div>
    <w:div w:id="1820537985">
      <w:bodyDiv w:val="1"/>
      <w:marLeft w:val="0"/>
      <w:marRight w:val="0"/>
      <w:marTop w:val="0"/>
      <w:marBottom w:val="0"/>
      <w:divBdr>
        <w:top w:val="none" w:sz="0" w:space="0" w:color="auto"/>
        <w:left w:val="none" w:sz="0" w:space="0" w:color="auto"/>
        <w:bottom w:val="none" w:sz="0" w:space="0" w:color="auto"/>
        <w:right w:val="none" w:sz="0" w:space="0" w:color="auto"/>
      </w:divBdr>
    </w:div>
    <w:div w:id="1820804320">
      <w:bodyDiv w:val="1"/>
      <w:marLeft w:val="0"/>
      <w:marRight w:val="0"/>
      <w:marTop w:val="0"/>
      <w:marBottom w:val="0"/>
      <w:divBdr>
        <w:top w:val="none" w:sz="0" w:space="0" w:color="auto"/>
        <w:left w:val="none" w:sz="0" w:space="0" w:color="auto"/>
        <w:bottom w:val="none" w:sz="0" w:space="0" w:color="auto"/>
        <w:right w:val="none" w:sz="0" w:space="0" w:color="auto"/>
      </w:divBdr>
      <w:divsChild>
        <w:div w:id="611283315">
          <w:marLeft w:val="0"/>
          <w:marRight w:val="0"/>
          <w:marTop w:val="0"/>
          <w:marBottom w:val="0"/>
          <w:divBdr>
            <w:top w:val="none" w:sz="0" w:space="0" w:color="auto"/>
            <w:left w:val="none" w:sz="0" w:space="0" w:color="auto"/>
            <w:bottom w:val="none" w:sz="0" w:space="0" w:color="auto"/>
            <w:right w:val="none" w:sz="0" w:space="0" w:color="auto"/>
          </w:divBdr>
          <w:divsChild>
            <w:div w:id="1870490792">
              <w:marLeft w:val="0"/>
              <w:marRight w:val="0"/>
              <w:marTop w:val="0"/>
              <w:marBottom w:val="0"/>
              <w:divBdr>
                <w:top w:val="none" w:sz="0" w:space="0" w:color="auto"/>
                <w:left w:val="none" w:sz="0" w:space="0" w:color="auto"/>
                <w:bottom w:val="none" w:sz="0" w:space="0" w:color="auto"/>
                <w:right w:val="none" w:sz="0" w:space="0" w:color="auto"/>
              </w:divBdr>
              <w:divsChild>
                <w:div w:id="980764753">
                  <w:marLeft w:val="0"/>
                  <w:marRight w:val="0"/>
                  <w:marTop w:val="0"/>
                  <w:marBottom w:val="0"/>
                  <w:divBdr>
                    <w:top w:val="none" w:sz="0" w:space="0" w:color="auto"/>
                    <w:left w:val="none" w:sz="0" w:space="0" w:color="auto"/>
                    <w:bottom w:val="none" w:sz="0" w:space="0" w:color="auto"/>
                    <w:right w:val="none" w:sz="0" w:space="0" w:color="auto"/>
                  </w:divBdr>
                  <w:divsChild>
                    <w:div w:id="11870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92290">
      <w:bodyDiv w:val="1"/>
      <w:marLeft w:val="0"/>
      <w:marRight w:val="0"/>
      <w:marTop w:val="0"/>
      <w:marBottom w:val="0"/>
      <w:divBdr>
        <w:top w:val="none" w:sz="0" w:space="0" w:color="auto"/>
        <w:left w:val="none" w:sz="0" w:space="0" w:color="auto"/>
        <w:bottom w:val="none" w:sz="0" w:space="0" w:color="auto"/>
        <w:right w:val="none" w:sz="0" w:space="0" w:color="auto"/>
      </w:divBdr>
    </w:div>
    <w:div w:id="1828207957">
      <w:bodyDiv w:val="1"/>
      <w:marLeft w:val="0"/>
      <w:marRight w:val="0"/>
      <w:marTop w:val="0"/>
      <w:marBottom w:val="0"/>
      <w:divBdr>
        <w:top w:val="none" w:sz="0" w:space="0" w:color="auto"/>
        <w:left w:val="none" w:sz="0" w:space="0" w:color="auto"/>
        <w:bottom w:val="none" w:sz="0" w:space="0" w:color="auto"/>
        <w:right w:val="none" w:sz="0" w:space="0" w:color="auto"/>
      </w:divBdr>
    </w:div>
    <w:div w:id="1845049863">
      <w:bodyDiv w:val="1"/>
      <w:marLeft w:val="0"/>
      <w:marRight w:val="0"/>
      <w:marTop w:val="0"/>
      <w:marBottom w:val="0"/>
      <w:divBdr>
        <w:top w:val="none" w:sz="0" w:space="0" w:color="auto"/>
        <w:left w:val="none" w:sz="0" w:space="0" w:color="auto"/>
        <w:bottom w:val="none" w:sz="0" w:space="0" w:color="auto"/>
        <w:right w:val="none" w:sz="0" w:space="0" w:color="auto"/>
      </w:divBdr>
    </w:div>
    <w:div w:id="1848473716">
      <w:bodyDiv w:val="1"/>
      <w:marLeft w:val="0"/>
      <w:marRight w:val="0"/>
      <w:marTop w:val="0"/>
      <w:marBottom w:val="0"/>
      <w:divBdr>
        <w:top w:val="none" w:sz="0" w:space="0" w:color="auto"/>
        <w:left w:val="none" w:sz="0" w:space="0" w:color="auto"/>
        <w:bottom w:val="none" w:sz="0" w:space="0" w:color="auto"/>
        <w:right w:val="none" w:sz="0" w:space="0" w:color="auto"/>
      </w:divBdr>
    </w:div>
    <w:div w:id="1850485591">
      <w:bodyDiv w:val="1"/>
      <w:marLeft w:val="0"/>
      <w:marRight w:val="0"/>
      <w:marTop w:val="0"/>
      <w:marBottom w:val="0"/>
      <w:divBdr>
        <w:top w:val="none" w:sz="0" w:space="0" w:color="auto"/>
        <w:left w:val="none" w:sz="0" w:space="0" w:color="auto"/>
        <w:bottom w:val="none" w:sz="0" w:space="0" w:color="auto"/>
        <w:right w:val="none" w:sz="0" w:space="0" w:color="auto"/>
      </w:divBdr>
    </w:div>
    <w:div w:id="1874149511">
      <w:bodyDiv w:val="1"/>
      <w:marLeft w:val="0"/>
      <w:marRight w:val="0"/>
      <w:marTop w:val="0"/>
      <w:marBottom w:val="0"/>
      <w:divBdr>
        <w:top w:val="none" w:sz="0" w:space="0" w:color="auto"/>
        <w:left w:val="none" w:sz="0" w:space="0" w:color="auto"/>
        <w:bottom w:val="none" w:sz="0" w:space="0" w:color="auto"/>
        <w:right w:val="none" w:sz="0" w:space="0" w:color="auto"/>
      </w:divBdr>
    </w:div>
    <w:div w:id="1877891714">
      <w:bodyDiv w:val="1"/>
      <w:marLeft w:val="0"/>
      <w:marRight w:val="0"/>
      <w:marTop w:val="0"/>
      <w:marBottom w:val="0"/>
      <w:divBdr>
        <w:top w:val="none" w:sz="0" w:space="0" w:color="auto"/>
        <w:left w:val="none" w:sz="0" w:space="0" w:color="auto"/>
        <w:bottom w:val="none" w:sz="0" w:space="0" w:color="auto"/>
        <w:right w:val="none" w:sz="0" w:space="0" w:color="auto"/>
      </w:divBdr>
    </w:div>
    <w:div w:id="1900240219">
      <w:bodyDiv w:val="1"/>
      <w:marLeft w:val="0"/>
      <w:marRight w:val="0"/>
      <w:marTop w:val="0"/>
      <w:marBottom w:val="0"/>
      <w:divBdr>
        <w:top w:val="none" w:sz="0" w:space="0" w:color="auto"/>
        <w:left w:val="none" w:sz="0" w:space="0" w:color="auto"/>
        <w:bottom w:val="none" w:sz="0" w:space="0" w:color="auto"/>
        <w:right w:val="none" w:sz="0" w:space="0" w:color="auto"/>
      </w:divBdr>
    </w:div>
    <w:div w:id="1925608886">
      <w:bodyDiv w:val="1"/>
      <w:marLeft w:val="0"/>
      <w:marRight w:val="0"/>
      <w:marTop w:val="0"/>
      <w:marBottom w:val="0"/>
      <w:divBdr>
        <w:top w:val="none" w:sz="0" w:space="0" w:color="auto"/>
        <w:left w:val="none" w:sz="0" w:space="0" w:color="auto"/>
        <w:bottom w:val="none" w:sz="0" w:space="0" w:color="auto"/>
        <w:right w:val="none" w:sz="0" w:space="0" w:color="auto"/>
      </w:divBdr>
      <w:divsChild>
        <w:div w:id="320042802">
          <w:marLeft w:val="0"/>
          <w:marRight w:val="0"/>
          <w:marTop w:val="0"/>
          <w:marBottom w:val="0"/>
          <w:divBdr>
            <w:top w:val="none" w:sz="0" w:space="0" w:color="auto"/>
            <w:left w:val="none" w:sz="0" w:space="0" w:color="auto"/>
            <w:bottom w:val="none" w:sz="0" w:space="0" w:color="auto"/>
            <w:right w:val="none" w:sz="0" w:space="0" w:color="auto"/>
          </w:divBdr>
          <w:divsChild>
            <w:div w:id="1233734778">
              <w:marLeft w:val="0"/>
              <w:marRight w:val="0"/>
              <w:marTop w:val="0"/>
              <w:marBottom w:val="0"/>
              <w:divBdr>
                <w:top w:val="none" w:sz="0" w:space="0" w:color="auto"/>
                <w:left w:val="none" w:sz="0" w:space="0" w:color="auto"/>
                <w:bottom w:val="none" w:sz="0" w:space="0" w:color="auto"/>
                <w:right w:val="none" w:sz="0" w:space="0" w:color="auto"/>
              </w:divBdr>
              <w:divsChild>
                <w:div w:id="6383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69261">
      <w:bodyDiv w:val="1"/>
      <w:marLeft w:val="0"/>
      <w:marRight w:val="0"/>
      <w:marTop w:val="0"/>
      <w:marBottom w:val="0"/>
      <w:divBdr>
        <w:top w:val="none" w:sz="0" w:space="0" w:color="auto"/>
        <w:left w:val="none" w:sz="0" w:space="0" w:color="auto"/>
        <w:bottom w:val="none" w:sz="0" w:space="0" w:color="auto"/>
        <w:right w:val="none" w:sz="0" w:space="0" w:color="auto"/>
      </w:divBdr>
      <w:divsChild>
        <w:div w:id="1833905552">
          <w:marLeft w:val="0"/>
          <w:marRight w:val="0"/>
          <w:marTop w:val="0"/>
          <w:marBottom w:val="0"/>
          <w:divBdr>
            <w:top w:val="none" w:sz="0" w:space="0" w:color="auto"/>
            <w:left w:val="none" w:sz="0" w:space="0" w:color="auto"/>
            <w:bottom w:val="none" w:sz="0" w:space="0" w:color="auto"/>
            <w:right w:val="none" w:sz="0" w:space="0" w:color="auto"/>
          </w:divBdr>
          <w:divsChild>
            <w:div w:id="2018847877">
              <w:marLeft w:val="0"/>
              <w:marRight w:val="0"/>
              <w:marTop w:val="0"/>
              <w:marBottom w:val="0"/>
              <w:divBdr>
                <w:top w:val="none" w:sz="0" w:space="0" w:color="auto"/>
                <w:left w:val="none" w:sz="0" w:space="0" w:color="auto"/>
                <w:bottom w:val="none" w:sz="0" w:space="0" w:color="auto"/>
                <w:right w:val="none" w:sz="0" w:space="0" w:color="auto"/>
              </w:divBdr>
              <w:divsChild>
                <w:div w:id="9325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10625">
      <w:bodyDiv w:val="1"/>
      <w:marLeft w:val="0"/>
      <w:marRight w:val="0"/>
      <w:marTop w:val="0"/>
      <w:marBottom w:val="0"/>
      <w:divBdr>
        <w:top w:val="none" w:sz="0" w:space="0" w:color="auto"/>
        <w:left w:val="none" w:sz="0" w:space="0" w:color="auto"/>
        <w:bottom w:val="none" w:sz="0" w:space="0" w:color="auto"/>
        <w:right w:val="none" w:sz="0" w:space="0" w:color="auto"/>
      </w:divBdr>
    </w:div>
    <w:div w:id="1978412525">
      <w:bodyDiv w:val="1"/>
      <w:marLeft w:val="0"/>
      <w:marRight w:val="0"/>
      <w:marTop w:val="0"/>
      <w:marBottom w:val="0"/>
      <w:divBdr>
        <w:top w:val="none" w:sz="0" w:space="0" w:color="auto"/>
        <w:left w:val="none" w:sz="0" w:space="0" w:color="auto"/>
        <w:bottom w:val="none" w:sz="0" w:space="0" w:color="auto"/>
        <w:right w:val="none" w:sz="0" w:space="0" w:color="auto"/>
      </w:divBdr>
      <w:divsChild>
        <w:div w:id="968972497">
          <w:marLeft w:val="0"/>
          <w:marRight w:val="0"/>
          <w:marTop w:val="0"/>
          <w:marBottom w:val="0"/>
          <w:divBdr>
            <w:top w:val="none" w:sz="0" w:space="0" w:color="auto"/>
            <w:left w:val="none" w:sz="0" w:space="0" w:color="auto"/>
            <w:bottom w:val="none" w:sz="0" w:space="0" w:color="auto"/>
            <w:right w:val="none" w:sz="0" w:space="0" w:color="auto"/>
          </w:divBdr>
        </w:div>
        <w:div w:id="1491599440">
          <w:marLeft w:val="0"/>
          <w:marRight w:val="0"/>
          <w:marTop w:val="0"/>
          <w:marBottom w:val="0"/>
          <w:divBdr>
            <w:top w:val="none" w:sz="0" w:space="0" w:color="auto"/>
            <w:left w:val="none" w:sz="0" w:space="0" w:color="auto"/>
            <w:bottom w:val="none" w:sz="0" w:space="0" w:color="auto"/>
            <w:right w:val="none" w:sz="0" w:space="0" w:color="auto"/>
          </w:divBdr>
        </w:div>
        <w:div w:id="2061973767">
          <w:marLeft w:val="0"/>
          <w:marRight w:val="0"/>
          <w:marTop w:val="0"/>
          <w:marBottom w:val="0"/>
          <w:divBdr>
            <w:top w:val="none" w:sz="0" w:space="0" w:color="auto"/>
            <w:left w:val="none" w:sz="0" w:space="0" w:color="auto"/>
            <w:bottom w:val="none" w:sz="0" w:space="0" w:color="auto"/>
            <w:right w:val="none" w:sz="0" w:space="0" w:color="auto"/>
          </w:divBdr>
        </w:div>
      </w:divsChild>
    </w:div>
    <w:div w:id="1985961530">
      <w:bodyDiv w:val="1"/>
      <w:marLeft w:val="0"/>
      <w:marRight w:val="0"/>
      <w:marTop w:val="0"/>
      <w:marBottom w:val="0"/>
      <w:divBdr>
        <w:top w:val="none" w:sz="0" w:space="0" w:color="auto"/>
        <w:left w:val="none" w:sz="0" w:space="0" w:color="auto"/>
        <w:bottom w:val="none" w:sz="0" w:space="0" w:color="auto"/>
        <w:right w:val="none" w:sz="0" w:space="0" w:color="auto"/>
      </w:divBdr>
    </w:div>
    <w:div w:id="2005618353">
      <w:bodyDiv w:val="1"/>
      <w:marLeft w:val="0"/>
      <w:marRight w:val="0"/>
      <w:marTop w:val="0"/>
      <w:marBottom w:val="0"/>
      <w:divBdr>
        <w:top w:val="none" w:sz="0" w:space="0" w:color="auto"/>
        <w:left w:val="none" w:sz="0" w:space="0" w:color="auto"/>
        <w:bottom w:val="none" w:sz="0" w:space="0" w:color="auto"/>
        <w:right w:val="none" w:sz="0" w:space="0" w:color="auto"/>
      </w:divBdr>
    </w:div>
    <w:div w:id="2022779153">
      <w:bodyDiv w:val="1"/>
      <w:marLeft w:val="0"/>
      <w:marRight w:val="0"/>
      <w:marTop w:val="0"/>
      <w:marBottom w:val="0"/>
      <w:divBdr>
        <w:top w:val="none" w:sz="0" w:space="0" w:color="auto"/>
        <w:left w:val="none" w:sz="0" w:space="0" w:color="auto"/>
        <w:bottom w:val="none" w:sz="0" w:space="0" w:color="auto"/>
        <w:right w:val="none" w:sz="0" w:space="0" w:color="auto"/>
      </w:divBdr>
    </w:div>
    <w:div w:id="2032215824">
      <w:bodyDiv w:val="1"/>
      <w:marLeft w:val="0"/>
      <w:marRight w:val="0"/>
      <w:marTop w:val="0"/>
      <w:marBottom w:val="0"/>
      <w:divBdr>
        <w:top w:val="none" w:sz="0" w:space="0" w:color="auto"/>
        <w:left w:val="none" w:sz="0" w:space="0" w:color="auto"/>
        <w:bottom w:val="none" w:sz="0" w:space="0" w:color="auto"/>
        <w:right w:val="none" w:sz="0" w:space="0" w:color="auto"/>
      </w:divBdr>
    </w:div>
    <w:div w:id="2050105707">
      <w:bodyDiv w:val="1"/>
      <w:marLeft w:val="0"/>
      <w:marRight w:val="0"/>
      <w:marTop w:val="0"/>
      <w:marBottom w:val="0"/>
      <w:divBdr>
        <w:top w:val="none" w:sz="0" w:space="0" w:color="auto"/>
        <w:left w:val="none" w:sz="0" w:space="0" w:color="auto"/>
        <w:bottom w:val="none" w:sz="0" w:space="0" w:color="auto"/>
        <w:right w:val="none" w:sz="0" w:space="0" w:color="auto"/>
      </w:divBdr>
    </w:div>
    <w:div w:id="2057390508">
      <w:bodyDiv w:val="1"/>
      <w:marLeft w:val="0"/>
      <w:marRight w:val="0"/>
      <w:marTop w:val="0"/>
      <w:marBottom w:val="0"/>
      <w:divBdr>
        <w:top w:val="none" w:sz="0" w:space="0" w:color="auto"/>
        <w:left w:val="none" w:sz="0" w:space="0" w:color="auto"/>
        <w:bottom w:val="none" w:sz="0" w:space="0" w:color="auto"/>
        <w:right w:val="none" w:sz="0" w:space="0" w:color="auto"/>
      </w:divBdr>
      <w:divsChild>
        <w:div w:id="765467866">
          <w:marLeft w:val="0"/>
          <w:marRight w:val="0"/>
          <w:marTop w:val="0"/>
          <w:marBottom w:val="0"/>
          <w:divBdr>
            <w:top w:val="none" w:sz="0" w:space="0" w:color="auto"/>
            <w:left w:val="none" w:sz="0" w:space="0" w:color="auto"/>
            <w:bottom w:val="none" w:sz="0" w:space="0" w:color="auto"/>
            <w:right w:val="none" w:sz="0" w:space="0" w:color="auto"/>
          </w:divBdr>
          <w:divsChild>
            <w:div w:id="371468185">
              <w:marLeft w:val="0"/>
              <w:marRight w:val="0"/>
              <w:marTop w:val="0"/>
              <w:marBottom w:val="0"/>
              <w:divBdr>
                <w:top w:val="none" w:sz="0" w:space="0" w:color="auto"/>
                <w:left w:val="none" w:sz="0" w:space="0" w:color="auto"/>
                <w:bottom w:val="none" w:sz="0" w:space="0" w:color="auto"/>
                <w:right w:val="none" w:sz="0" w:space="0" w:color="auto"/>
              </w:divBdr>
              <w:divsChild>
                <w:div w:id="1221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75569">
      <w:bodyDiv w:val="1"/>
      <w:marLeft w:val="0"/>
      <w:marRight w:val="0"/>
      <w:marTop w:val="0"/>
      <w:marBottom w:val="0"/>
      <w:divBdr>
        <w:top w:val="none" w:sz="0" w:space="0" w:color="auto"/>
        <w:left w:val="none" w:sz="0" w:space="0" w:color="auto"/>
        <w:bottom w:val="none" w:sz="0" w:space="0" w:color="auto"/>
        <w:right w:val="none" w:sz="0" w:space="0" w:color="auto"/>
      </w:divBdr>
    </w:div>
    <w:div w:id="2068603617">
      <w:bodyDiv w:val="1"/>
      <w:marLeft w:val="0"/>
      <w:marRight w:val="0"/>
      <w:marTop w:val="0"/>
      <w:marBottom w:val="0"/>
      <w:divBdr>
        <w:top w:val="none" w:sz="0" w:space="0" w:color="auto"/>
        <w:left w:val="none" w:sz="0" w:space="0" w:color="auto"/>
        <w:bottom w:val="none" w:sz="0" w:space="0" w:color="auto"/>
        <w:right w:val="none" w:sz="0" w:space="0" w:color="auto"/>
      </w:divBdr>
    </w:div>
    <w:div w:id="2089380658">
      <w:bodyDiv w:val="1"/>
      <w:marLeft w:val="0"/>
      <w:marRight w:val="0"/>
      <w:marTop w:val="0"/>
      <w:marBottom w:val="0"/>
      <w:divBdr>
        <w:top w:val="none" w:sz="0" w:space="0" w:color="auto"/>
        <w:left w:val="none" w:sz="0" w:space="0" w:color="auto"/>
        <w:bottom w:val="none" w:sz="0" w:space="0" w:color="auto"/>
        <w:right w:val="none" w:sz="0" w:space="0" w:color="auto"/>
      </w:divBdr>
    </w:div>
    <w:div w:id="2095125533">
      <w:bodyDiv w:val="1"/>
      <w:marLeft w:val="0"/>
      <w:marRight w:val="0"/>
      <w:marTop w:val="0"/>
      <w:marBottom w:val="0"/>
      <w:divBdr>
        <w:top w:val="none" w:sz="0" w:space="0" w:color="auto"/>
        <w:left w:val="none" w:sz="0" w:space="0" w:color="auto"/>
        <w:bottom w:val="none" w:sz="0" w:space="0" w:color="auto"/>
        <w:right w:val="none" w:sz="0" w:space="0" w:color="auto"/>
      </w:divBdr>
    </w:div>
    <w:div w:id="2109616439">
      <w:bodyDiv w:val="1"/>
      <w:marLeft w:val="0"/>
      <w:marRight w:val="0"/>
      <w:marTop w:val="0"/>
      <w:marBottom w:val="0"/>
      <w:divBdr>
        <w:top w:val="none" w:sz="0" w:space="0" w:color="auto"/>
        <w:left w:val="none" w:sz="0" w:space="0" w:color="auto"/>
        <w:bottom w:val="none" w:sz="0" w:space="0" w:color="auto"/>
        <w:right w:val="none" w:sz="0" w:space="0" w:color="auto"/>
      </w:divBdr>
      <w:divsChild>
        <w:div w:id="1994527195">
          <w:marLeft w:val="0"/>
          <w:marRight w:val="0"/>
          <w:marTop w:val="0"/>
          <w:marBottom w:val="0"/>
          <w:divBdr>
            <w:top w:val="none" w:sz="0" w:space="0" w:color="auto"/>
            <w:left w:val="none" w:sz="0" w:space="0" w:color="auto"/>
            <w:bottom w:val="none" w:sz="0" w:space="0" w:color="auto"/>
            <w:right w:val="none" w:sz="0" w:space="0" w:color="auto"/>
          </w:divBdr>
        </w:div>
      </w:divsChild>
    </w:div>
    <w:div w:id="2117291093">
      <w:bodyDiv w:val="1"/>
      <w:marLeft w:val="0"/>
      <w:marRight w:val="0"/>
      <w:marTop w:val="0"/>
      <w:marBottom w:val="0"/>
      <w:divBdr>
        <w:top w:val="none" w:sz="0" w:space="0" w:color="auto"/>
        <w:left w:val="none" w:sz="0" w:space="0" w:color="auto"/>
        <w:bottom w:val="none" w:sz="0" w:space="0" w:color="auto"/>
        <w:right w:val="none" w:sz="0" w:space="0" w:color="auto"/>
      </w:divBdr>
    </w:div>
    <w:div w:id="2136101143">
      <w:bodyDiv w:val="1"/>
      <w:marLeft w:val="0"/>
      <w:marRight w:val="0"/>
      <w:marTop w:val="0"/>
      <w:marBottom w:val="0"/>
      <w:divBdr>
        <w:top w:val="none" w:sz="0" w:space="0" w:color="auto"/>
        <w:left w:val="none" w:sz="0" w:space="0" w:color="auto"/>
        <w:bottom w:val="none" w:sz="0" w:space="0" w:color="auto"/>
        <w:right w:val="none" w:sz="0" w:space="0" w:color="auto"/>
      </w:divBdr>
    </w:div>
    <w:div w:id="2137485594">
      <w:bodyDiv w:val="1"/>
      <w:marLeft w:val="0"/>
      <w:marRight w:val="0"/>
      <w:marTop w:val="0"/>
      <w:marBottom w:val="0"/>
      <w:divBdr>
        <w:top w:val="none" w:sz="0" w:space="0" w:color="auto"/>
        <w:left w:val="none" w:sz="0" w:space="0" w:color="auto"/>
        <w:bottom w:val="none" w:sz="0" w:space="0" w:color="auto"/>
        <w:right w:val="none" w:sz="0" w:space="0" w:color="auto"/>
      </w:divBdr>
    </w:div>
    <w:div w:id="2138446437">
      <w:bodyDiv w:val="1"/>
      <w:marLeft w:val="0"/>
      <w:marRight w:val="0"/>
      <w:marTop w:val="0"/>
      <w:marBottom w:val="0"/>
      <w:divBdr>
        <w:top w:val="none" w:sz="0" w:space="0" w:color="auto"/>
        <w:left w:val="none" w:sz="0" w:space="0" w:color="auto"/>
        <w:bottom w:val="none" w:sz="0" w:space="0" w:color="auto"/>
        <w:right w:val="none" w:sz="0" w:space="0" w:color="auto"/>
      </w:divBdr>
    </w:div>
    <w:div w:id="21418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chart" Target="charts/chart36.xml"/><Relationship Id="rId50" Type="http://schemas.openxmlformats.org/officeDocument/2006/relationships/chart" Target="charts/chart39.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chart" Target="charts/chart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chart" Target="charts/chart38.xml"/><Relationship Id="rId57" Type="http://schemas.microsoft.com/office/2016/09/relationships/commentsIds" Target="commentsIds.xml"/><Relationship Id="rId10" Type="http://schemas.openxmlformats.org/officeDocument/2006/relationships/hyperlink" Target="mailto:ndsvic@nds.org.au" TargetMode="External"/><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7.xml"/><Relationship Id="rId8" Type="http://schemas.openxmlformats.org/officeDocument/2006/relationships/header" Target="header1.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LR_AMS%20Download_VIC%20ONL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COPY%2014.02%20of%202018-09-18%2016.27%20AMS%20Download%20-%20VIC%20ONL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COPY%2014.02%20of%202018-09-18%2016.27%20AMS%20Download%20-%20VIC%20ONL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COPY%2014.02%20of%202018-09-18%2016.27%20AMS%20Download%20-%20VIC%20ONL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COPY%2014.02%20of%202018-09-18%2016.27%20AMS%20Download%20-%20VIC%20ONL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COPY%2014.02%20of%202018-09-18%2016.27%20AMS%20Download%20-%20VIC%20ONL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COPY%2014.02%20of%202018-09-18%2016.27%20AMS%20Download%20-%20VIC%20ONL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COPY%2014.02%20of%202018-09-18%2016.27%20AMS%20Download%20-%20VIC%20ONL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COPY%2014.02%20of%202018-09-18%2016.27%20AMS%20Download%20-%20VIC%20ONL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COPY%2014.02%20of%202018-09-18%2016.27%20AMS%20Download%20-%20VIC%20ONL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LR_AMS%20Download_VIC%20ONL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LR_AMS%20Download_VIC%20ONLY.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LR_AMS%20Download_VIC%20ONLY.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LR_AMS%20Download_VIC%20ONLY.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LR_AMS%20Download_VIC%20ONLY.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COPY%2014.02%20of%202018-09-18%2016.27%20AMS%20Download%20-%20VIC%20ONLY.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COPY%2014.02%20of%202018-09-18%2016.27%20AMS%20Download%20-%20VIC%20ONLY.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COPY%2014.02%20of%202018-09-18%2016.27%20AMS%20Download%20-%20VIC%20ONLY.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COPY%2014.02%20of%202018-09-18%2016.27%20AMS%20Download%20-%20VIC%20ONLY.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COPY%2014.02%20of%202018-09-18%2016.27%20AMS%20Download%20-%20VIC%20ONLY.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COPY%2014.02%20of%202018-09-18%2016.27%20AMS%20Download%20-%20VIC%20ONLY.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UpdatedWWData_25March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COPY%2014.02%20of%202018-09-18%2016.27%20AMS%20Download%20-%20VIC%20ONLY.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UpdatedWWData_25March2019.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UpdatedWWData_25March2019.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COPY%2014.02%20of%202018-09-18%2016.27%20AMS%20Download%20-%20VIC%20ONLY.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COPY%2014.02%20of%202018-09-18%2016.27%20AMS%20Download%20-%20VIC%20ONLY.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COPY%2014.02%20of%202018-09-18%2016.27%20AMS%20Download%20-%20VIC%20ONLY.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AMS%20National%20dataset.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COPY%2014.02%20of%202018-09-18%2016.27%20AMS%20Download%20-%20VIC%20ONLY.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COPY%2014.02%20of%202018-09-18%2016.27%20AMS%20Download%20-%20VIC%20ONLY.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LR_AMS%20Download_VIC%20ONLY.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COPY%2014.02%20of%202018-09-18%2016.27%20AMS%20Download%20-%20VIC%20ONL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COPY%2014.02%20of%202018-09-18%2016.27%20AMS%20Download%20-%20VIC%20ONL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LR_AMS%20Download_VIC%20ONL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COPY%2014.02%20of%202018-09-18%2016.27%20AMS%20Download%20-%20VIC%20ONL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LR_AMS%20Download_VIC%20ONL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COPY%2014.02%20of%202018-09-18%2016.27%20AMS%20Download%20-%20VIC%20ONL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ndsorg-my.sharepoint.com/personal/kate_randall_nds_org_au/Documents/Market%20Dynamics/AMS%20+%20SOTS%20-%20from%20Lesley/COPY%2014.02%20of%202018-09-18%2016.27%20AMS%20Download%20-%20VIC%20ONL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col"/>
        <c:grouping val="clustered"/>
        <c:ser>
          <c:idx val="0"/>
          <c:order val="0"/>
          <c:tx>
            <c:strRef>
              <c:f>Pricing!$B$20</c:f>
              <c:strCache>
                <c:ptCount val="1"/>
                <c:pt idx="0">
                  <c:v>Victoria</c:v>
                </c:pt>
              </c:strCache>
            </c:strRef>
          </c:tx>
          <c:spPr>
            <a:solidFill>
              <a:srgbClr val="497594"/>
            </a:solidFill>
            <a:ln>
              <a:solidFill>
                <a:srgbClr val="497594"/>
              </a:solidFill>
            </a:ln>
            <a:effectLst/>
          </c:spPr>
          <c:cat>
            <c:strRef>
              <c:f>Pricing!$A$21:$A$24</c:f>
              <c:strCache>
                <c:ptCount val="4"/>
                <c:pt idx="0">
                  <c:v>Agree or agree strongly</c:v>
                </c:pt>
                <c:pt idx="1">
                  <c:v>Neither agree nor disagree</c:v>
                </c:pt>
                <c:pt idx="2">
                  <c:v>Disagree or disagree strongly</c:v>
                </c:pt>
                <c:pt idx="3">
                  <c:v>Don't know</c:v>
                </c:pt>
              </c:strCache>
            </c:strRef>
          </c:cat>
          <c:val>
            <c:numRef>
              <c:f>Pricing!$B$21:$B$24</c:f>
              <c:numCache>
                <c:formatCode>0%</c:formatCode>
                <c:ptCount val="4"/>
                <c:pt idx="0">
                  <c:v>0.63000000000000023</c:v>
                </c:pt>
                <c:pt idx="1">
                  <c:v>0.19000000000000003</c:v>
                </c:pt>
                <c:pt idx="2">
                  <c:v>0.19000000000000003</c:v>
                </c:pt>
                <c:pt idx="3">
                  <c:v>0</c:v>
                </c:pt>
              </c:numCache>
            </c:numRef>
          </c:val>
          <c:extLst xmlns:c16r2="http://schemas.microsoft.com/office/drawing/2015/06/chart">
            <c:ext xmlns:c16="http://schemas.microsoft.com/office/drawing/2014/chart" uri="{C3380CC4-5D6E-409C-BE32-E72D297353CC}">
              <c16:uniqueId val="{00000000-92A7-8442-B04C-532B4CF0DA4B}"/>
            </c:ext>
          </c:extLst>
        </c:ser>
        <c:ser>
          <c:idx val="1"/>
          <c:order val="1"/>
          <c:tx>
            <c:strRef>
              <c:f>Pricing!$C$20</c:f>
              <c:strCache>
                <c:ptCount val="1"/>
                <c:pt idx="0">
                  <c:v>National</c:v>
                </c:pt>
              </c:strCache>
            </c:strRef>
          </c:tx>
          <c:spPr>
            <a:solidFill>
              <a:srgbClr val="6EBB1E"/>
            </a:solidFill>
            <a:ln>
              <a:noFill/>
            </a:ln>
            <a:effectLst/>
          </c:spPr>
          <c:cat>
            <c:strRef>
              <c:f>Pricing!$A$21:$A$24</c:f>
              <c:strCache>
                <c:ptCount val="4"/>
                <c:pt idx="0">
                  <c:v>Agree or agree strongly</c:v>
                </c:pt>
                <c:pt idx="1">
                  <c:v>Neither agree nor disagree</c:v>
                </c:pt>
                <c:pt idx="2">
                  <c:v>Disagree or disagree strongly</c:v>
                </c:pt>
                <c:pt idx="3">
                  <c:v>Don't know</c:v>
                </c:pt>
              </c:strCache>
            </c:strRef>
          </c:cat>
          <c:val>
            <c:numRef>
              <c:f>Pricing!$C$21:$C$24</c:f>
              <c:numCache>
                <c:formatCode>0%</c:formatCode>
                <c:ptCount val="4"/>
                <c:pt idx="0">
                  <c:v>0.58000000000000007</c:v>
                </c:pt>
                <c:pt idx="1">
                  <c:v>0.17</c:v>
                </c:pt>
                <c:pt idx="2">
                  <c:v>0.24000000000000005</c:v>
                </c:pt>
                <c:pt idx="3">
                  <c:v>1.0000000000000004E-2</c:v>
                </c:pt>
              </c:numCache>
            </c:numRef>
          </c:val>
          <c:extLst xmlns:c16r2="http://schemas.microsoft.com/office/drawing/2015/06/chart">
            <c:ext xmlns:c16="http://schemas.microsoft.com/office/drawing/2014/chart" uri="{C3380CC4-5D6E-409C-BE32-E72D297353CC}">
              <c16:uniqueId val="{00000001-92A7-8442-B04C-532B4CF0DA4B}"/>
            </c:ext>
          </c:extLst>
        </c:ser>
        <c:gapWidth val="219"/>
        <c:overlap val="-27"/>
        <c:axId val="158119040"/>
        <c:axId val="158120576"/>
      </c:barChart>
      <c:catAx>
        <c:axId val="1581190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8120576"/>
        <c:crosses val="autoZero"/>
        <c:auto val="1"/>
        <c:lblAlgn val="ctr"/>
        <c:lblOffset val="100"/>
      </c:catAx>
      <c:valAx>
        <c:axId val="15812057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81190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'June2019P&amp;L margins'!$R$20</c:f>
              <c:strCache>
                <c:ptCount val="1"/>
                <c:pt idx="0">
                  <c:v>State-wide</c:v>
                </c:pt>
              </c:strCache>
            </c:strRef>
          </c:tx>
          <c:spPr>
            <a:solidFill>
              <a:srgbClr val="497594"/>
            </a:solidFill>
            <a:ln>
              <a:noFill/>
            </a:ln>
            <a:effectLst/>
          </c:spPr>
          <c:cat>
            <c:strRef>
              <c:f>'June2019P&amp;L margins'!$N$21:$N$29</c:f>
              <c:strCache>
                <c:ptCount val="9"/>
                <c:pt idx="0">
                  <c:v>-21% and below</c:v>
                </c:pt>
                <c:pt idx="1">
                  <c:v>-11 to -20%</c:v>
                </c:pt>
                <c:pt idx="2">
                  <c:v>-6 to -10%</c:v>
                </c:pt>
                <c:pt idx="3">
                  <c:v>-1 to -5%</c:v>
                </c:pt>
                <c:pt idx="4">
                  <c:v>0</c:v>
                </c:pt>
                <c:pt idx="5">
                  <c:v>1-5%</c:v>
                </c:pt>
                <c:pt idx="6">
                  <c:v>6-10%</c:v>
                </c:pt>
                <c:pt idx="7">
                  <c:v>11-20%</c:v>
                </c:pt>
                <c:pt idx="8">
                  <c:v>21% and above</c:v>
                </c:pt>
              </c:strCache>
            </c:strRef>
          </c:cat>
          <c:val>
            <c:numRef>
              <c:f>'June2019P&amp;L margins'!$R$21:$R$29</c:f>
              <c:numCache>
                <c:formatCode>0%</c:formatCode>
                <c:ptCount val="9"/>
                <c:pt idx="0">
                  <c:v>0</c:v>
                </c:pt>
                <c:pt idx="1">
                  <c:v>0</c:v>
                </c:pt>
                <c:pt idx="2">
                  <c:v>7.6923076923076927E-2</c:v>
                </c:pt>
                <c:pt idx="3">
                  <c:v>7.6923076923076927E-2</c:v>
                </c:pt>
                <c:pt idx="4">
                  <c:v>0.30769230769230782</c:v>
                </c:pt>
                <c:pt idx="5">
                  <c:v>0.38461538461538475</c:v>
                </c:pt>
                <c:pt idx="6">
                  <c:v>7.6923076923076927E-2</c:v>
                </c:pt>
                <c:pt idx="7">
                  <c:v>7.6923076923076927E-2</c:v>
                </c:pt>
                <c:pt idx="8">
                  <c:v>0</c:v>
                </c:pt>
              </c:numCache>
            </c:numRef>
          </c:val>
          <c:extLst xmlns:c16r2="http://schemas.microsoft.com/office/drawing/2015/06/chart">
            <c:ext xmlns:c16="http://schemas.microsoft.com/office/drawing/2014/chart" uri="{C3380CC4-5D6E-409C-BE32-E72D297353CC}">
              <c16:uniqueId val="{00000000-E2BB-3B45-8EB5-41C23DA9AB22}"/>
            </c:ext>
          </c:extLst>
        </c:ser>
        <c:gapWidth val="219"/>
        <c:overlap val="-27"/>
        <c:axId val="158618368"/>
        <c:axId val="158619904"/>
      </c:barChart>
      <c:catAx>
        <c:axId val="1586183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619904"/>
        <c:crosses val="autoZero"/>
        <c:auto val="1"/>
        <c:lblAlgn val="ctr"/>
        <c:lblOffset val="100"/>
      </c:catAx>
      <c:valAx>
        <c:axId val="158619904"/>
        <c:scaling>
          <c:orientation val="minMax"/>
          <c:max val="0.4"/>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61836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'Financial reserves'!$G$36</c:f>
              <c:strCache>
                <c:ptCount val="1"/>
                <c:pt idx="0">
                  <c:v>Vic</c:v>
                </c:pt>
              </c:strCache>
            </c:strRef>
          </c:tx>
          <c:spPr>
            <a:solidFill>
              <a:srgbClr val="497594"/>
            </a:solidFill>
            <a:ln>
              <a:noFill/>
            </a:ln>
            <a:effectLst/>
          </c:spPr>
          <c:cat>
            <c:strRef>
              <c:f>'Financial reserves'!$F$37:$F$45</c:f>
              <c:strCache>
                <c:ptCount val="9"/>
                <c:pt idx="0">
                  <c:v>-21% and below</c:v>
                </c:pt>
                <c:pt idx="1">
                  <c:v>-11 to -20%</c:v>
                </c:pt>
                <c:pt idx="2">
                  <c:v>-6 to -10%</c:v>
                </c:pt>
                <c:pt idx="3">
                  <c:v>-1 to -5%</c:v>
                </c:pt>
                <c:pt idx="4">
                  <c:v>0</c:v>
                </c:pt>
                <c:pt idx="5">
                  <c:v>1-5%</c:v>
                </c:pt>
                <c:pt idx="6">
                  <c:v>6-10%</c:v>
                </c:pt>
                <c:pt idx="7">
                  <c:v>11-20%</c:v>
                </c:pt>
                <c:pt idx="8">
                  <c:v>21% and above</c:v>
                </c:pt>
              </c:strCache>
            </c:strRef>
          </c:cat>
          <c:val>
            <c:numRef>
              <c:f>'Financial reserves'!$G$37:$G$45</c:f>
              <c:numCache>
                <c:formatCode>0%</c:formatCode>
                <c:ptCount val="9"/>
                <c:pt idx="0">
                  <c:v>5.6603773584905662E-2</c:v>
                </c:pt>
                <c:pt idx="1">
                  <c:v>0.1509433962264152</c:v>
                </c:pt>
                <c:pt idx="2">
                  <c:v>0.1509433962264152</c:v>
                </c:pt>
                <c:pt idx="3">
                  <c:v>0.11320754716981132</c:v>
                </c:pt>
                <c:pt idx="4">
                  <c:v>1.8867924528301886E-2</c:v>
                </c:pt>
                <c:pt idx="5">
                  <c:v>0.22641509433962273</c:v>
                </c:pt>
                <c:pt idx="6">
                  <c:v>5.6603773584905662E-2</c:v>
                </c:pt>
                <c:pt idx="7">
                  <c:v>0.1509433962264152</c:v>
                </c:pt>
                <c:pt idx="8">
                  <c:v>7.5471698113207544E-2</c:v>
                </c:pt>
              </c:numCache>
            </c:numRef>
          </c:val>
          <c:extLst xmlns:c16r2="http://schemas.microsoft.com/office/drawing/2015/06/chart">
            <c:ext xmlns:c16="http://schemas.microsoft.com/office/drawing/2014/chart" uri="{C3380CC4-5D6E-409C-BE32-E72D297353CC}">
              <c16:uniqueId val="{00000000-18F8-2640-88DA-B26FA66E78C5}"/>
            </c:ext>
          </c:extLst>
        </c:ser>
        <c:gapWidth val="219"/>
        <c:overlap val="-27"/>
        <c:axId val="158649344"/>
        <c:axId val="158651136"/>
      </c:barChart>
      <c:catAx>
        <c:axId val="1586493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651136"/>
        <c:crosses val="autoZero"/>
        <c:auto val="1"/>
        <c:lblAlgn val="ctr"/>
        <c:lblOffset val="100"/>
      </c:catAx>
      <c:valAx>
        <c:axId val="158651136"/>
        <c:scaling>
          <c:orientation val="minMax"/>
          <c:max val="0.4"/>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64934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'Financial reserves'!$H$36</c:f>
              <c:strCache>
                <c:ptCount val="1"/>
                <c:pt idx="0">
                  <c:v>Metro</c:v>
                </c:pt>
              </c:strCache>
            </c:strRef>
          </c:tx>
          <c:spPr>
            <a:solidFill>
              <a:srgbClr val="497594"/>
            </a:solidFill>
            <a:ln>
              <a:noFill/>
            </a:ln>
            <a:effectLst/>
          </c:spPr>
          <c:cat>
            <c:strRef>
              <c:f>'Financial reserves'!$F$37:$F$45</c:f>
              <c:strCache>
                <c:ptCount val="9"/>
                <c:pt idx="0">
                  <c:v>-21% and below</c:v>
                </c:pt>
                <c:pt idx="1">
                  <c:v>-11 to -20%</c:v>
                </c:pt>
                <c:pt idx="2">
                  <c:v>-6 to -10%</c:v>
                </c:pt>
                <c:pt idx="3">
                  <c:v>-1 to -5%</c:v>
                </c:pt>
                <c:pt idx="4">
                  <c:v>0</c:v>
                </c:pt>
                <c:pt idx="5">
                  <c:v>1-5%</c:v>
                </c:pt>
                <c:pt idx="6">
                  <c:v>6-10%</c:v>
                </c:pt>
                <c:pt idx="7">
                  <c:v>11-20%</c:v>
                </c:pt>
                <c:pt idx="8">
                  <c:v>21% and above</c:v>
                </c:pt>
              </c:strCache>
            </c:strRef>
          </c:cat>
          <c:val>
            <c:numRef>
              <c:f>'Financial reserves'!$H$37:$H$45</c:f>
              <c:numCache>
                <c:formatCode>0%</c:formatCode>
                <c:ptCount val="9"/>
                <c:pt idx="0">
                  <c:v>0</c:v>
                </c:pt>
                <c:pt idx="1">
                  <c:v>0.19047619047619058</c:v>
                </c:pt>
                <c:pt idx="2">
                  <c:v>9.5238095238095247E-2</c:v>
                </c:pt>
                <c:pt idx="3">
                  <c:v>9.5238095238095247E-2</c:v>
                </c:pt>
                <c:pt idx="4">
                  <c:v>0</c:v>
                </c:pt>
                <c:pt idx="5">
                  <c:v>0.14285714285714293</c:v>
                </c:pt>
                <c:pt idx="6">
                  <c:v>9.5238095238095247E-2</c:v>
                </c:pt>
                <c:pt idx="7">
                  <c:v>0.23809523809523819</c:v>
                </c:pt>
                <c:pt idx="8">
                  <c:v>0.14285714285714293</c:v>
                </c:pt>
              </c:numCache>
            </c:numRef>
          </c:val>
          <c:extLst xmlns:c16r2="http://schemas.microsoft.com/office/drawing/2015/06/chart">
            <c:ext xmlns:c16="http://schemas.microsoft.com/office/drawing/2014/chart" uri="{C3380CC4-5D6E-409C-BE32-E72D297353CC}">
              <c16:uniqueId val="{00000000-862E-BD4C-9AD5-F2C8E62ED5A7}"/>
            </c:ext>
          </c:extLst>
        </c:ser>
        <c:gapWidth val="219"/>
        <c:overlap val="-27"/>
        <c:axId val="158750208"/>
        <c:axId val="158751744"/>
      </c:barChart>
      <c:catAx>
        <c:axId val="1587502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751744"/>
        <c:crosses val="autoZero"/>
        <c:auto val="1"/>
        <c:lblAlgn val="ctr"/>
        <c:lblOffset val="100"/>
      </c:catAx>
      <c:valAx>
        <c:axId val="158751744"/>
        <c:scaling>
          <c:orientation val="minMax"/>
          <c:max val="0.4"/>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75020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'Financial reserves'!$I$36</c:f>
              <c:strCache>
                <c:ptCount val="1"/>
                <c:pt idx="0">
                  <c:v>Regional</c:v>
                </c:pt>
              </c:strCache>
            </c:strRef>
          </c:tx>
          <c:spPr>
            <a:solidFill>
              <a:srgbClr val="497594"/>
            </a:solidFill>
            <a:ln>
              <a:noFill/>
            </a:ln>
            <a:effectLst/>
          </c:spPr>
          <c:cat>
            <c:strRef>
              <c:f>'Financial reserves'!$F$37:$F$45</c:f>
              <c:strCache>
                <c:ptCount val="9"/>
                <c:pt idx="0">
                  <c:v>-21% and below</c:v>
                </c:pt>
                <c:pt idx="1">
                  <c:v>-11 to -20%</c:v>
                </c:pt>
                <c:pt idx="2">
                  <c:v>-6 to -10%</c:v>
                </c:pt>
                <c:pt idx="3">
                  <c:v>-1 to -5%</c:v>
                </c:pt>
                <c:pt idx="4">
                  <c:v>0</c:v>
                </c:pt>
                <c:pt idx="5">
                  <c:v>1-5%</c:v>
                </c:pt>
                <c:pt idx="6">
                  <c:v>6-10%</c:v>
                </c:pt>
                <c:pt idx="7">
                  <c:v>11-20%</c:v>
                </c:pt>
                <c:pt idx="8">
                  <c:v>21% and above</c:v>
                </c:pt>
              </c:strCache>
            </c:strRef>
          </c:cat>
          <c:val>
            <c:numRef>
              <c:f>'Financial reserves'!$I$37:$I$45</c:f>
              <c:numCache>
                <c:formatCode>0%</c:formatCode>
                <c:ptCount val="9"/>
                <c:pt idx="0">
                  <c:v>0.125</c:v>
                </c:pt>
                <c:pt idx="1">
                  <c:v>0.125</c:v>
                </c:pt>
                <c:pt idx="2">
                  <c:v>0.125</c:v>
                </c:pt>
                <c:pt idx="3">
                  <c:v>0.18750000000000006</c:v>
                </c:pt>
                <c:pt idx="4">
                  <c:v>0</c:v>
                </c:pt>
                <c:pt idx="5">
                  <c:v>0.31250000000000011</c:v>
                </c:pt>
                <c:pt idx="6">
                  <c:v>0</c:v>
                </c:pt>
                <c:pt idx="7">
                  <c:v>6.25E-2</c:v>
                </c:pt>
                <c:pt idx="8">
                  <c:v>6.25E-2</c:v>
                </c:pt>
              </c:numCache>
            </c:numRef>
          </c:val>
          <c:extLst xmlns:c16r2="http://schemas.microsoft.com/office/drawing/2015/06/chart">
            <c:ext xmlns:c16="http://schemas.microsoft.com/office/drawing/2014/chart" uri="{C3380CC4-5D6E-409C-BE32-E72D297353CC}">
              <c16:uniqueId val="{00000000-7599-B746-A4A8-880D5C6EFBEA}"/>
            </c:ext>
          </c:extLst>
        </c:ser>
        <c:gapWidth val="219"/>
        <c:overlap val="-27"/>
        <c:axId val="158670848"/>
        <c:axId val="158672384"/>
      </c:barChart>
      <c:catAx>
        <c:axId val="1586708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672384"/>
        <c:crosses val="autoZero"/>
        <c:auto val="1"/>
        <c:lblAlgn val="ctr"/>
        <c:lblOffset val="100"/>
      </c:catAx>
      <c:valAx>
        <c:axId val="15867238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67084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'Financial reserves'!$J$36</c:f>
              <c:strCache>
                <c:ptCount val="1"/>
                <c:pt idx="0">
                  <c:v>State-wide</c:v>
                </c:pt>
              </c:strCache>
            </c:strRef>
          </c:tx>
          <c:spPr>
            <a:solidFill>
              <a:srgbClr val="497594"/>
            </a:solidFill>
            <a:ln>
              <a:noFill/>
            </a:ln>
            <a:effectLst/>
          </c:spPr>
          <c:cat>
            <c:strRef>
              <c:f>'Financial reserves'!$F$37:$F$45</c:f>
              <c:strCache>
                <c:ptCount val="9"/>
                <c:pt idx="0">
                  <c:v>-21% and below</c:v>
                </c:pt>
                <c:pt idx="1">
                  <c:v>-11 to -20%</c:v>
                </c:pt>
                <c:pt idx="2">
                  <c:v>-6 to -10%</c:v>
                </c:pt>
                <c:pt idx="3">
                  <c:v>-1 to -5%</c:v>
                </c:pt>
                <c:pt idx="4">
                  <c:v>0</c:v>
                </c:pt>
                <c:pt idx="5">
                  <c:v>1-5%</c:v>
                </c:pt>
                <c:pt idx="6">
                  <c:v>6-10%</c:v>
                </c:pt>
                <c:pt idx="7">
                  <c:v>11-20%</c:v>
                </c:pt>
                <c:pt idx="8">
                  <c:v>21% and above</c:v>
                </c:pt>
              </c:strCache>
            </c:strRef>
          </c:cat>
          <c:val>
            <c:numRef>
              <c:f>'Financial reserves'!$J$37:$J$45</c:f>
              <c:numCache>
                <c:formatCode>0%</c:formatCode>
                <c:ptCount val="9"/>
                <c:pt idx="0">
                  <c:v>0</c:v>
                </c:pt>
                <c:pt idx="1">
                  <c:v>0.13333333333333339</c:v>
                </c:pt>
                <c:pt idx="2">
                  <c:v>0.26666666666666677</c:v>
                </c:pt>
                <c:pt idx="3">
                  <c:v>6.666666666666668E-2</c:v>
                </c:pt>
                <c:pt idx="4">
                  <c:v>6.666666666666668E-2</c:v>
                </c:pt>
                <c:pt idx="5">
                  <c:v>0.26666666666666677</c:v>
                </c:pt>
                <c:pt idx="6">
                  <c:v>6.666666666666668E-2</c:v>
                </c:pt>
                <c:pt idx="7">
                  <c:v>0.13333333333333339</c:v>
                </c:pt>
                <c:pt idx="8">
                  <c:v>0</c:v>
                </c:pt>
              </c:numCache>
            </c:numRef>
          </c:val>
          <c:extLst xmlns:c16r2="http://schemas.microsoft.com/office/drawing/2015/06/chart">
            <c:ext xmlns:c16="http://schemas.microsoft.com/office/drawing/2014/chart" uri="{C3380CC4-5D6E-409C-BE32-E72D297353CC}">
              <c16:uniqueId val="{00000000-00C9-304B-BDEC-BBB1AA3889F2}"/>
            </c:ext>
          </c:extLst>
        </c:ser>
        <c:gapWidth val="219"/>
        <c:overlap val="-27"/>
        <c:axId val="158710016"/>
        <c:axId val="158715904"/>
      </c:barChart>
      <c:catAx>
        <c:axId val="1587100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715904"/>
        <c:crosses val="autoZero"/>
        <c:auto val="1"/>
        <c:lblAlgn val="ctr"/>
        <c:lblOffset val="100"/>
      </c:catAx>
      <c:valAx>
        <c:axId val="158715904"/>
        <c:scaling>
          <c:orientation val="minMax"/>
          <c:max val="0.4"/>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71001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'Working capital'!$H$18</c:f>
              <c:strCache>
                <c:ptCount val="1"/>
                <c:pt idx="0">
                  <c:v>Vic</c:v>
                </c:pt>
              </c:strCache>
            </c:strRef>
          </c:tx>
          <c:spPr>
            <a:solidFill>
              <a:srgbClr val="497594"/>
            </a:solidFill>
            <a:ln>
              <a:noFill/>
            </a:ln>
            <a:effectLst/>
          </c:spPr>
          <c:cat>
            <c:strRef>
              <c:f>'Working capital'!$G$19:$G$27</c:f>
              <c:strCache>
                <c:ptCount val="9"/>
                <c:pt idx="0">
                  <c:v>-21% and below</c:v>
                </c:pt>
                <c:pt idx="1">
                  <c:v>-11 to -20%</c:v>
                </c:pt>
                <c:pt idx="2">
                  <c:v>-6 to -10%</c:v>
                </c:pt>
                <c:pt idx="3">
                  <c:v>-1 to -5%</c:v>
                </c:pt>
                <c:pt idx="4">
                  <c:v>0</c:v>
                </c:pt>
                <c:pt idx="5">
                  <c:v>1-5%</c:v>
                </c:pt>
                <c:pt idx="6">
                  <c:v>6-10%</c:v>
                </c:pt>
                <c:pt idx="7">
                  <c:v>11-20%</c:v>
                </c:pt>
                <c:pt idx="8">
                  <c:v>21% and above</c:v>
                </c:pt>
              </c:strCache>
            </c:strRef>
          </c:cat>
          <c:val>
            <c:numRef>
              <c:f>'Working capital'!$H$19:$H$27</c:f>
              <c:numCache>
                <c:formatCode>0%</c:formatCode>
                <c:ptCount val="9"/>
                <c:pt idx="0">
                  <c:v>4.1666666666666664E-2</c:v>
                </c:pt>
                <c:pt idx="1">
                  <c:v>8.3333333333333343E-2</c:v>
                </c:pt>
                <c:pt idx="2">
                  <c:v>0.20833333333333343</c:v>
                </c:pt>
                <c:pt idx="3">
                  <c:v>6.25E-2</c:v>
                </c:pt>
                <c:pt idx="4">
                  <c:v>4.1666666666666664E-2</c:v>
                </c:pt>
                <c:pt idx="5">
                  <c:v>0.27083333333333326</c:v>
                </c:pt>
                <c:pt idx="6">
                  <c:v>6.25E-2</c:v>
                </c:pt>
                <c:pt idx="7">
                  <c:v>0.14583333333333343</c:v>
                </c:pt>
                <c:pt idx="8">
                  <c:v>8.3333333333333343E-2</c:v>
                </c:pt>
              </c:numCache>
            </c:numRef>
          </c:val>
          <c:extLst xmlns:c16r2="http://schemas.microsoft.com/office/drawing/2015/06/chart">
            <c:ext xmlns:c16="http://schemas.microsoft.com/office/drawing/2014/chart" uri="{C3380CC4-5D6E-409C-BE32-E72D297353CC}">
              <c16:uniqueId val="{00000000-12F1-A646-89B9-E5FA694F009D}"/>
            </c:ext>
          </c:extLst>
        </c:ser>
        <c:gapWidth val="219"/>
        <c:overlap val="-27"/>
        <c:axId val="158802688"/>
        <c:axId val="158804224"/>
      </c:barChart>
      <c:catAx>
        <c:axId val="1588026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804224"/>
        <c:crosses val="autoZero"/>
        <c:auto val="1"/>
        <c:lblAlgn val="ctr"/>
        <c:lblOffset val="100"/>
      </c:catAx>
      <c:valAx>
        <c:axId val="158804224"/>
        <c:scaling>
          <c:orientation val="minMax"/>
          <c:max val="0.5"/>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80268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col"/>
        <c:grouping val="clustered"/>
        <c:ser>
          <c:idx val="0"/>
          <c:order val="0"/>
          <c:tx>
            <c:strRef>
              <c:f>'Working capital'!$I$18</c:f>
              <c:strCache>
                <c:ptCount val="1"/>
                <c:pt idx="0">
                  <c:v>Metro</c:v>
                </c:pt>
              </c:strCache>
            </c:strRef>
          </c:tx>
          <c:spPr>
            <a:solidFill>
              <a:srgbClr val="497594"/>
            </a:solidFill>
            <a:ln>
              <a:noFill/>
            </a:ln>
            <a:effectLst/>
          </c:spPr>
          <c:cat>
            <c:strRef>
              <c:f>'Working capital'!$G$19:$G$27</c:f>
              <c:strCache>
                <c:ptCount val="9"/>
                <c:pt idx="0">
                  <c:v>-21% and below</c:v>
                </c:pt>
                <c:pt idx="1">
                  <c:v>-11 to -20%</c:v>
                </c:pt>
                <c:pt idx="2">
                  <c:v>-6 to -10%</c:v>
                </c:pt>
                <c:pt idx="3">
                  <c:v>-1 to -5%</c:v>
                </c:pt>
                <c:pt idx="4">
                  <c:v>0</c:v>
                </c:pt>
                <c:pt idx="5">
                  <c:v>1-5%</c:v>
                </c:pt>
                <c:pt idx="6">
                  <c:v>6-10%</c:v>
                </c:pt>
                <c:pt idx="7">
                  <c:v>11-20%</c:v>
                </c:pt>
                <c:pt idx="8">
                  <c:v>21% and above</c:v>
                </c:pt>
              </c:strCache>
            </c:strRef>
          </c:cat>
          <c:val>
            <c:numRef>
              <c:f>'Working capital'!$I$19:$I$27</c:f>
              <c:numCache>
                <c:formatCode>0%</c:formatCode>
                <c:ptCount val="9"/>
                <c:pt idx="0">
                  <c:v>0.10526315789473686</c:v>
                </c:pt>
                <c:pt idx="1">
                  <c:v>5.2631578947368432E-2</c:v>
                </c:pt>
                <c:pt idx="2">
                  <c:v>0.15789473684210537</c:v>
                </c:pt>
                <c:pt idx="3">
                  <c:v>0</c:v>
                </c:pt>
                <c:pt idx="4">
                  <c:v>5.2631578947368432E-2</c:v>
                </c:pt>
                <c:pt idx="5">
                  <c:v>0.21052631578947376</c:v>
                </c:pt>
                <c:pt idx="6">
                  <c:v>0.10526315789473686</c:v>
                </c:pt>
                <c:pt idx="7">
                  <c:v>0.2631578947368422</c:v>
                </c:pt>
                <c:pt idx="8">
                  <c:v>5.2631578947368432E-2</c:v>
                </c:pt>
              </c:numCache>
            </c:numRef>
          </c:val>
          <c:extLst xmlns:c16r2="http://schemas.microsoft.com/office/drawing/2015/06/chart">
            <c:ext xmlns:c16="http://schemas.microsoft.com/office/drawing/2014/chart" uri="{C3380CC4-5D6E-409C-BE32-E72D297353CC}">
              <c16:uniqueId val="{00000000-2604-9246-8B4F-C3072542923A}"/>
            </c:ext>
          </c:extLst>
        </c:ser>
        <c:gapWidth val="219"/>
        <c:overlap val="-27"/>
        <c:axId val="158825472"/>
        <c:axId val="158835456"/>
      </c:barChart>
      <c:catAx>
        <c:axId val="1588254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835456"/>
        <c:crosses val="autoZero"/>
        <c:auto val="1"/>
        <c:lblAlgn val="ctr"/>
        <c:lblOffset val="100"/>
      </c:catAx>
      <c:valAx>
        <c:axId val="158835456"/>
        <c:scaling>
          <c:orientation val="minMax"/>
          <c:max val="0.5"/>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82547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'Working capital'!$J$18</c:f>
              <c:strCache>
                <c:ptCount val="1"/>
                <c:pt idx="0">
                  <c:v>Regional</c:v>
                </c:pt>
              </c:strCache>
            </c:strRef>
          </c:tx>
          <c:spPr>
            <a:solidFill>
              <a:srgbClr val="497594"/>
            </a:solidFill>
            <a:ln>
              <a:noFill/>
            </a:ln>
            <a:effectLst/>
          </c:spPr>
          <c:cat>
            <c:strRef>
              <c:f>'Working capital'!$G$19:$G$27</c:f>
              <c:strCache>
                <c:ptCount val="9"/>
                <c:pt idx="0">
                  <c:v>-21% and below</c:v>
                </c:pt>
                <c:pt idx="1">
                  <c:v>-11 to -20%</c:v>
                </c:pt>
                <c:pt idx="2">
                  <c:v>-6 to -10%</c:v>
                </c:pt>
                <c:pt idx="3">
                  <c:v>-1 to -5%</c:v>
                </c:pt>
                <c:pt idx="4">
                  <c:v>0</c:v>
                </c:pt>
                <c:pt idx="5">
                  <c:v>1-5%</c:v>
                </c:pt>
                <c:pt idx="6">
                  <c:v>6-10%</c:v>
                </c:pt>
                <c:pt idx="7">
                  <c:v>11-20%</c:v>
                </c:pt>
                <c:pt idx="8">
                  <c:v>21% and above</c:v>
                </c:pt>
              </c:strCache>
            </c:strRef>
          </c:cat>
          <c:val>
            <c:numRef>
              <c:f>'Working capital'!$J$19:$J$27</c:f>
              <c:numCache>
                <c:formatCode>0%</c:formatCode>
                <c:ptCount val="9"/>
                <c:pt idx="0">
                  <c:v>0</c:v>
                </c:pt>
                <c:pt idx="1">
                  <c:v>6.666666666666668E-2</c:v>
                </c:pt>
                <c:pt idx="2">
                  <c:v>0.26666666666666677</c:v>
                </c:pt>
                <c:pt idx="3">
                  <c:v>0.2</c:v>
                </c:pt>
                <c:pt idx="4">
                  <c:v>6.666666666666668E-2</c:v>
                </c:pt>
                <c:pt idx="5">
                  <c:v>0.2</c:v>
                </c:pt>
                <c:pt idx="6">
                  <c:v>6.666666666666668E-2</c:v>
                </c:pt>
                <c:pt idx="7">
                  <c:v>6.666666666666668E-2</c:v>
                </c:pt>
                <c:pt idx="8">
                  <c:v>6.666666666666668E-2</c:v>
                </c:pt>
              </c:numCache>
            </c:numRef>
          </c:val>
          <c:extLst xmlns:c16r2="http://schemas.microsoft.com/office/drawing/2015/06/chart">
            <c:ext xmlns:c16="http://schemas.microsoft.com/office/drawing/2014/chart" uri="{C3380CC4-5D6E-409C-BE32-E72D297353CC}">
              <c16:uniqueId val="{00000000-1642-CE41-97AE-B6200D1FEE82}"/>
            </c:ext>
          </c:extLst>
        </c:ser>
        <c:gapWidth val="219"/>
        <c:overlap val="-27"/>
        <c:axId val="158864896"/>
        <c:axId val="158866432"/>
      </c:barChart>
      <c:catAx>
        <c:axId val="1588648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866432"/>
        <c:crosses val="autoZero"/>
        <c:auto val="1"/>
        <c:lblAlgn val="ctr"/>
        <c:lblOffset val="100"/>
      </c:catAx>
      <c:valAx>
        <c:axId val="158866432"/>
        <c:scaling>
          <c:orientation val="minMax"/>
          <c:max val="0.5"/>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86489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'Working capital'!$K$18</c:f>
              <c:strCache>
                <c:ptCount val="1"/>
                <c:pt idx="0">
                  <c:v>State-wide</c:v>
                </c:pt>
              </c:strCache>
            </c:strRef>
          </c:tx>
          <c:spPr>
            <a:solidFill>
              <a:srgbClr val="497594"/>
            </a:solidFill>
            <a:ln>
              <a:noFill/>
            </a:ln>
            <a:effectLst/>
          </c:spPr>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'Working capital'!$G$19:$G$27</c:f>
              <c:strCache>
                <c:ptCount val="9"/>
                <c:pt idx="0">
                  <c:v>-21% and below</c:v>
                </c:pt>
                <c:pt idx="1">
                  <c:v>-11 to -20%</c:v>
                </c:pt>
                <c:pt idx="2">
                  <c:v>-6 to -10%</c:v>
                </c:pt>
                <c:pt idx="3">
                  <c:v>-1 to -5%</c:v>
                </c:pt>
                <c:pt idx="4">
                  <c:v>0</c:v>
                </c:pt>
                <c:pt idx="5">
                  <c:v>1-5%</c:v>
                </c:pt>
                <c:pt idx="6">
                  <c:v>6-10%</c:v>
                </c:pt>
                <c:pt idx="7">
                  <c:v>11-20%</c:v>
                </c:pt>
                <c:pt idx="8">
                  <c:v>21% and above</c:v>
                </c:pt>
              </c:strCache>
            </c:strRef>
          </c:cat>
          <c:val>
            <c:numRef>
              <c:f>'Working capital'!$K$19:$K$27</c:f>
              <c:numCache>
                <c:formatCode>0%</c:formatCode>
                <c:ptCount val="9"/>
                <c:pt idx="0">
                  <c:v>0</c:v>
                </c:pt>
                <c:pt idx="1">
                  <c:v>0.14285714285714293</c:v>
                </c:pt>
                <c:pt idx="2">
                  <c:v>0.21428571428571427</c:v>
                </c:pt>
                <c:pt idx="3">
                  <c:v>0</c:v>
                </c:pt>
                <c:pt idx="4">
                  <c:v>0</c:v>
                </c:pt>
                <c:pt idx="5">
                  <c:v>0.42857142857142855</c:v>
                </c:pt>
                <c:pt idx="6">
                  <c:v>0</c:v>
                </c:pt>
                <c:pt idx="7">
                  <c:v>7.1428571428571425E-2</c:v>
                </c:pt>
                <c:pt idx="8">
                  <c:v>0.14285714285714293</c:v>
                </c:pt>
              </c:numCache>
            </c:numRef>
          </c:val>
          <c:extLst xmlns:c16r2="http://schemas.microsoft.com/office/drawing/2015/06/chart">
            <c:ext xmlns:c16="http://schemas.microsoft.com/office/drawing/2014/chart" uri="{C3380CC4-5D6E-409C-BE32-E72D297353CC}">
              <c16:uniqueId val="{00000000-5DBC-B94F-985A-97DD722FD2D7}"/>
            </c:ext>
          </c:extLst>
        </c:ser>
        <c:dLbls>
          <c:showVal val="1"/>
        </c:dLbls>
        <c:gapWidth val="219"/>
        <c:overlap val="-27"/>
        <c:axId val="158904320"/>
        <c:axId val="158905856"/>
      </c:barChart>
      <c:catAx>
        <c:axId val="1589043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8905856"/>
        <c:crosses val="autoZero"/>
        <c:auto val="1"/>
        <c:lblAlgn val="ctr"/>
        <c:lblOffset val="100"/>
      </c:catAx>
      <c:valAx>
        <c:axId val="15890585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890432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'Borrowings to acquire or build '!$G$20</c:f>
              <c:strCache>
                <c:ptCount val="1"/>
                <c:pt idx="0">
                  <c:v>Vic</c:v>
                </c:pt>
              </c:strCache>
            </c:strRef>
          </c:tx>
          <c:spPr>
            <a:solidFill>
              <a:srgbClr val="497594"/>
            </a:solidFill>
            <a:ln>
              <a:noFill/>
            </a:ln>
            <a:effectLst/>
          </c:spPr>
          <c:cat>
            <c:strRef>
              <c:f>'Borrowings to acquire or build '!$F$21:$F$29</c:f>
              <c:strCache>
                <c:ptCount val="9"/>
                <c:pt idx="0">
                  <c:v>-21% and below</c:v>
                </c:pt>
                <c:pt idx="1">
                  <c:v>-11 to -20%</c:v>
                </c:pt>
                <c:pt idx="2">
                  <c:v>-6 to -10%</c:v>
                </c:pt>
                <c:pt idx="3">
                  <c:v>-1 to -5%</c:v>
                </c:pt>
                <c:pt idx="4">
                  <c:v>0</c:v>
                </c:pt>
                <c:pt idx="5">
                  <c:v>1-5%</c:v>
                </c:pt>
                <c:pt idx="6">
                  <c:v>6-10%</c:v>
                </c:pt>
                <c:pt idx="7">
                  <c:v>11-20%</c:v>
                </c:pt>
                <c:pt idx="8">
                  <c:v>21% and above</c:v>
                </c:pt>
              </c:strCache>
            </c:strRef>
          </c:cat>
          <c:val>
            <c:numRef>
              <c:f>'Borrowings to acquire or build '!$G$21:$G$29</c:f>
              <c:numCache>
                <c:formatCode>0%</c:formatCode>
                <c:ptCount val="9"/>
                <c:pt idx="0">
                  <c:v>3.7037037037037049E-2</c:v>
                </c:pt>
                <c:pt idx="1">
                  <c:v>0</c:v>
                </c:pt>
                <c:pt idx="2">
                  <c:v>0</c:v>
                </c:pt>
                <c:pt idx="3">
                  <c:v>0</c:v>
                </c:pt>
                <c:pt idx="4">
                  <c:v>0.37037037037037057</c:v>
                </c:pt>
                <c:pt idx="5">
                  <c:v>0.22222222222222221</c:v>
                </c:pt>
                <c:pt idx="6">
                  <c:v>3.7037037037037049E-2</c:v>
                </c:pt>
                <c:pt idx="7">
                  <c:v>7.407407407407407E-2</c:v>
                </c:pt>
                <c:pt idx="8">
                  <c:v>0.2592592592592593</c:v>
                </c:pt>
              </c:numCache>
            </c:numRef>
          </c:val>
          <c:extLst xmlns:c16r2="http://schemas.microsoft.com/office/drawing/2015/06/chart">
            <c:ext xmlns:c16="http://schemas.microsoft.com/office/drawing/2014/chart" uri="{C3380CC4-5D6E-409C-BE32-E72D297353CC}">
              <c16:uniqueId val="{00000000-CE00-0247-BD95-21F8A6790834}"/>
            </c:ext>
          </c:extLst>
        </c:ser>
        <c:gapWidth val="219"/>
        <c:overlap val="-27"/>
        <c:axId val="158927872"/>
        <c:axId val="158946048"/>
      </c:barChart>
      <c:catAx>
        <c:axId val="1589278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946048"/>
        <c:crosses val="autoZero"/>
        <c:auto val="1"/>
        <c:lblAlgn val="ctr"/>
        <c:lblOffset val="100"/>
      </c:catAx>
      <c:valAx>
        <c:axId val="158946048"/>
        <c:scaling>
          <c:orientation val="minMax"/>
          <c:max val="0.5"/>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927872"/>
        <c:crosses val="autoZero"/>
        <c:crossBetween val="between"/>
        <c:majorUnit val="0.1"/>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'Reduce quality'!$B$10</c:f>
              <c:strCache>
                <c:ptCount val="1"/>
                <c:pt idx="0">
                  <c:v>Victoria</c:v>
                </c:pt>
              </c:strCache>
            </c:strRef>
          </c:tx>
          <c:spPr>
            <a:solidFill>
              <a:srgbClr val="497594"/>
            </a:solidFill>
            <a:ln>
              <a:noFill/>
            </a:ln>
            <a:effectLst/>
          </c:spPr>
          <c:cat>
            <c:strRef>
              <c:f>'Reduce quality'!$A$11:$A$14</c:f>
              <c:strCache>
                <c:ptCount val="4"/>
                <c:pt idx="0">
                  <c:v>Agree or agree strongly</c:v>
                </c:pt>
                <c:pt idx="1">
                  <c:v>Neither agree nor disagree</c:v>
                </c:pt>
                <c:pt idx="2">
                  <c:v>Disagree or disagree strongly</c:v>
                </c:pt>
                <c:pt idx="3">
                  <c:v>Don't know</c:v>
                </c:pt>
              </c:strCache>
            </c:strRef>
          </c:cat>
          <c:val>
            <c:numRef>
              <c:f>'Reduce quality'!$B$11:$B$14</c:f>
              <c:numCache>
                <c:formatCode>0%</c:formatCode>
                <c:ptCount val="4"/>
                <c:pt idx="0">
                  <c:v>0.61000000000000021</c:v>
                </c:pt>
                <c:pt idx="1">
                  <c:v>0.15000000000000005</c:v>
                </c:pt>
                <c:pt idx="2">
                  <c:v>0.23</c:v>
                </c:pt>
                <c:pt idx="3">
                  <c:v>1.0000000000000004E-2</c:v>
                </c:pt>
              </c:numCache>
            </c:numRef>
          </c:val>
          <c:extLst xmlns:c16r2="http://schemas.microsoft.com/office/drawing/2015/06/chart">
            <c:ext xmlns:c16="http://schemas.microsoft.com/office/drawing/2014/chart" uri="{C3380CC4-5D6E-409C-BE32-E72D297353CC}">
              <c16:uniqueId val="{00000000-827C-8647-97E0-34E8A211FEA8}"/>
            </c:ext>
          </c:extLst>
        </c:ser>
        <c:ser>
          <c:idx val="1"/>
          <c:order val="1"/>
          <c:tx>
            <c:strRef>
              <c:f>'Reduce quality'!$C$10</c:f>
              <c:strCache>
                <c:ptCount val="1"/>
                <c:pt idx="0">
                  <c:v>National</c:v>
                </c:pt>
              </c:strCache>
            </c:strRef>
          </c:tx>
          <c:spPr>
            <a:solidFill>
              <a:srgbClr val="6EBB1E"/>
            </a:solidFill>
            <a:ln>
              <a:noFill/>
            </a:ln>
            <a:effectLst/>
          </c:spPr>
          <c:cat>
            <c:strRef>
              <c:f>'Reduce quality'!$A$11:$A$14</c:f>
              <c:strCache>
                <c:ptCount val="4"/>
                <c:pt idx="0">
                  <c:v>Agree or agree strongly</c:v>
                </c:pt>
                <c:pt idx="1">
                  <c:v>Neither agree nor disagree</c:v>
                </c:pt>
                <c:pt idx="2">
                  <c:v>Disagree or disagree strongly</c:v>
                </c:pt>
                <c:pt idx="3">
                  <c:v>Don't know</c:v>
                </c:pt>
              </c:strCache>
            </c:strRef>
          </c:cat>
          <c:val>
            <c:numRef>
              <c:f>'Reduce quality'!$C$11:$C$14</c:f>
              <c:numCache>
                <c:formatCode>0%</c:formatCode>
                <c:ptCount val="4"/>
                <c:pt idx="0">
                  <c:v>0.54</c:v>
                </c:pt>
                <c:pt idx="1">
                  <c:v>0.18000000000000005</c:v>
                </c:pt>
                <c:pt idx="2">
                  <c:v>0.26</c:v>
                </c:pt>
                <c:pt idx="3">
                  <c:v>2.0000000000000007E-2</c:v>
                </c:pt>
              </c:numCache>
            </c:numRef>
          </c:val>
          <c:extLst xmlns:c16r2="http://schemas.microsoft.com/office/drawing/2015/06/chart">
            <c:ext xmlns:c16="http://schemas.microsoft.com/office/drawing/2014/chart" uri="{C3380CC4-5D6E-409C-BE32-E72D297353CC}">
              <c16:uniqueId val="{00000001-827C-8647-97E0-34E8A211FEA8}"/>
            </c:ext>
          </c:extLst>
        </c:ser>
        <c:gapWidth val="219"/>
        <c:overlap val="-27"/>
        <c:axId val="158208768"/>
        <c:axId val="158210304"/>
      </c:barChart>
      <c:catAx>
        <c:axId val="1582087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8210304"/>
        <c:crosses val="autoZero"/>
        <c:auto val="1"/>
        <c:lblAlgn val="ctr"/>
        <c:lblOffset val="100"/>
      </c:catAx>
      <c:valAx>
        <c:axId val="15821030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82087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'Borrowings to acquire or build '!$H$20</c:f>
              <c:strCache>
                <c:ptCount val="1"/>
                <c:pt idx="0">
                  <c:v>Metro</c:v>
                </c:pt>
              </c:strCache>
            </c:strRef>
          </c:tx>
          <c:spPr>
            <a:solidFill>
              <a:srgbClr val="497594"/>
            </a:solidFill>
            <a:ln>
              <a:noFill/>
            </a:ln>
            <a:effectLst/>
          </c:spPr>
          <c:cat>
            <c:strRef>
              <c:f>'Borrowings to acquire or build '!$F$21:$F$29</c:f>
              <c:strCache>
                <c:ptCount val="9"/>
                <c:pt idx="0">
                  <c:v>-21% and below</c:v>
                </c:pt>
                <c:pt idx="1">
                  <c:v>-11 to -20%</c:v>
                </c:pt>
                <c:pt idx="2">
                  <c:v>-6 to -10%</c:v>
                </c:pt>
                <c:pt idx="3">
                  <c:v>-1 to -5%</c:v>
                </c:pt>
                <c:pt idx="4">
                  <c:v>0</c:v>
                </c:pt>
                <c:pt idx="5">
                  <c:v>1-5%</c:v>
                </c:pt>
                <c:pt idx="6">
                  <c:v>6-10%</c:v>
                </c:pt>
                <c:pt idx="7">
                  <c:v>11-20%</c:v>
                </c:pt>
                <c:pt idx="8">
                  <c:v>21% and above</c:v>
                </c:pt>
              </c:strCache>
            </c:strRef>
          </c:cat>
          <c:val>
            <c:numRef>
              <c:f>'Borrowings to acquire or build '!$H$21:$H$29</c:f>
              <c:numCache>
                <c:formatCode>0%</c:formatCode>
                <c:ptCount val="9"/>
                <c:pt idx="0">
                  <c:v>0</c:v>
                </c:pt>
                <c:pt idx="1">
                  <c:v>0</c:v>
                </c:pt>
                <c:pt idx="2">
                  <c:v>0</c:v>
                </c:pt>
                <c:pt idx="3">
                  <c:v>0</c:v>
                </c:pt>
                <c:pt idx="4">
                  <c:v>0.37500000000000011</c:v>
                </c:pt>
                <c:pt idx="5">
                  <c:v>0.37500000000000011</c:v>
                </c:pt>
                <c:pt idx="6">
                  <c:v>0</c:v>
                </c:pt>
                <c:pt idx="7">
                  <c:v>0.25</c:v>
                </c:pt>
                <c:pt idx="8">
                  <c:v>0</c:v>
                </c:pt>
              </c:numCache>
            </c:numRef>
          </c:val>
          <c:extLst xmlns:c16r2="http://schemas.microsoft.com/office/drawing/2015/06/chart">
            <c:ext xmlns:c16="http://schemas.microsoft.com/office/drawing/2014/chart" uri="{C3380CC4-5D6E-409C-BE32-E72D297353CC}">
              <c16:uniqueId val="{00000000-F9F8-4047-855E-CF0F57F62F24}"/>
            </c:ext>
          </c:extLst>
        </c:ser>
        <c:gapWidth val="219"/>
        <c:overlap val="-27"/>
        <c:axId val="158975104"/>
        <c:axId val="158976640"/>
      </c:barChart>
      <c:catAx>
        <c:axId val="1589751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976640"/>
        <c:crosses val="autoZero"/>
        <c:auto val="1"/>
        <c:lblAlgn val="ctr"/>
        <c:lblOffset val="100"/>
      </c:catAx>
      <c:valAx>
        <c:axId val="158976640"/>
        <c:scaling>
          <c:orientation val="minMax"/>
          <c:max val="0.5"/>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975104"/>
        <c:crosses val="autoZero"/>
        <c:crossBetween val="between"/>
        <c:majorUnit val="0.1"/>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'Borrowings to acquire or build '!$I$20</c:f>
              <c:strCache>
                <c:ptCount val="1"/>
                <c:pt idx="0">
                  <c:v>Regional</c:v>
                </c:pt>
              </c:strCache>
            </c:strRef>
          </c:tx>
          <c:spPr>
            <a:solidFill>
              <a:srgbClr val="497594"/>
            </a:solidFill>
            <a:ln>
              <a:noFill/>
            </a:ln>
            <a:effectLst/>
          </c:spPr>
          <c:cat>
            <c:strRef>
              <c:f>'Borrowings to acquire or build '!$F$21:$F$29</c:f>
              <c:strCache>
                <c:ptCount val="9"/>
                <c:pt idx="0">
                  <c:v>-21% and below</c:v>
                </c:pt>
                <c:pt idx="1">
                  <c:v>-11 to -20%</c:v>
                </c:pt>
                <c:pt idx="2">
                  <c:v>-6 to -10%</c:v>
                </c:pt>
                <c:pt idx="3">
                  <c:v>-1 to -5%</c:v>
                </c:pt>
                <c:pt idx="4">
                  <c:v>0</c:v>
                </c:pt>
                <c:pt idx="5">
                  <c:v>1-5%</c:v>
                </c:pt>
                <c:pt idx="6">
                  <c:v>6-10%</c:v>
                </c:pt>
                <c:pt idx="7">
                  <c:v>11-20%</c:v>
                </c:pt>
                <c:pt idx="8">
                  <c:v>21% and above</c:v>
                </c:pt>
              </c:strCache>
            </c:strRef>
          </c:cat>
          <c:val>
            <c:numRef>
              <c:f>'Borrowings to acquire or build '!$I$21:$I$29</c:f>
              <c:numCache>
                <c:formatCode>0%</c:formatCode>
                <c:ptCount val="9"/>
                <c:pt idx="0">
                  <c:v>9.0909090909090981E-2</c:v>
                </c:pt>
                <c:pt idx="1">
                  <c:v>0</c:v>
                </c:pt>
                <c:pt idx="2">
                  <c:v>0</c:v>
                </c:pt>
                <c:pt idx="3">
                  <c:v>0</c:v>
                </c:pt>
                <c:pt idx="4">
                  <c:v>0.36363636363636376</c:v>
                </c:pt>
                <c:pt idx="5">
                  <c:v>0.18181818181818193</c:v>
                </c:pt>
                <c:pt idx="6">
                  <c:v>0</c:v>
                </c:pt>
                <c:pt idx="7">
                  <c:v>0</c:v>
                </c:pt>
                <c:pt idx="8">
                  <c:v>0.36363636363636376</c:v>
                </c:pt>
              </c:numCache>
            </c:numRef>
          </c:val>
          <c:extLst xmlns:c16r2="http://schemas.microsoft.com/office/drawing/2015/06/chart">
            <c:ext xmlns:c16="http://schemas.microsoft.com/office/drawing/2014/chart" uri="{C3380CC4-5D6E-409C-BE32-E72D297353CC}">
              <c16:uniqueId val="{00000000-91DA-3642-A5FC-2EC037C903A6}"/>
            </c:ext>
          </c:extLst>
        </c:ser>
        <c:gapWidth val="219"/>
        <c:overlap val="-27"/>
        <c:axId val="159005696"/>
        <c:axId val="159011584"/>
      </c:barChart>
      <c:catAx>
        <c:axId val="1590056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9011584"/>
        <c:crosses val="autoZero"/>
        <c:auto val="1"/>
        <c:lblAlgn val="ctr"/>
        <c:lblOffset val="100"/>
      </c:catAx>
      <c:valAx>
        <c:axId val="159011584"/>
        <c:scaling>
          <c:orientation val="minMax"/>
          <c:max val="0.5"/>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9005696"/>
        <c:crosses val="autoZero"/>
        <c:crossBetween val="between"/>
        <c:majorUnit val="0.1"/>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'Borrowings to acquire or build '!$J$20</c:f>
              <c:strCache>
                <c:ptCount val="1"/>
                <c:pt idx="0">
                  <c:v>State-wide</c:v>
                </c:pt>
              </c:strCache>
            </c:strRef>
          </c:tx>
          <c:spPr>
            <a:solidFill>
              <a:srgbClr val="497594"/>
            </a:solidFill>
            <a:ln>
              <a:noFill/>
            </a:ln>
            <a:effectLst/>
          </c:spPr>
          <c:cat>
            <c:strRef>
              <c:f>'Borrowings to acquire or build '!$F$21:$F$29</c:f>
              <c:strCache>
                <c:ptCount val="9"/>
                <c:pt idx="0">
                  <c:v>-21% and below</c:v>
                </c:pt>
                <c:pt idx="1">
                  <c:v>-11 to -20%</c:v>
                </c:pt>
                <c:pt idx="2">
                  <c:v>-6 to -10%</c:v>
                </c:pt>
                <c:pt idx="3">
                  <c:v>-1 to -5%</c:v>
                </c:pt>
                <c:pt idx="4">
                  <c:v>0</c:v>
                </c:pt>
                <c:pt idx="5">
                  <c:v>1-5%</c:v>
                </c:pt>
                <c:pt idx="6">
                  <c:v>6-10%</c:v>
                </c:pt>
                <c:pt idx="7">
                  <c:v>11-20%</c:v>
                </c:pt>
                <c:pt idx="8">
                  <c:v>21% and above</c:v>
                </c:pt>
              </c:strCache>
            </c:strRef>
          </c:cat>
          <c:val>
            <c:numRef>
              <c:f>'Borrowings to acquire or build '!$J$21:$J$29</c:f>
              <c:numCache>
                <c:formatCode>0%</c:formatCode>
                <c:ptCount val="9"/>
                <c:pt idx="0">
                  <c:v>0</c:v>
                </c:pt>
                <c:pt idx="1">
                  <c:v>0</c:v>
                </c:pt>
                <c:pt idx="2">
                  <c:v>0</c:v>
                </c:pt>
                <c:pt idx="3">
                  <c:v>0</c:v>
                </c:pt>
                <c:pt idx="4">
                  <c:v>0.42857142857142855</c:v>
                </c:pt>
                <c:pt idx="5">
                  <c:v>0.14285714285714293</c:v>
                </c:pt>
                <c:pt idx="6">
                  <c:v>0.14285714285714293</c:v>
                </c:pt>
                <c:pt idx="7">
                  <c:v>0</c:v>
                </c:pt>
                <c:pt idx="8">
                  <c:v>0.28571428571428586</c:v>
                </c:pt>
              </c:numCache>
            </c:numRef>
          </c:val>
          <c:extLst xmlns:c16r2="http://schemas.microsoft.com/office/drawing/2015/06/chart">
            <c:ext xmlns:c16="http://schemas.microsoft.com/office/drawing/2014/chart" uri="{C3380CC4-5D6E-409C-BE32-E72D297353CC}">
              <c16:uniqueId val="{00000000-4E12-154C-9BA3-0167E265715E}"/>
            </c:ext>
          </c:extLst>
        </c:ser>
        <c:gapWidth val="219"/>
        <c:overlap val="-27"/>
        <c:axId val="159065216"/>
        <c:axId val="159066752"/>
      </c:barChart>
      <c:catAx>
        <c:axId val="1590652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9066752"/>
        <c:crosses val="autoZero"/>
        <c:auto val="1"/>
        <c:lblAlgn val="ctr"/>
        <c:lblOffset val="100"/>
      </c:catAx>
      <c:valAx>
        <c:axId val="159066752"/>
        <c:scaling>
          <c:orientation val="minMax"/>
          <c:max val="0.5"/>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9065216"/>
        <c:crosses val="autoZero"/>
        <c:crossBetween val="between"/>
        <c:majorUnit val="0.1"/>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AU"/>
  <c:chart>
    <c:autoTitleDeleted val="1"/>
    <c:plotArea>
      <c:layout/>
      <c:pieChart>
        <c:varyColors val="1"/>
        <c:ser>
          <c:idx val="0"/>
          <c:order val="0"/>
          <c:tx>
            <c:strRef>
              <c:f>'Future costs &amp; EoS'!$B$15</c:f>
              <c:strCache>
                <c:ptCount val="1"/>
                <c:pt idx="0">
                  <c:v>VIC</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C33-1C4A-83B2-C4F0D4698768}"/>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C33-1C4A-83B2-C4F0D4698768}"/>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C33-1C4A-83B2-C4F0D4698768}"/>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C33-1C4A-83B2-C4F0D4698768}"/>
              </c:ext>
            </c:extLst>
          </c:dPt>
          <c:dLbls>
            <c:dLbl>
              <c:idx val="0"/>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'Future costs &amp; EoS'!$A$16:$A$19</c:f>
              <c:strCache>
                <c:ptCount val="4"/>
                <c:pt idx="0">
                  <c:v>Costs will grow at a rate faster than growth in service volumes</c:v>
                </c:pt>
                <c:pt idx="1">
                  <c:v>Costs will keep pace with changes to service volumes</c:v>
                </c:pt>
                <c:pt idx="2">
                  <c:v>Costs will not grow as fast as growth in service volumes</c:v>
                </c:pt>
                <c:pt idx="3">
                  <c:v>Don't know</c:v>
                </c:pt>
              </c:strCache>
            </c:strRef>
          </c:cat>
          <c:val>
            <c:numRef>
              <c:f>'Future costs &amp; EoS'!$B$16:$B$19</c:f>
              <c:numCache>
                <c:formatCode>0%</c:formatCode>
                <c:ptCount val="4"/>
                <c:pt idx="0">
                  <c:v>0.37349397590361466</c:v>
                </c:pt>
                <c:pt idx="1">
                  <c:v>0.40963855421686746</c:v>
                </c:pt>
                <c:pt idx="2">
                  <c:v>0.12048192771084337</c:v>
                </c:pt>
                <c:pt idx="3">
                  <c:v>9.6385542168674732E-2</c:v>
                </c:pt>
              </c:numCache>
            </c:numRef>
          </c:val>
          <c:extLst xmlns:c16r2="http://schemas.microsoft.com/office/drawing/2015/06/chart">
            <c:ext xmlns:c16="http://schemas.microsoft.com/office/drawing/2014/chart" uri="{C3380CC4-5D6E-409C-BE32-E72D297353CC}">
              <c16:uniqueId val="{00000008-AC33-1C4A-83B2-C4F0D4698768}"/>
            </c:ext>
          </c:extLst>
        </c:ser>
        <c:dLbls>
          <c:showPercent val="1"/>
        </c:dLbls>
        <c:firstSliceAng val="0"/>
      </c:pieChart>
      <c:spPr>
        <a:noFill/>
        <a:ln>
          <a:noFill/>
        </a:ln>
        <a:effectLst/>
      </c:spPr>
    </c:plotArea>
    <c:legend>
      <c:legendPos val="r"/>
      <c:layout>
        <c:manualLayout>
          <c:xMode val="edge"/>
          <c:yMode val="edge"/>
          <c:x val="0.5697136011251076"/>
          <c:y val="5.4205092067771694E-2"/>
          <c:w val="0.41705596888591806"/>
          <c:h val="0.89158981586445651"/>
        </c:manualLayout>
      </c:layout>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'Future costs &amp; EoS'!$C$15</c:f>
              <c:strCache>
                <c:ptCount val="1"/>
                <c:pt idx="0">
                  <c:v>Metro</c:v>
                </c:pt>
              </c:strCache>
            </c:strRef>
          </c:tx>
          <c:spPr>
            <a:solidFill>
              <a:schemeClr val="accent1"/>
            </a:solidFill>
            <a:ln>
              <a:noFill/>
            </a:ln>
            <a:effectLst/>
          </c:spPr>
          <c:cat>
            <c:strRef>
              <c:f>'Future costs &amp; EoS'!$A$16:$A$19</c:f>
              <c:strCache>
                <c:ptCount val="4"/>
                <c:pt idx="0">
                  <c:v>Costs will grow at a rate faster than growth in service volumes</c:v>
                </c:pt>
                <c:pt idx="1">
                  <c:v>Costs will keep pace with changes to service volumes</c:v>
                </c:pt>
                <c:pt idx="2">
                  <c:v>Costs will not grow as fast as growth in service volumes</c:v>
                </c:pt>
                <c:pt idx="3">
                  <c:v>Don't know</c:v>
                </c:pt>
              </c:strCache>
            </c:strRef>
          </c:cat>
          <c:val>
            <c:numRef>
              <c:f>'Future costs &amp; EoS'!$C$16:$C$19</c:f>
              <c:numCache>
                <c:formatCode>0%</c:formatCode>
                <c:ptCount val="4"/>
                <c:pt idx="0">
                  <c:v>0.27272727272727282</c:v>
                </c:pt>
                <c:pt idx="1">
                  <c:v>0.45454545454545453</c:v>
                </c:pt>
                <c:pt idx="2">
                  <c:v>0.15151515151515163</c:v>
                </c:pt>
                <c:pt idx="3">
                  <c:v>0.12121212121212124</c:v>
                </c:pt>
              </c:numCache>
            </c:numRef>
          </c:val>
          <c:extLst xmlns:c16r2="http://schemas.microsoft.com/office/drawing/2015/06/chart">
            <c:ext xmlns:c16="http://schemas.microsoft.com/office/drawing/2014/chart" uri="{C3380CC4-5D6E-409C-BE32-E72D297353CC}">
              <c16:uniqueId val="{00000000-47F0-8349-9A30-3ABD3C2C27D7}"/>
            </c:ext>
          </c:extLst>
        </c:ser>
        <c:ser>
          <c:idx val="1"/>
          <c:order val="1"/>
          <c:tx>
            <c:strRef>
              <c:f>'Future costs &amp; EoS'!$D$15</c:f>
              <c:strCache>
                <c:ptCount val="1"/>
                <c:pt idx="0">
                  <c:v>Regional</c:v>
                </c:pt>
              </c:strCache>
            </c:strRef>
          </c:tx>
          <c:spPr>
            <a:solidFill>
              <a:schemeClr val="accent2"/>
            </a:solidFill>
            <a:ln>
              <a:noFill/>
            </a:ln>
            <a:effectLst/>
          </c:spPr>
          <c:cat>
            <c:strRef>
              <c:f>'Future costs &amp; EoS'!$A$16:$A$19</c:f>
              <c:strCache>
                <c:ptCount val="4"/>
                <c:pt idx="0">
                  <c:v>Costs will grow at a rate faster than growth in service volumes</c:v>
                </c:pt>
                <c:pt idx="1">
                  <c:v>Costs will keep pace with changes to service volumes</c:v>
                </c:pt>
                <c:pt idx="2">
                  <c:v>Costs will not grow as fast as growth in service volumes</c:v>
                </c:pt>
                <c:pt idx="3">
                  <c:v>Don't know</c:v>
                </c:pt>
              </c:strCache>
            </c:strRef>
          </c:cat>
          <c:val>
            <c:numRef>
              <c:f>'Future costs &amp; EoS'!$D$16:$D$19</c:f>
              <c:numCache>
                <c:formatCode>0%</c:formatCode>
                <c:ptCount val="4"/>
                <c:pt idx="0">
                  <c:v>0.53846153846153844</c:v>
                </c:pt>
                <c:pt idx="1">
                  <c:v>0.26923076923076933</c:v>
                </c:pt>
                <c:pt idx="2">
                  <c:v>0.11538461538461539</c:v>
                </c:pt>
                <c:pt idx="3">
                  <c:v>7.6923076923076927E-2</c:v>
                </c:pt>
              </c:numCache>
            </c:numRef>
          </c:val>
          <c:extLst xmlns:c16r2="http://schemas.microsoft.com/office/drawing/2015/06/chart">
            <c:ext xmlns:c16="http://schemas.microsoft.com/office/drawing/2014/chart" uri="{C3380CC4-5D6E-409C-BE32-E72D297353CC}">
              <c16:uniqueId val="{00000001-47F0-8349-9A30-3ABD3C2C27D7}"/>
            </c:ext>
          </c:extLst>
        </c:ser>
        <c:ser>
          <c:idx val="2"/>
          <c:order val="2"/>
          <c:tx>
            <c:strRef>
              <c:f>'Future costs &amp; EoS'!$E$15</c:f>
              <c:strCache>
                <c:ptCount val="1"/>
                <c:pt idx="0">
                  <c:v>State-wide</c:v>
                </c:pt>
              </c:strCache>
            </c:strRef>
          </c:tx>
          <c:spPr>
            <a:solidFill>
              <a:schemeClr val="accent3"/>
            </a:solidFill>
            <a:ln>
              <a:noFill/>
            </a:ln>
            <a:effectLst/>
          </c:spPr>
          <c:cat>
            <c:strRef>
              <c:f>'Future costs &amp; EoS'!$A$16:$A$19</c:f>
              <c:strCache>
                <c:ptCount val="4"/>
                <c:pt idx="0">
                  <c:v>Costs will grow at a rate faster than growth in service volumes</c:v>
                </c:pt>
                <c:pt idx="1">
                  <c:v>Costs will keep pace with changes to service volumes</c:v>
                </c:pt>
                <c:pt idx="2">
                  <c:v>Costs will not grow as fast as growth in service volumes</c:v>
                </c:pt>
                <c:pt idx="3">
                  <c:v>Don't know</c:v>
                </c:pt>
              </c:strCache>
            </c:strRef>
          </c:cat>
          <c:val>
            <c:numRef>
              <c:f>'Future costs &amp; EoS'!$E$16:$E$19</c:f>
              <c:numCache>
                <c:formatCode>0%</c:formatCode>
                <c:ptCount val="4"/>
                <c:pt idx="0">
                  <c:v>0.30434782608695665</c:v>
                </c:pt>
                <c:pt idx="1">
                  <c:v>0.52173913043478293</c:v>
                </c:pt>
                <c:pt idx="2">
                  <c:v>8.6956521739130474E-2</c:v>
                </c:pt>
                <c:pt idx="3">
                  <c:v>8.6956521739130474E-2</c:v>
                </c:pt>
              </c:numCache>
            </c:numRef>
          </c:val>
          <c:extLst xmlns:c16r2="http://schemas.microsoft.com/office/drawing/2015/06/chart">
            <c:ext xmlns:c16="http://schemas.microsoft.com/office/drawing/2014/chart" uri="{C3380CC4-5D6E-409C-BE32-E72D297353CC}">
              <c16:uniqueId val="{00000002-47F0-8349-9A30-3ABD3C2C27D7}"/>
            </c:ext>
          </c:extLst>
        </c:ser>
        <c:gapWidth val="219"/>
        <c:overlap val="-27"/>
        <c:axId val="158191616"/>
        <c:axId val="158193152"/>
      </c:barChart>
      <c:catAx>
        <c:axId val="1581916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8193152"/>
        <c:crosses val="autoZero"/>
        <c:auto val="1"/>
        <c:lblAlgn val="ctr"/>
        <c:lblOffset val="100"/>
      </c:catAx>
      <c:valAx>
        <c:axId val="15819315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81916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AU"/>
  <c:chart>
    <c:autoTitleDeleted val="1"/>
    <c:plotArea>
      <c:layout/>
      <c:pieChart>
        <c:varyColors val="1"/>
        <c:ser>
          <c:idx val="0"/>
          <c:order val="0"/>
          <c:tx>
            <c:strRef>
              <c:f>'Future costs &amp; EoS'!$B$61</c:f>
              <c:strCache>
                <c:ptCount val="1"/>
                <c:pt idx="0">
                  <c:v>VIC</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243-F940-946C-53F4E382128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243-F940-946C-53F4E382128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243-F940-946C-53F4E382128A}"/>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243-F940-946C-53F4E382128A}"/>
              </c:ext>
            </c:extLst>
          </c:dPt>
          <c:dLbls>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243-F940-946C-53F4E382128A}"/>
                </c:ext>
              </c:extLst>
            </c:dLbl>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'Future costs &amp; EoS'!$A$62:$A$65</c:f>
              <c:strCache>
                <c:ptCount val="4"/>
                <c:pt idx="0">
                  <c:v>Costs will grow at a rate faster than growth in service volumes</c:v>
                </c:pt>
                <c:pt idx="1">
                  <c:v>Costs will keep pace with changes to service volumes</c:v>
                </c:pt>
                <c:pt idx="2">
                  <c:v>Costs will not grow as fast as growth in service volumes</c:v>
                </c:pt>
                <c:pt idx="3">
                  <c:v>Don't know</c:v>
                </c:pt>
              </c:strCache>
            </c:strRef>
          </c:cat>
          <c:val>
            <c:numRef>
              <c:f>'Future costs &amp; EoS'!$B$62:$B$65</c:f>
              <c:numCache>
                <c:formatCode>0%</c:formatCode>
                <c:ptCount val="4"/>
                <c:pt idx="0">
                  <c:v>0.51807228915662629</c:v>
                </c:pt>
                <c:pt idx="1">
                  <c:v>0.26506024096385555</c:v>
                </c:pt>
                <c:pt idx="2">
                  <c:v>0.15662650602409639</c:v>
                </c:pt>
                <c:pt idx="3">
                  <c:v>6.0240963855421721E-2</c:v>
                </c:pt>
              </c:numCache>
            </c:numRef>
          </c:val>
          <c:extLst xmlns:c16r2="http://schemas.microsoft.com/office/drawing/2015/06/chart">
            <c:ext xmlns:c16="http://schemas.microsoft.com/office/drawing/2014/chart" uri="{C3380CC4-5D6E-409C-BE32-E72D297353CC}">
              <c16:uniqueId val="{00000008-C243-F940-946C-53F4E382128A}"/>
            </c:ext>
          </c:extLst>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'Future costs &amp; EoS'!$C$61</c:f>
              <c:strCache>
                <c:ptCount val="1"/>
                <c:pt idx="0">
                  <c:v>Metro</c:v>
                </c:pt>
              </c:strCache>
            </c:strRef>
          </c:tx>
          <c:spPr>
            <a:solidFill>
              <a:schemeClr val="accent1"/>
            </a:solidFill>
            <a:ln>
              <a:noFill/>
            </a:ln>
            <a:effectLst/>
          </c:spPr>
          <c:cat>
            <c:strRef>
              <c:f>'Future costs &amp; EoS'!$A$62:$A$65</c:f>
              <c:strCache>
                <c:ptCount val="4"/>
                <c:pt idx="0">
                  <c:v>Costs will grow at a rate faster than growth in service volumes</c:v>
                </c:pt>
                <c:pt idx="1">
                  <c:v>Costs will keep pace with changes to service volumes</c:v>
                </c:pt>
                <c:pt idx="2">
                  <c:v>Costs will not grow as fast as growth in service volumes</c:v>
                </c:pt>
                <c:pt idx="3">
                  <c:v>Don't know</c:v>
                </c:pt>
              </c:strCache>
            </c:strRef>
          </c:cat>
          <c:val>
            <c:numRef>
              <c:f>'Future costs &amp; EoS'!$C$62:$C$65</c:f>
              <c:numCache>
                <c:formatCode>0%</c:formatCode>
                <c:ptCount val="4"/>
                <c:pt idx="0">
                  <c:v>0.54545454545454541</c:v>
                </c:pt>
                <c:pt idx="1">
                  <c:v>0.30303030303030315</c:v>
                </c:pt>
                <c:pt idx="2">
                  <c:v>6.0606060606060622E-2</c:v>
                </c:pt>
                <c:pt idx="3">
                  <c:v>9.0909090909090981E-2</c:v>
                </c:pt>
              </c:numCache>
            </c:numRef>
          </c:val>
          <c:extLst xmlns:c16r2="http://schemas.microsoft.com/office/drawing/2015/06/chart">
            <c:ext xmlns:c16="http://schemas.microsoft.com/office/drawing/2014/chart" uri="{C3380CC4-5D6E-409C-BE32-E72D297353CC}">
              <c16:uniqueId val="{00000000-2A3F-EB40-9D21-1717C1E25D94}"/>
            </c:ext>
          </c:extLst>
        </c:ser>
        <c:ser>
          <c:idx val="1"/>
          <c:order val="1"/>
          <c:tx>
            <c:strRef>
              <c:f>'Future costs &amp; EoS'!$D$61</c:f>
              <c:strCache>
                <c:ptCount val="1"/>
                <c:pt idx="0">
                  <c:v>Regional</c:v>
                </c:pt>
              </c:strCache>
            </c:strRef>
          </c:tx>
          <c:spPr>
            <a:solidFill>
              <a:schemeClr val="accent2"/>
            </a:solidFill>
            <a:ln>
              <a:noFill/>
            </a:ln>
            <a:effectLst/>
          </c:spPr>
          <c:cat>
            <c:strRef>
              <c:f>'Future costs &amp; EoS'!$A$62:$A$65</c:f>
              <c:strCache>
                <c:ptCount val="4"/>
                <c:pt idx="0">
                  <c:v>Costs will grow at a rate faster than growth in service volumes</c:v>
                </c:pt>
                <c:pt idx="1">
                  <c:v>Costs will keep pace with changes to service volumes</c:v>
                </c:pt>
                <c:pt idx="2">
                  <c:v>Costs will not grow as fast as growth in service volumes</c:v>
                </c:pt>
                <c:pt idx="3">
                  <c:v>Don't know</c:v>
                </c:pt>
              </c:strCache>
            </c:strRef>
          </c:cat>
          <c:val>
            <c:numRef>
              <c:f>'Future costs &amp; EoS'!$D$62:$D$65</c:f>
              <c:numCache>
                <c:formatCode>0%</c:formatCode>
                <c:ptCount val="4"/>
                <c:pt idx="0">
                  <c:v>0.65384615384615385</c:v>
                </c:pt>
                <c:pt idx="1">
                  <c:v>0.23076923076923089</c:v>
                </c:pt>
                <c:pt idx="2">
                  <c:v>7.6923076923076927E-2</c:v>
                </c:pt>
                <c:pt idx="3">
                  <c:v>3.8461538461538464E-2</c:v>
                </c:pt>
              </c:numCache>
            </c:numRef>
          </c:val>
          <c:extLst xmlns:c16r2="http://schemas.microsoft.com/office/drawing/2015/06/chart">
            <c:ext xmlns:c16="http://schemas.microsoft.com/office/drawing/2014/chart" uri="{C3380CC4-5D6E-409C-BE32-E72D297353CC}">
              <c16:uniqueId val="{00000001-2A3F-EB40-9D21-1717C1E25D94}"/>
            </c:ext>
          </c:extLst>
        </c:ser>
        <c:ser>
          <c:idx val="2"/>
          <c:order val="2"/>
          <c:tx>
            <c:strRef>
              <c:f>'Future costs &amp; EoS'!$E$61</c:f>
              <c:strCache>
                <c:ptCount val="1"/>
                <c:pt idx="0">
                  <c:v>State-wide</c:v>
                </c:pt>
              </c:strCache>
            </c:strRef>
          </c:tx>
          <c:spPr>
            <a:solidFill>
              <a:schemeClr val="accent3"/>
            </a:solidFill>
            <a:ln>
              <a:noFill/>
            </a:ln>
            <a:effectLst/>
          </c:spPr>
          <c:cat>
            <c:strRef>
              <c:f>'Future costs &amp; EoS'!$A$62:$A$65</c:f>
              <c:strCache>
                <c:ptCount val="4"/>
                <c:pt idx="0">
                  <c:v>Costs will grow at a rate faster than growth in service volumes</c:v>
                </c:pt>
                <c:pt idx="1">
                  <c:v>Costs will keep pace with changes to service volumes</c:v>
                </c:pt>
                <c:pt idx="2">
                  <c:v>Costs will not grow as fast as growth in service volumes</c:v>
                </c:pt>
                <c:pt idx="3">
                  <c:v>Don't know</c:v>
                </c:pt>
              </c:strCache>
            </c:strRef>
          </c:cat>
          <c:val>
            <c:numRef>
              <c:f>'Future costs &amp; EoS'!$E$62:$E$65</c:f>
              <c:numCache>
                <c:formatCode>0%</c:formatCode>
                <c:ptCount val="4"/>
                <c:pt idx="0">
                  <c:v>0.3478260869565219</c:v>
                </c:pt>
                <c:pt idx="1">
                  <c:v>0.21739130434782619</c:v>
                </c:pt>
                <c:pt idx="2">
                  <c:v>0.39130434782608714</c:v>
                </c:pt>
                <c:pt idx="3">
                  <c:v>4.3478260869565223E-2</c:v>
                </c:pt>
              </c:numCache>
            </c:numRef>
          </c:val>
          <c:extLst xmlns:c16r2="http://schemas.microsoft.com/office/drawing/2015/06/chart">
            <c:ext xmlns:c16="http://schemas.microsoft.com/office/drawing/2014/chart" uri="{C3380CC4-5D6E-409C-BE32-E72D297353CC}">
              <c16:uniqueId val="{00000002-2A3F-EB40-9D21-1717C1E25D94}"/>
            </c:ext>
          </c:extLst>
        </c:ser>
        <c:gapWidth val="219"/>
        <c:overlap val="-27"/>
        <c:axId val="159195520"/>
        <c:axId val="159197056"/>
      </c:barChart>
      <c:catAx>
        <c:axId val="1591955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9197056"/>
        <c:crosses val="autoZero"/>
        <c:auto val="1"/>
        <c:lblAlgn val="ctr"/>
        <c:lblOffset val="100"/>
      </c:catAx>
      <c:valAx>
        <c:axId val="15919705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91955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bar"/>
        <c:grouping val="stacked"/>
        <c:ser>
          <c:idx val="0"/>
          <c:order val="0"/>
          <c:tx>
            <c:strRef>
              <c:f>'Areas improve'!$E$15</c:f>
              <c:strCache>
                <c:ptCount val="1"/>
                <c:pt idx="0">
                  <c:v>1st-ranked</c:v>
                </c:pt>
              </c:strCache>
            </c:strRef>
          </c:tx>
          <c:spPr>
            <a:solidFill>
              <a:schemeClr val="accent1"/>
            </a:solidFill>
            <a:ln>
              <a:noFill/>
            </a:ln>
            <a:effectLst/>
          </c:spPr>
          <c:cat>
            <c:strRef>
              <c:f>'Areas improve'!$G$14:$I$14</c:f>
              <c:strCache>
                <c:ptCount val="3"/>
                <c:pt idx="0">
                  <c:v>Metro</c:v>
                </c:pt>
                <c:pt idx="1">
                  <c:v>Regional</c:v>
                </c:pt>
                <c:pt idx="2">
                  <c:v>State-wide</c:v>
                </c:pt>
              </c:strCache>
            </c:strRef>
          </c:cat>
          <c:val>
            <c:numRef>
              <c:f>'Areas improve'!$G$15:$I$15</c:f>
              <c:numCache>
                <c:formatCode>0%</c:formatCode>
                <c:ptCount val="3"/>
                <c:pt idx="0">
                  <c:v>0.3000000000000001</c:v>
                </c:pt>
                <c:pt idx="1">
                  <c:v>0.52631578947368418</c:v>
                </c:pt>
                <c:pt idx="2">
                  <c:v>0.70000000000000018</c:v>
                </c:pt>
              </c:numCache>
            </c:numRef>
          </c:val>
          <c:extLst xmlns:c16r2="http://schemas.microsoft.com/office/drawing/2015/06/chart">
            <c:ext xmlns:c16="http://schemas.microsoft.com/office/drawing/2014/chart" uri="{C3380CC4-5D6E-409C-BE32-E72D297353CC}">
              <c16:uniqueId val="{00000000-BB0D-6A46-B9B3-F3A82D1890C9}"/>
            </c:ext>
          </c:extLst>
        </c:ser>
        <c:ser>
          <c:idx val="1"/>
          <c:order val="1"/>
          <c:tx>
            <c:strRef>
              <c:f>'Areas improve'!$E$16</c:f>
              <c:strCache>
                <c:ptCount val="1"/>
                <c:pt idx="0">
                  <c:v>2nd-ranked</c:v>
                </c:pt>
              </c:strCache>
            </c:strRef>
          </c:tx>
          <c:spPr>
            <a:solidFill>
              <a:schemeClr val="accent2"/>
            </a:solidFill>
            <a:ln>
              <a:noFill/>
            </a:ln>
            <a:effectLst/>
          </c:spPr>
          <c:cat>
            <c:strRef>
              <c:f>'Areas improve'!$G$14:$I$14</c:f>
              <c:strCache>
                <c:ptCount val="3"/>
                <c:pt idx="0">
                  <c:v>Metro</c:v>
                </c:pt>
                <c:pt idx="1">
                  <c:v>Regional</c:v>
                </c:pt>
                <c:pt idx="2">
                  <c:v>State-wide</c:v>
                </c:pt>
              </c:strCache>
            </c:strRef>
          </c:cat>
          <c:val>
            <c:numRef>
              <c:f>'Areas improve'!$G$16:$I$16</c:f>
              <c:numCache>
                <c:formatCode>0%</c:formatCode>
                <c:ptCount val="3"/>
                <c:pt idx="0">
                  <c:v>0.1</c:v>
                </c:pt>
                <c:pt idx="1">
                  <c:v>0.2631578947368422</c:v>
                </c:pt>
                <c:pt idx="2">
                  <c:v>0.2</c:v>
                </c:pt>
              </c:numCache>
            </c:numRef>
          </c:val>
          <c:extLst xmlns:c16r2="http://schemas.microsoft.com/office/drawing/2015/06/chart">
            <c:ext xmlns:c16="http://schemas.microsoft.com/office/drawing/2014/chart" uri="{C3380CC4-5D6E-409C-BE32-E72D297353CC}">
              <c16:uniqueId val="{00000001-BB0D-6A46-B9B3-F3A82D1890C9}"/>
            </c:ext>
          </c:extLst>
        </c:ser>
        <c:ser>
          <c:idx val="2"/>
          <c:order val="2"/>
          <c:tx>
            <c:strRef>
              <c:f>'Areas improve'!$E$17</c:f>
              <c:strCache>
                <c:ptCount val="1"/>
                <c:pt idx="0">
                  <c:v>3rd-ranked</c:v>
                </c:pt>
              </c:strCache>
            </c:strRef>
          </c:tx>
          <c:spPr>
            <a:solidFill>
              <a:schemeClr val="accent3"/>
            </a:solidFill>
            <a:ln>
              <a:noFill/>
            </a:ln>
            <a:effectLst/>
          </c:spPr>
          <c:cat>
            <c:strRef>
              <c:f>'Areas improve'!$G$14:$I$14</c:f>
              <c:strCache>
                <c:ptCount val="3"/>
                <c:pt idx="0">
                  <c:v>Metro</c:v>
                </c:pt>
                <c:pt idx="1">
                  <c:v>Regional</c:v>
                </c:pt>
                <c:pt idx="2">
                  <c:v>State-wide</c:v>
                </c:pt>
              </c:strCache>
            </c:strRef>
          </c:cat>
          <c:val>
            <c:numRef>
              <c:f>'Areas improve'!$G$17:$I$17</c:f>
              <c:numCache>
                <c:formatCode>0%</c:formatCode>
                <c:ptCount val="3"/>
                <c:pt idx="0">
                  <c:v>0.1</c:v>
                </c:pt>
                <c:pt idx="1">
                  <c:v>5.2631578947368432E-2</c:v>
                </c:pt>
                <c:pt idx="2">
                  <c:v>0.1</c:v>
                </c:pt>
              </c:numCache>
            </c:numRef>
          </c:val>
          <c:extLst xmlns:c16r2="http://schemas.microsoft.com/office/drawing/2015/06/chart">
            <c:ext xmlns:c16="http://schemas.microsoft.com/office/drawing/2014/chart" uri="{C3380CC4-5D6E-409C-BE32-E72D297353CC}">
              <c16:uniqueId val="{00000002-BB0D-6A46-B9B3-F3A82D1890C9}"/>
            </c:ext>
          </c:extLst>
        </c:ser>
        <c:ser>
          <c:idx val="3"/>
          <c:order val="3"/>
          <c:tx>
            <c:strRef>
              <c:f>'Areas improve'!$E$18</c:f>
              <c:strCache>
                <c:ptCount val="1"/>
                <c:pt idx="0">
                  <c:v>4th-ranked</c:v>
                </c:pt>
              </c:strCache>
            </c:strRef>
          </c:tx>
          <c:spPr>
            <a:solidFill>
              <a:schemeClr val="accent4"/>
            </a:solidFill>
            <a:ln>
              <a:noFill/>
            </a:ln>
            <a:effectLst/>
          </c:spPr>
          <c:cat>
            <c:strRef>
              <c:f>'Areas improve'!$G$14:$I$14</c:f>
              <c:strCache>
                <c:ptCount val="3"/>
                <c:pt idx="0">
                  <c:v>Metro</c:v>
                </c:pt>
                <c:pt idx="1">
                  <c:v>Regional</c:v>
                </c:pt>
                <c:pt idx="2">
                  <c:v>State-wide</c:v>
                </c:pt>
              </c:strCache>
            </c:strRef>
          </c:cat>
          <c:val>
            <c:numRef>
              <c:f>'Areas improve'!$G$18:$I$18</c:f>
              <c:numCache>
                <c:formatCode>0%</c:formatCode>
                <c:ptCount val="3"/>
                <c:pt idx="0">
                  <c:v>0.2</c:v>
                </c:pt>
                <c:pt idx="1">
                  <c:v>0.15789473684210537</c:v>
                </c:pt>
                <c:pt idx="2">
                  <c:v>0</c:v>
                </c:pt>
              </c:numCache>
            </c:numRef>
          </c:val>
          <c:extLst xmlns:c16r2="http://schemas.microsoft.com/office/drawing/2015/06/chart">
            <c:ext xmlns:c16="http://schemas.microsoft.com/office/drawing/2014/chart" uri="{C3380CC4-5D6E-409C-BE32-E72D297353CC}">
              <c16:uniqueId val="{00000003-BB0D-6A46-B9B3-F3A82D1890C9}"/>
            </c:ext>
          </c:extLst>
        </c:ser>
        <c:ser>
          <c:idx val="4"/>
          <c:order val="4"/>
          <c:tx>
            <c:strRef>
              <c:f>'Areas improve'!$E$19</c:f>
              <c:strCache>
                <c:ptCount val="1"/>
                <c:pt idx="0">
                  <c:v>5th-ranked</c:v>
                </c:pt>
              </c:strCache>
            </c:strRef>
          </c:tx>
          <c:spPr>
            <a:solidFill>
              <a:schemeClr val="accent5"/>
            </a:solidFill>
            <a:ln>
              <a:noFill/>
            </a:ln>
            <a:effectLst/>
          </c:spPr>
          <c:cat>
            <c:strRef>
              <c:f>'Areas improve'!$G$14:$I$14</c:f>
              <c:strCache>
                <c:ptCount val="3"/>
                <c:pt idx="0">
                  <c:v>Metro</c:v>
                </c:pt>
                <c:pt idx="1">
                  <c:v>Regional</c:v>
                </c:pt>
                <c:pt idx="2">
                  <c:v>State-wide</c:v>
                </c:pt>
              </c:strCache>
            </c:strRef>
          </c:cat>
          <c:val>
            <c:numRef>
              <c:f>'Areas improve'!$G$19:$I$19</c:f>
              <c:numCache>
                <c:formatCode>0%</c:formatCode>
                <c:ptCount val="3"/>
                <c:pt idx="0">
                  <c:v>0.3000000000000001</c:v>
                </c:pt>
                <c:pt idx="1">
                  <c:v>0</c:v>
                </c:pt>
                <c:pt idx="2">
                  <c:v>0</c:v>
                </c:pt>
              </c:numCache>
            </c:numRef>
          </c:val>
          <c:extLst xmlns:c16r2="http://schemas.microsoft.com/office/drawing/2015/06/chart">
            <c:ext xmlns:c16="http://schemas.microsoft.com/office/drawing/2014/chart" uri="{C3380CC4-5D6E-409C-BE32-E72D297353CC}">
              <c16:uniqueId val="{00000004-BB0D-6A46-B9B3-F3A82D1890C9}"/>
            </c:ext>
          </c:extLst>
        </c:ser>
        <c:overlap val="100"/>
        <c:axId val="159249536"/>
        <c:axId val="159251072"/>
      </c:barChart>
      <c:catAx>
        <c:axId val="15924953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9251072"/>
        <c:crosses val="autoZero"/>
        <c:auto val="1"/>
        <c:lblAlgn val="ctr"/>
        <c:lblOffset val="100"/>
      </c:catAx>
      <c:valAx>
        <c:axId val="159251072"/>
        <c:scaling>
          <c:orientation val="minMax"/>
          <c:max val="1"/>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92495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bar"/>
        <c:grouping val="stacked"/>
        <c:ser>
          <c:idx val="0"/>
          <c:order val="0"/>
          <c:tx>
            <c:strRef>
              <c:f>'Areas improve'!$E$126</c:f>
              <c:strCache>
                <c:ptCount val="1"/>
                <c:pt idx="0">
                  <c:v>1st-ranked</c:v>
                </c:pt>
              </c:strCache>
            </c:strRef>
          </c:tx>
          <c:spPr>
            <a:solidFill>
              <a:schemeClr val="accent1"/>
            </a:solidFill>
            <a:ln>
              <a:noFill/>
            </a:ln>
            <a:effectLst/>
          </c:spPr>
          <c:cat>
            <c:strRef>
              <c:f>'Areas improve'!$G$125:$I$125</c:f>
              <c:strCache>
                <c:ptCount val="3"/>
                <c:pt idx="0">
                  <c:v>Metro</c:v>
                </c:pt>
                <c:pt idx="1">
                  <c:v>Regional</c:v>
                </c:pt>
                <c:pt idx="2">
                  <c:v>State-wide</c:v>
                </c:pt>
              </c:strCache>
            </c:strRef>
          </c:cat>
          <c:val>
            <c:numRef>
              <c:f>'Areas improve'!$G$126:$I$126</c:f>
              <c:numCache>
                <c:formatCode>0%</c:formatCode>
                <c:ptCount val="3"/>
                <c:pt idx="0">
                  <c:v>0.1</c:v>
                </c:pt>
                <c:pt idx="1">
                  <c:v>0.21428571428571427</c:v>
                </c:pt>
                <c:pt idx="2">
                  <c:v>0.16666666666666666</c:v>
                </c:pt>
              </c:numCache>
            </c:numRef>
          </c:val>
          <c:extLst xmlns:c16r2="http://schemas.microsoft.com/office/drawing/2015/06/chart">
            <c:ext xmlns:c16="http://schemas.microsoft.com/office/drawing/2014/chart" uri="{C3380CC4-5D6E-409C-BE32-E72D297353CC}">
              <c16:uniqueId val="{00000000-6D15-8D4D-8CA7-2C4806B07BE2}"/>
            </c:ext>
          </c:extLst>
        </c:ser>
        <c:ser>
          <c:idx val="1"/>
          <c:order val="1"/>
          <c:tx>
            <c:strRef>
              <c:f>'Areas improve'!$E$127</c:f>
              <c:strCache>
                <c:ptCount val="1"/>
                <c:pt idx="0">
                  <c:v>2nd-ranked</c:v>
                </c:pt>
              </c:strCache>
            </c:strRef>
          </c:tx>
          <c:spPr>
            <a:solidFill>
              <a:schemeClr val="accent2"/>
            </a:solidFill>
            <a:ln>
              <a:noFill/>
            </a:ln>
            <a:effectLst/>
          </c:spPr>
          <c:cat>
            <c:strRef>
              <c:f>'Areas improve'!$G$125:$I$125</c:f>
              <c:strCache>
                <c:ptCount val="3"/>
                <c:pt idx="0">
                  <c:v>Metro</c:v>
                </c:pt>
                <c:pt idx="1">
                  <c:v>Regional</c:v>
                </c:pt>
                <c:pt idx="2">
                  <c:v>State-wide</c:v>
                </c:pt>
              </c:strCache>
            </c:strRef>
          </c:cat>
          <c:val>
            <c:numRef>
              <c:f>'Areas improve'!$G$127:$I$127</c:f>
              <c:numCache>
                <c:formatCode>0%</c:formatCode>
                <c:ptCount val="3"/>
                <c:pt idx="0">
                  <c:v>0.2</c:v>
                </c:pt>
                <c:pt idx="1">
                  <c:v>0.42857142857142855</c:v>
                </c:pt>
                <c:pt idx="2">
                  <c:v>0.25</c:v>
                </c:pt>
              </c:numCache>
            </c:numRef>
          </c:val>
          <c:extLst xmlns:c16r2="http://schemas.microsoft.com/office/drawing/2015/06/chart">
            <c:ext xmlns:c16="http://schemas.microsoft.com/office/drawing/2014/chart" uri="{C3380CC4-5D6E-409C-BE32-E72D297353CC}">
              <c16:uniqueId val="{00000001-6D15-8D4D-8CA7-2C4806B07BE2}"/>
            </c:ext>
          </c:extLst>
        </c:ser>
        <c:ser>
          <c:idx val="2"/>
          <c:order val="2"/>
          <c:tx>
            <c:strRef>
              <c:f>'Areas improve'!$E$128</c:f>
              <c:strCache>
                <c:ptCount val="1"/>
                <c:pt idx="0">
                  <c:v>3rd-ranked</c:v>
                </c:pt>
              </c:strCache>
            </c:strRef>
          </c:tx>
          <c:spPr>
            <a:solidFill>
              <a:schemeClr val="accent3"/>
            </a:solidFill>
            <a:ln>
              <a:noFill/>
            </a:ln>
            <a:effectLst/>
          </c:spPr>
          <c:cat>
            <c:strRef>
              <c:f>'Areas improve'!$G$125:$I$125</c:f>
              <c:strCache>
                <c:ptCount val="3"/>
                <c:pt idx="0">
                  <c:v>Metro</c:v>
                </c:pt>
                <c:pt idx="1">
                  <c:v>Regional</c:v>
                </c:pt>
                <c:pt idx="2">
                  <c:v>State-wide</c:v>
                </c:pt>
              </c:strCache>
            </c:strRef>
          </c:cat>
          <c:val>
            <c:numRef>
              <c:f>'Areas improve'!$G$128:$I$128</c:f>
              <c:numCache>
                <c:formatCode>0%</c:formatCode>
                <c:ptCount val="3"/>
                <c:pt idx="0">
                  <c:v>0.3000000000000001</c:v>
                </c:pt>
                <c:pt idx="1">
                  <c:v>0.28571428571428586</c:v>
                </c:pt>
                <c:pt idx="2">
                  <c:v>8.3333333333333343E-2</c:v>
                </c:pt>
              </c:numCache>
            </c:numRef>
          </c:val>
          <c:extLst xmlns:c16r2="http://schemas.microsoft.com/office/drawing/2015/06/chart">
            <c:ext xmlns:c16="http://schemas.microsoft.com/office/drawing/2014/chart" uri="{C3380CC4-5D6E-409C-BE32-E72D297353CC}">
              <c16:uniqueId val="{00000002-6D15-8D4D-8CA7-2C4806B07BE2}"/>
            </c:ext>
          </c:extLst>
        </c:ser>
        <c:ser>
          <c:idx val="3"/>
          <c:order val="3"/>
          <c:tx>
            <c:strRef>
              <c:f>'Areas improve'!$E$129</c:f>
              <c:strCache>
                <c:ptCount val="1"/>
                <c:pt idx="0">
                  <c:v>4th-ranked</c:v>
                </c:pt>
              </c:strCache>
            </c:strRef>
          </c:tx>
          <c:spPr>
            <a:solidFill>
              <a:schemeClr val="accent4"/>
            </a:solidFill>
            <a:ln>
              <a:noFill/>
            </a:ln>
            <a:effectLst/>
          </c:spPr>
          <c:cat>
            <c:strRef>
              <c:f>'Areas improve'!$G$125:$I$125</c:f>
              <c:strCache>
                <c:ptCount val="3"/>
                <c:pt idx="0">
                  <c:v>Metro</c:v>
                </c:pt>
                <c:pt idx="1">
                  <c:v>Regional</c:v>
                </c:pt>
                <c:pt idx="2">
                  <c:v>State-wide</c:v>
                </c:pt>
              </c:strCache>
            </c:strRef>
          </c:cat>
          <c:val>
            <c:numRef>
              <c:f>'Areas improve'!$G$129:$I$129</c:f>
              <c:numCache>
                <c:formatCode>0%</c:formatCode>
                <c:ptCount val="3"/>
                <c:pt idx="0">
                  <c:v>0.2</c:v>
                </c:pt>
                <c:pt idx="1">
                  <c:v>0</c:v>
                </c:pt>
                <c:pt idx="2">
                  <c:v>8.3333333333333343E-2</c:v>
                </c:pt>
              </c:numCache>
            </c:numRef>
          </c:val>
          <c:extLst xmlns:c16r2="http://schemas.microsoft.com/office/drawing/2015/06/chart">
            <c:ext xmlns:c16="http://schemas.microsoft.com/office/drawing/2014/chart" uri="{C3380CC4-5D6E-409C-BE32-E72D297353CC}">
              <c16:uniqueId val="{00000003-6D15-8D4D-8CA7-2C4806B07BE2}"/>
            </c:ext>
          </c:extLst>
        </c:ser>
        <c:ser>
          <c:idx val="4"/>
          <c:order val="4"/>
          <c:tx>
            <c:strRef>
              <c:f>'Areas improve'!$E$130</c:f>
              <c:strCache>
                <c:ptCount val="1"/>
                <c:pt idx="0">
                  <c:v>5th-ranked</c:v>
                </c:pt>
              </c:strCache>
            </c:strRef>
          </c:tx>
          <c:spPr>
            <a:solidFill>
              <a:schemeClr val="accent5"/>
            </a:solidFill>
            <a:ln>
              <a:noFill/>
            </a:ln>
            <a:effectLst/>
          </c:spPr>
          <c:cat>
            <c:strRef>
              <c:f>'Areas improve'!$G$125:$I$125</c:f>
              <c:strCache>
                <c:ptCount val="3"/>
                <c:pt idx="0">
                  <c:v>Metro</c:v>
                </c:pt>
                <c:pt idx="1">
                  <c:v>Regional</c:v>
                </c:pt>
                <c:pt idx="2">
                  <c:v>State-wide</c:v>
                </c:pt>
              </c:strCache>
            </c:strRef>
          </c:cat>
          <c:val>
            <c:numRef>
              <c:f>'Areas improve'!$G$130:$I$130</c:f>
              <c:numCache>
                <c:formatCode>0%</c:formatCode>
                <c:ptCount val="3"/>
                <c:pt idx="0">
                  <c:v>0.2</c:v>
                </c:pt>
                <c:pt idx="1">
                  <c:v>7.1428571428571425E-2</c:v>
                </c:pt>
                <c:pt idx="2">
                  <c:v>0.41666666666666685</c:v>
                </c:pt>
              </c:numCache>
            </c:numRef>
          </c:val>
          <c:extLst xmlns:c16r2="http://schemas.microsoft.com/office/drawing/2015/06/chart">
            <c:ext xmlns:c16="http://schemas.microsoft.com/office/drawing/2014/chart" uri="{C3380CC4-5D6E-409C-BE32-E72D297353CC}">
              <c16:uniqueId val="{00000004-6D15-8D4D-8CA7-2C4806B07BE2}"/>
            </c:ext>
          </c:extLst>
        </c:ser>
        <c:overlap val="100"/>
        <c:axId val="159848320"/>
        <c:axId val="159849856"/>
      </c:barChart>
      <c:catAx>
        <c:axId val="15984832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9849856"/>
        <c:crosses val="autoZero"/>
        <c:auto val="1"/>
        <c:lblAlgn val="ctr"/>
        <c:lblOffset val="100"/>
      </c:catAx>
      <c:valAx>
        <c:axId val="159849856"/>
        <c:scaling>
          <c:orientation val="minMax"/>
          <c:max val="1"/>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98483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AU"/>
  <c:chart>
    <c:autoTitleDeleted val="1"/>
    <c:plotArea>
      <c:layout/>
      <c:lineChart>
        <c:grouping val="standard"/>
        <c:ser>
          <c:idx val="0"/>
          <c:order val="0"/>
          <c:tx>
            <c:strRef>
              <c:f>Sheet1!$J$4</c:f>
              <c:strCache>
                <c:ptCount val="1"/>
                <c:pt idx="0">
                  <c:v>Permanent</c:v>
                </c:pt>
              </c:strCache>
            </c:strRef>
          </c:tx>
          <c:spPr>
            <a:ln w="28575" cap="rnd">
              <a:solidFill>
                <a:schemeClr val="accent1"/>
              </a:solidFill>
              <a:round/>
            </a:ln>
            <a:effectLst/>
          </c:spPr>
          <c:marker>
            <c:symbol val="none"/>
          </c:marker>
          <c:cat>
            <c:strRef>
              <c:f>Sheet1!$I$5:$I$19</c:f>
              <c:strCache>
                <c:ptCount val="15"/>
                <c:pt idx="0">
                  <c:v>Jun 2015</c:v>
                </c:pt>
                <c:pt idx="1">
                  <c:v>Sep 2015</c:v>
                </c:pt>
                <c:pt idx="2">
                  <c:v>Dec 2015</c:v>
                </c:pt>
                <c:pt idx="3">
                  <c:v>Mar 2016</c:v>
                </c:pt>
                <c:pt idx="4">
                  <c:v>Jun 2016</c:v>
                </c:pt>
                <c:pt idx="5">
                  <c:v>Sep 2016</c:v>
                </c:pt>
                <c:pt idx="6">
                  <c:v>Dec 2016</c:v>
                </c:pt>
                <c:pt idx="7">
                  <c:v>Mar 2017</c:v>
                </c:pt>
                <c:pt idx="8">
                  <c:v>Jun 2017</c:v>
                </c:pt>
                <c:pt idx="9">
                  <c:v>Sep 2017</c:v>
                </c:pt>
                <c:pt idx="10">
                  <c:v>Dec 2017</c:v>
                </c:pt>
                <c:pt idx="11">
                  <c:v>Mar 2018</c:v>
                </c:pt>
                <c:pt idx="12">
                  <c:v>Jun 2018</c:v>
                </c:pt>
                <c:pt idx="13">
                  <c:v>Sep 2018</c:v>
                </c:pt>
                <c:pt idx="14">
                  <c:v>Dec 2018</c:v>
                </c:pt>
              </c:strCache>
            </c:strRef>
          </c:cat>
          <c:val>
            <c:numRef>
              <c:f>Sheet1!$J$5:$J$19</c:f>
              <c:numCache>
                <c:formatCode>0%</c:formatCode>
                <c:ptCount val="15"/>
                <c:pt idx="0">
                  <c:v>0.52594486765317383</c:v>
                </c:pt>
                <c:pt idx="1">
                  <c:v>0.51658028937884459</c:v>
                </c:pt>
                <c:pt idx="2">
                  <c:v>0.5310413686360006</c:v>
                </c:pt>
                <c:pt idx="3">
                  <c:v>0.54294340057437218</c:v>
                </c:pt>
                <c:pt idx="4">
                  <c:v>0.54977972201556113</c:v>
                </c:pt>
                <c:pt idx="5">
                  <c:v>0.50394876290577761</c:v>
                </c:pt>
                <c:pt idx="6">
                  <c:v>0.52258610926883331</c:v>
                </c:pt>
                <c:pt idx="7">
                  <c:v>0.49638937110713593</c:v>
                </c:pt>
                <c:pt idx="8">
                  <c:v>0.51794760193301115</c:v>
                </c:pt>
                <c:pt idx="9">
                  <c:v>0.45917018508877783</c:v>
                </c:pt>
                <c:pt idx="10">
                  <c:v>0.48518102506742117</c:v>
                </c:pt>
                <c:pt idx="11">
                  <c:v>0.45693250633312393</c:v>
                </c:pt>
                <c:pt idx="12">
                  <c:v>0.45225885040845193</c:v>
                </c:pt>
                <c:pt idx="13">
                  <c:v>0.43542561640796595</c:v>
                </c:pt>
                <c:pt idx="14">
                  <c:v>0.51855841471010133</c:v>
                </c:pt>
              </c:numCache>
            </c:numRef>
          </c:val>
          <c:extLst xmlns:c16r2="http://schemas.microsoft.com/office/drawing/2015/06/chart">
            <c:ext xmlns:c16="http://schemas.microsoft.com/office/drawing/2014/chart" uri="{C3380CC4-5D6E-409C-BE32-E72D297353CC}">
              <c16:uniqueId val="{00000000-7615-F548-A6CB-F568E94D586A}"/>
            </c:ext>
          </c:extLst>
        </c:ser>
        <c:ser>
          <c:idx val="1"/>
          <c:order val="1"/>
          <c:tx>
            <c:strRef>
              <c:f>Sheet1!$K$4</c:f>
              <c:strCache>
                <c:ptCount val="1"/>
                <c:pt idx="0">
                  <c:v>Fixed</c:v>
                </c:pt>
              </c:strCache>
            </c:strRef>
          </c:tx>
          <c:spPr>
            <a:ln w="28575" cap="rnd">
              <a:solidFill>
                <a:schemeClr val="accent2"/>
              </a:solidFill>
              <a:round/>
            </a:ln>
            <a:effectLst/>
          </c:spPr>
          <c:marker>
            <c:symbol val="none"/>
          </c:marker>
          <c:cat>
            <c:strRef>
              <c:f>Sheet1!$I$5:$I$19</c:f>
              <c:strCache>
                <c:ptCount val="15"/>
                <c:pt idx="0">
                  <c:v>Jun 2015</c:v>
                </c:pt>
                <c:pt idx="1">
                  <c:v>Sep 2015</c:v>
                </c:pt>
                <c:pt idx="2">
                  <c:v>Dec 2015</c:v>
                </c:pt>
                <c:pt idx="3">
                  <c:v>Mar 2016</c:v>
                </c:pt>
                <c:pt idx="4">
                  <c:v>Jun 2016</c:v>
                </c:pt>
                <c:pt idx="5">
                  <c:v>Sep 2016</c:v>
                </c:pt>
                <c:pt idx="6">
                  <c:v>Dec 2016</c:v>
                </c:pt>
                <c:pt idx="7">
                  <c:v>Mar 2017</c:v>
                </c:pt>
                <c:pt idx="8">
                  <c:v>Jun 2017</c:v>
                </c:pt>
                <c:pt idx="9">
                  <c:v>Sep 2017</c:v>
                </c:pt>
                <c:pt idx="10">
                  <c:v>Dec 2017</c:v>
                </c:pt>
                <c:pt idx="11">
                  <c:v>Mar 2018</c:v>
                </c:pt>
                <c:pt idx="12">
                  <c:v>Jun 2018</c:v>
                </c:pt>
                <c:pt idx="13">
                  <c:v>Sep 2018</c:v>
                </c:pt>
                <c:pt idx="14">
                  <c:v>Dec 2018</c:v>
                </c:pt>
              </c:strCache>
            </c:strRef>
          </c:cat>
          <c:val>
            <c:numRef>
              <c:f>Sheet1!$K$5:$K$19</c:f>
              <c:numCache>
                <c:formatCode>0%</c:formatCode>
                <c:ptCount val="15"/>
                <c:pt idx="0">
                  <c:v>5.5183744802619415E-2</c:v>
                </c:pt>
                <c:pt idx="1">
                  <c:v>1.2770169415942804E-2</c:v>
                </c:pt>
                <c:pt idx="2">
                  <c:v>6.55265056844479E-2</c:v>
                </c:pt>
                <c:pt idx="3">
                  <c:v>7.5819941963277196E-2</c:v>
                </c:pt>
                <c:pt idx="4">
                  <c:v>5.8963315357177214E-2</c:v>
                </c:pt>
                <c:pt idx="5">
                  <c:v>4.4825161639926323E-2</c:v>
                </c:pt>
                <c:pt idx="6">
                  <c:v>5.2760633897827938E-2</c:v>
                </c:pt>
                <c:pt idx="7">
                  <c:v>7.575947573955881E-2</c:v>
                </c:pt>
                <c:pt idx="8">
                  <c:v>4.828050540536237E-2</c:v>
                </c:pt>
                <c:pt idx="9">
                  <c:v>0.10922852135207703</c:v>
                </c:pt>
                <c:pt idx="10">
                  <c:v>9.7740544053103687E-2</c:v>
                </c:pt>
                <c:pt idx="11">
                  <c:v>0.12991160328645701</c:v>
                </c:pt>
                <c:pt idx="12">
                  <c:v>8.4660056052782859E-2</c:v>
                </c:pt>
                <c:pt idx="13">
                  <c:v>9.7138945611802238E-2</c:v>
                </c:pt>
                <c:pt idx="14">
                  <c:v>4.1611567713567686E-2</c:v>
                </c:pt>
              </c:numCache>
            </c:numRef>
          </c:val>
          <c:extLst xmlns:c16r2="http://schemas.microsoft.com/office/drawing/2015/06/chart">
            <c:ext xmlns:c16="http://schemas.microsoft.com/office/drawing/2014/chart" uri="{C3380CC4-5D6E-409C-BE32-E72D297353CC}">
              <c16:uniqueId val="{00000001-7615-F548-A6CB-F568E94D586A}"/>
            </c:ext>
          </c:extLst>
        </c:ser>
        <c:ser>
          <c:idx val="2"/>
          <c:order val="2"/>
          <c:tx>
            <c:strRef>
              <c:f>Sheet1!$L$4</c:f>
              <c:strCache>
                <c:ptCount val="1"/>
                <c:pt idx="0">
                  <c:v>Casual</c:v>
                </c:pt>
              </c:strCache>
            </c:strRef>
          </c:tx>
          <c:spPr>
            <a:ln w="28575" cap="rnd">
              <a:solidFill>
                <a:schemeClr val="accent3"/>
              </a:solidFill>
              <a:round/>
            </a:ln>
            <a:effectLst/>
          </c:spPr>
          <c:marker>
            <c:symbol val="none"/>
          </c:marker>
          <c:cat>
            <c:strRef>
              <c:f>Sheet1!$I$5:$I$19</c:f>
              <c:strCache>
                <c:ptCount val="15"/>
                <c:pt idx="0">
                  <c:v>Jun 2015</c:v>
                </c:pt>
                <c:pt idx="1">
                  <c:v>Sep 2015</c:v>
                </c:pt>
                <c:pt idx="2">
                  <c:v>Dec 2015</c:v>
                </c:pt>
                <c:pt idx="3">
                  <c:v>Mar 2016</c:v>
                </c:pt>
                <c:pt idx="4">
                  <c:v>Jun 2016</c:v>
                </c:pt>
                <c:pt idx="5">
                  <c:v>Sep 2016</c:v>
                </c:pt>
                <c:pt idx="6">
                  <c:v>Dec 2016</c:v>
                </c:pt>
                <c:pt idx="7">
                  <c:v>Mar 2017</c:v>
                </c:pt>
                <c:pt idx="8">
                  <c:v>Jun 2017</c:v>
                </c:pt>
                <c:pt idx="9">
                  <c:v>Sep 2017</c:v>
                </c:pt>
                <c:pt idx="10">
                  <c:v>Dec 2017</c:v>
                </c:pt>
                <c:pt idx="11">
                  <c:v>Mar 2018</c:v>
                </c:pt>
                <c:pt idx="12">
                  <c:v>Jun 2018</c:v>
                </c:pt>
                <c:pt idx="13">
                  <c:v>Sep 2018</c:v>
                </c:pt>
                <c:pt idx="14">
                  <c:v>Dec 2018</c:v>
                </c:pt>
              </c:strCache>
            </c:strRef>
          </c:cat>
          <c:val>
            <c:numRef>
              <c:f>Sheet1!$L$5:$L$19</c:f>
              <c:numCache>
                <c:formatCode>0%</c:formatCode>
                <c:ptCount val="15"/>
                <c:pt idx="0">
                  <c:v>0.41887138754420622</c:v>
                </c:pt>
                <c:pt idx="1">
                  <c:v>0.47064954120521202</c:v>
                </c:pt>
                <c:pt idx="2">
                  <c:v>0.40343212567955111</c:v>
                </c:pt>
                <c:pt idx="3">
                  <c:v>0.38123665746235008</c:v>
                </c:pt>
                <c:pt idx="4">
                  <c:v>0.39125696262726123</c:v>
                </c:pt>
                <c:pt idx="5">
                  <c:v>0.45122607545429511</c:v>
                </c:pt>
                <c:pt idx="6">
                  <c:v>0.42465325683333788</c:v>
                </c:pt>
                <c:pt idx="7">
                  <c:v>0.42785115315330502</c:v>
                </c:pt>
                <c:pt idx="8">
                  <c:v>0.43377189266162502</c:v>
                </c:pt>
                <c:pt idx="9">
                  <c:v>0.43160129355914412</c:v>
                </c:pt>
                <c:pt idx="10">
                  <c:v>0.41707843087947422</c:v>
                </c:pt>
                <c:pt idx="11">
                  <c:v>0.41315589038041811</c:v>
                </c:pt>
                <c:pt idx="12">
                  <c:v>0.46308109353876398</c:v>
                </c:pt>
                <c:pt idx="13">
                  <c:v>0.46743543798023102</c:v>
                </c:pt>
                <c:pt idx="14">
                  <c:v>0.43983001757633</c:v>
                </c:pt>
              </c:numCache>
            </c:numRef>
          </c:val>
          <c:extLst xmlns:c16r2="http://schemas.microsoft.com/office/drawing/2015/06/chart">
            <c:ext xmlns:c16="http://schemas.microsoft.com/office/drawing/2014/chart" uri="{C3380CC4-5D6E-409C-BE32-E72D297353CC}">
              <c16:uniqueId val="{00000002-7615-F548-A6CB-F568E94D586A}"/>
            </c:ext>
          </c:extLst>
        </c:ser>
        <c:marker val="1"/>
        <c:axId val="159886720"/>
        <c:axId val="159904896"/>
      </c:lineChart>
      <c:catAx>
        <c:axId val="1598867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9904896"/>
        <c:crosses val="autoZero"/>
        <c:auto val="1"/>
        <c:lblAlgn val="ctr"/>
        <c:lblOffset val="100"/>
      </c:catAx>
      <c:valAx>
        <c:axId val="15990489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9886720"/>
        <c:crosses val="autoZero"/>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'P&amp;L disability services'!$C$15</c:f>
              <c:strCache>
                <c:ptCount val="1"/>
                <c:pt idx="0">
                  <c:v>Metro</c:v>
                </c:pt>
              </c:strCache>
            </c:strRef>
          </c:tx>
          <c:spPr>
            <a:solidFill>
              <a:srgbClr val="497594"/>
            </a:solidFill>
            <a:ln>
              <a:noFill/>
            </a:ln>
            <a:effectLst/>
          </c:spPr>
          <c:cat>
            <c:strRef>
              <c:f>'P&amp;L disability services'!$A$16:$A$19</c:f>
              <c:strCache>
                <c:ptCount val="4"/>
                <c:pt idx="0">
                  <c:v>Don't know</c:v>
                </c:pt>
                <c:pt idx="1">
                  <c:v>We broke even or were close to break-even</c:v>
                </c:pt>
                <c:pt idx="2">
                  <c:v>We made a loss / deficit</c:v>
                </c:pt>
                <c:pt idx="3">
                  <c:v>We made a profit / surplus</c:v>
                </c:pt>
              </c:strCache>
            </c:strRef>
          </c:cat>
          <c:val>
            <c:numRef>
              <c:f>'P&amp;L disability services'!$C$16:$C$19</c:f>
              <c:numCache>
                <c:formatCode>0%</c:formatCode>
                <c:ptCount val="4"/>
                <c:pt idx="0">
                  <c:v>0.125</c:v>
                </c:pt>
                <c:pt idx="1">
                  <c:v>0.21875000000000006</c:v>
                </c:pt>
                <c:pt idx="2">
                  <c:v>0.25</c:v>
                </c:pt>
                <c:pt idx="3">
                  <c:v>0.40625</c:v>
                </c:pt>
              </c:numCache>
            </c:numRef>
          </c:val>
          <c:extLst xmlns:c16r2="http://schemas.microsoft.com/office/drawing/2015/06/chart">
            <c:ext xmlns:c16="http://schemas.microsoft.com/office/drawing/2014/chart" uri="{C3380CC4-5D6E-409C-BE32-E72D297353CC}">
              <c16:uniqueId val="{00000000-4236-7A4D-B092-CC41D1F7F7E3}"/>
            </c:ext>
          </c:extLst>
        </c:ser>
        <c:ser>
          <c:idx val="1"/>
          <c:order val="1"/>
          <c:tx>
            <c:strRef>
              <c:f>'P&amp;L disability services'!$D$15</c:f>
              <c:strCache>
                <c:ptCount val="1"/>
                <c:pt idx="0">
                  <c:v>Regional</c:v>
                </c:pt>
              </c:strCache>
            </c:strRef>
          </c:tx>
          <c:spPr>
            <a:solidFill>
              <a:srgbClr val="6EBB1E"/>
            </a:solidFill>
            <a:ln>
              <a:noFill/>
            </a:ln>
            <a:effectLst/>
          </c:spPr>
          <c:cat>
            <c:strRef>
              <c:f>'P&amp;L disability services'!$A$16:$A$19</c:f>
              <c:strCache>
                <c:ptCount val="4"/>
                <c:pt idx="0">
                  <c:v>Don't know</c:v>
                </c:pt>
                <c:pt idx="1">
                  <c:v>We broke even or were close to break-even</c:v>
                </c:pt>
                <c:pt idx="2">
                  <c:v>We made a loss / deficit</c:v>
                </c:pt>
                <c:pt idx="3">
                  <c:v>We made a profit / surplus</c:v>
                </c:pt>
              </c:strCache>
            </c:strRef>
          </c:cat>
          <c:val>
            <c:numRef>
              <c:f>'P&amp;L disability services'!$D$16:$D$19</c:f>
              <c:numCache>
                <c:formatCode>0%</c:formatCode>
                <c:ptCount val="4"/>
                <c:pt idx="0">
                  <c:v>3.7037037037037049E-2</c:v>
                </c:pt>
                <c:pt idx="1">
                  <c:v>0.18518518518518526</c:v>
                </c:pt>
                <c:pt idx="2">
                  <c:v>0.37037037037037057</c:v>
                </c:pt>
                <c:pt idx="3">
                  <c:v>0.40740740740740738</c:v>
                </c:pt>
              </c:numCache>
            </c:numRef>
          </c:val>
          <c:extLst xmlns:c16r2="http://schemas.microsoft.com/office/drawing/2015/06/chart">
            <c:ext xmlns:c16="http://schemas.microsoft.com/office/drawing/2014/chart" uri="{C3380CC4-5D6E-409C-BE32-E72D297353CC}">
              <c16:uniqueId val="{00000001-4236-7A4D-B092-CC41D1F7F7E3}"/>
            </c:ext>
          </c:extLst>
        </c:ser>
        <c:ser>
          <c:idx val="2"/>
          <c:order val="2"/>
          <c:tx>
            <c:strRef>
              <c:f>'P&amp;L disability services'!$E$15</c:f>
              <c:strCache>
                <c:ptCount val="1"/>
                <c:pt idx="0">
                  <c:v>State-wide</c:v>
                </c:pt>
              </c:strCache>
            </c:strRef>
          </c:tx>
          <c:spPr>
            <a:solidFill>
              <a:schemeClr val="accent3"/>
            </a:solidFill>
            <a:ln>
              <a:noFill/>
            </a:ln>
            <a:effectLst/>
          </c:spPr>
          <c:cat>
            <c:strRef>
              <c:f>'P&amp;L disability services'!$A$16:$A$19</c:f>
              <c:strCache>
                <c:ptCount val="4"/>
                <c:pt idx="0">
                  <c:v>Don't know</c:v>
                </c:pt>
                <c:pt idx="1">
                  <c:v>We broke even or were close to break-even</c:v>
                </c:pt>
                <c:pt idx="2">
                  <c:v>We made a loss / deficit</c:v>
                </c:pt>
                <c:pt idx="3">
                  <c:v>We made a profit / surplus</c:v>
                </c:pt>
              </c:strCache>
            </c:strRef>
          </c:cat>
          <c:val>
            <c:numRef>
              <c:f>'P&amp;L disability services'!$E$16:$E$19</c:f>
              <c:numCache>
                <c:formatCode>0%</c:formatCode>
                <c:ptCount val="4"/>
                <c:pt idx="0">
                  <c:v>9.5238095238095247E-2</c:v>
                </c:pt>
                <c:pt idx="1">
                  <c:v>9.5238095238095247E-2</c:v>
                </c:pt>
                <c:pt idx="2">
                  <c:v>0.23809523809523819</c:v>
                </c:pt>
                <c:pt idx="3">
                  <c:v>0.57142857142857173</c:v>
                </c:pt>
              </c:numCache>
            </c:numRef>
          </c:val>
          <c:extLst xmlns:c16r2="http://schemas.microsoft.com/office/drawing/2015/06/chart">
            <c:ext xmlns:c16="http://schemas.microsoft.com/office/drawing/2014/chart" uri="{C3380CC4-5D6E-409C-BE32-E72D297353CC}">
              <c16:uniqueId val="{00000002-4236-7A4D-B092-CC41D1F7F7E3}"/>
            </c:ext>
          </c:extLst>
        </c:ser>
        <c:gapWidth val="219"/>
        <c:overlap val="-27"/>
        <c:axId val="158258304"/>
        <c:axId val="158259840"/>
      </c:barChart>
      <c:catAx>
        <c:axId val="1582583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8259840"/>
        <c:crosses val="autoZero"/>
        <c:auto val="1"/>
        <c:lblAlgn val="ctr"/>
        <c:lblOffset val="100"/>
      </c:catAx>
      <c:valAx>
        <c:axId val="15825984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82583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AU"/>
  <c:chart>
    <c:autoTitleDeleted val="1"/>
    <c:plotArea>
      <c:layout/>
      <c:lineChart>
        <c:grouping val="standard"/>
        <c:ser>
          <c:idx val="0"/>
          <c:order val="0"/>
          <c:tx>
            <c:strRef>
              <c:f>Sheet1!$B$4</c:f>
              <c:strCache>
                <c:ptCount val="1"/>
                <c:pt idx="0">
                  <c:v>Permanent</c:v>
                </c:pt>
              </c:strCache>
            </c:strRef>
          </c:tx>
          <c:spPr>
            <a:ln w="28575" cap="rnd">
              <a:solidFill>
                <a:schemeClr val="accent1"/>
              </a:solidFill>
              <a:round/>
            </a:ln>
            <a:effectLst/>
          </c:spPr>
          <c:marker>
            <c:symbol val="none"/>
          </c:marker>
          <c:cat>
            <c:strRef>
              <c:f>Sheet1!$A$5:$A$19</c:f>
              <c:strCache>
                <c:ptCount val="15"/>
                <c:pt idx="0">
                  <c:v>Jun 2015</c:v>
                </c:pt>
                <c:pt idx="1">
                  <c:v>Sep 2015</c:v>
                </c:pt>
                <c:pt idx="2">
                  <c:v>Dec 2015</c:v>
                </c:pt>
                <c:pt idx="3">
                  <c:v>Mar 2016</c:v>
                </c:pt>
                <c:pt idx="4">
                  <c:v>Jun 2016</c:v>
                </c:pt>
                <c:pt idx="5">
                  <c:v>Sep 2016</c:v>
                </c:pt>
                <c:pt idx="6">
                  <c:v>Dec 2016</c:v>
                </c:pt>
                <c:pt idx="7">
                  <c:v>Mar 2017</c:v>
                </c:pt>
                <c:pt idx="8">
                  <c:v>Jun 2017</c:v>
                </c:pt>
                <c:pt idx="9">
                  <c:v>Sep 2017</c:v>
                </c:pt>
                <c:pt idx="10">
                  <c:v>Dec 2017</c:v>
                </c:pt>
                <c:pt idx="11">
                  <c:v>Mar 2018</c:v>
                </c:pt>
                <c:pt idx="12">
                  <c:v>Jun 2018</c:v>
                </c:pt>
                <c:pt idx="13">
                  <c:v>Sep 2018</c:v>
                </c:pt>
                <c:pt idx="14">
                  <c:v>Dec 2018</c:v>
                </c:pt>
              </c:strCache>
            </c:strRef>
          </c:cat>
          <c:val>
            <c:numRef>
              <c:f>Sheet1!$B$5:$B$19</c:f>
              <c:numCache>
                <c:formatCode>0%</c:formatCode>
                <c:ptCount val="15"/>
                <c:pt idx="0">
                  <c:v>0.53108819732723622</c:v>
                </c:pt>
                <c:pt idx="1">
                  <c:v>0.54790547271150492</c:v>
                </c:pt>
                <c:pt idx="2">
                  <c:v>0.54165549628029341</c:v>
                </c:pt>
                <c:pt idx="3">
                  <c:v>0.54591154928144459</c:v>
                </c:pt>
                <c:pt idx="4">
                  <c:v>0.54891185860638436</c:v>
                </c:pt>
                <c:pt idx="5">
                  <c:v>0.53591723902537314</c:v>
                </c:pt>
                <c:pt idx="6">
                  <c:v>0.54258023411607192</c:v>
                </c:pt>
                <c:pt idx="7">
                  <c:v>0.5281405421800357</c:v>
                </c:pt>
                <c:pt idx="8">
                  <c:v>0.51124228127471649</c:v>
                </c:pt>
                <c:pt idx="9">
                  <c:v>0.49561914714193622</c:v>
                </c:pt>
                <c:pt idx="10">
                  <c:v>0.48584278437265865</c:v>
                </c:pt>
                <c:pt idx="11">
                  <c:v>0.4885951975837195</c:v>
                </c:pt>
                <c:pt idx="12">
                  <c:v>0.49079075656725918</c:v>
                </c:pt>
                <c:pt idx="13">
                  <c:v>0.49247982163932386</c:v>
                </c:pt>
                <c:pt idx="14">
                  <c:v>0.52551573024389409</c:v>
                </c:pt>
              </c:numCache>
            </c:numRef>
          </c:val>
          <c:extLst xmlns:c16r2="http://schemas.microsoft.com/office/drawing/2015/06/chart">
            <c:ext xmlns:c16="http://schemas.microsoft.com/office/drawing/2014/chart" uri="{C3380CC4-5D6E-409C-BE32-E72D297353CC}">
              <c16:uniqueId val="{00000000-0D21-9048-A7A0-B0AB7C863CE1}"/>
            </c:ext>
          </c:extLst>
        </c:ser>
        <c:ser>
          <c:idx val="1"/>
          <c:order val="1"/>
          <c:tx>
            <c:strRef>
              <c:f>Sheet1!$C$4</c:f>
              <c:strCache>
                <c:ptCount val="1"/>
                <c:pt idx="0">
                  <c:v>Fixed</c:v>
                </c:pt>
              </c:strCache>
            </c:strRef>
          </c:tx>
          <c:spPr>
            <a:ln w="28575" cap="rnd">
              <a:solidFill>
                <a:schemeClr val="accent2"/>
              </a:solidFill>
              <a:round/>
            </a:ln>
            <a:effectLst/>
          </c:spPr>
          <c:marker>
            <c:symbol val="none"/>
          </c:marker>
          <c:cat>
            <c:strRef>
              <c:f>Sheet1!$A$5:$A$19</c:f>
              <c:strCache>
                <c:ptCount val="15"/>
                <c:pt idx="0">
                  <c:v>Jun 2015</c:v>
                </c:pt>
                <c:pt idx="1">
                  <c:v>Sep 2015</c:v>
                </c:pt>
                <c:pt idx="2">
                  <c:v>Dec 2015</c:v>
                </c:pt>
                <c:pt idx="3">
                  <c:v>Mar 2016</c:v>
                </c:pt>
                <c:pt idx="4">
                  <c:v>Jun 2016</c:v>
                </c:pt>
                <c:pt idx="5">
                  <c:v>Sep 2016</c:v>
                </c:pt>
                <c:pt idx="6">
                  <c:v>Dec 2016</c:v>
                </c:pt>
                <c:pt idx="7">
                  <c:v>Mar 2017</c:v>
                </c:pt>
                <c:pt idx="8">
                  <c:v>Jun 2017</c:v>
                </c:pt>
                <c:pt idx="9">
                  <c:v>Sep 2017</c:v>
                </c:pt>
                <c:pt idx="10">
                  <c:v>Dec 2017</c:v>
                </c:pt>
                <c:pt idx="11">
                  <c:v>Mar 2018</c:v>
                </c:pt>
                <c:pt idx="12">
                  <c:v>Jun 2018</c:v>
                </c:pt>
                <c:pt idx="13">
                  <c:v>Sep 2018</c:v>
                </c:pt>
                <c:pt idx="14">
                  <c:v>Dec 2018</c:v>
                </c:pt>
              </c:strCache>
            </c:strRef>
          </c:cat>
          <c:val>
            <c:numRef>
              <c:f>Sheet1!$C$5:$C$19</c:f>
              <c:numCache>
                <c:formatCode>0%</c:formatCode>
                <c:ptCount val="15"/>
                <c:pt idx="0">
                  <c:v>5.7575069968811413E-2</c:v>
                </c:pt>
                <c:pt idx="1">
                  <c:v>3.55815231121712E-2</c:v>
                </c:pt>
                <c:pt idx="2">
                  <c:v>6.12071932651886E-2</c:v>
                </c:pt>
                <c:pt idx="3">
                  <c:v>5.8218258695906799E-2</c:v>
                </c:pt>
                <c:pt idx="4">
                  <c:v>5.8638979966933513E-2</c:v>
                </c:pt>
                <c:pt idx="5">
                  <c:v>5.1011005960943996E-2</c:v>
                </c:pt>
                <c:pt idx="6">
                  <c:v>4.1441961334406897E-2</c:v>
                </c:pt>
                <c:pt idx="7">
                  <c:v>4.8042419947340931E-2</c:v>
                </c:pt>
                <c:pt idx="8">
                  <c:v>4.3280942949709203E-2</c:v>
                </c:pt>
                <c:pt idx="9">
                  <c:v>6.1229250342061087E-2</c:v>
                </c:pt>
                <c:pt idx="10">
                  <c:v>6.3083779258307729E-2</c:v>
                </c:pt>
                <c:pt idx="11">
                  <c:v>7.5374832950657819E-2</c:v>
                </c:pt>
                <c:pt idx="12">
                  <c:v>4.4238872268985978E-2</c:v>
                </c:pt>
                <c:pt idx="13">
                  <c:v>3.4734735916004511E-2</c:v>
                </c:pt>
                <c:pt idx="14">
                  <c:v>2.4537059462084801E-2</c:v>
                </c:pt>
              </c:numCache>
            </c:numRef>
          </c:val>
          <c:extLst xmlns:c16r2="http://schemas.microsoft.com/office/drawing/2015/06/chart">
            <c:ext xmlns:c16="http://schemas.microsoft.com/office/drawing/2014/chart" uri="{C3380CC4-5D6E-409C-BE32-E72D297353CC}">
              <c16:uniqueId val="{00000001-0D21-9048-A7A0-B0AB7C863CE1}"/>
            </c:ext>
          </c:extLst>
        </c:ser>
        <c:ser>
          <c:idx val="2"/>
          <c:order val="2"/>
          <c:tx>
            <c:strRef>
              <c:f>Sheet1!$D$4</c:f>
              <c:strCache>
                <c:ptCount val="1"/>
                <c:pt idx="0">
                  <c:v>Casual</c:v>
                </c:pt>
              </c:strCache>
            </c:strRef>
          </c:tx>
          <c:spPr>
            <a:ln w="28575" cap="rnd">
              <a:solidFill>
                <a:schemeClr val="accent3"/>
              </a:solidFill>
              <a:round/>
            </a:ln>
            <a:effectLst/>
          </c:spPr>
          <c:marker>
            <c:symbol val="none"/>
          </c:marker>
          <c:cat>
            <c:strRef>
              <c:f>Sheet1!$A$5:$A$19</c:f>
              <c:strCache>
                <c:ptCount val="15"/>
                <c:pt idx="0">
                  <c:v>Jun 2015</c:v>
                </c:pt>
                <c:pt idx="1">
                  <c:v>Sep 2015</c:v>
                </c:pt>
                <c:pt idx="2">
                  <c:v>Dec 2015</c:v>
                </c:pt>
                <c:pt idx="3">
                  <c:v>Mar 2016</c:v>
                </c:pt>
                <c:pt idx="4">
                  <c:v>Jun 2016</c:v>
                </c:pt>
                <c:pt idx="5">
                  <c:v>Sep 2016</c:v>
                </c:pt>
                <c:pt idx="6">
                  <c:v>Dec 2016</c:v>
                </c:pt>
                <c:pt idx="7">
                  <c:v>Mar 2017</c:v>
                </c:pt>
                <c:pt idx="8">
                  <c:v>Jun 2017</c:v>
                </c:pt>
                <c:pt idx="9">
                  <c:v>Sep 2017</c:v>
                </c:pt>
                <c:pt idx="10">
                  <c:v>Dec 2017</c:v>
                </c:pt>
                <c:pt idx="11">
                  <c:v>Mar 2018</c:v>
                </c:pt>
                <c:pt idx="12">
                  <c:v>Jun 2018</c:v>
                </c:pt>
                <c:pt idx="13">
                  <c:v>Sep 2018</c:v>
                </c:pt>
                <c:pt idx="14">
                  <c:v>Dec 2018</c:v>
                </c:pt>
              </c:strCache>
            </c:strRef>
          </c:cat>
          <c:val>
            <c:numRef>
              <c:f>Sheet1!$D$5:$D$19</c:f>
              <c:numCache>
                <c:formatCode>0%</c:formatCode>
                <c:ptCount val="15"/>
                <c:pt idx="0">
                  <c:v>0.4113367327039511</c:v>
                </c:pt>
                <c:pt idx="1">
                  <c:v>0.41651300417632287</c:v>
                </c:pt>
                <c:pt idx="2">
                  <c:v>0.397137310454518</c:v>
                </c:pt>
                <c:pt idx="3">
                  <c:v>0.39587019202264834</c:v>
                </c:pt>
                <c:pt idx="4">
                  <c:v>0.39244916142668212</c:v>
                </c:pt>
                <c:pt idx="5">
                  <c:v>0.41307175501368198</c:v>
                </c:pt>
                <c:pt idx="6">
                  <c:v>0.4159778045495201</c:v>
                </c:pt>
                <c:pt idx="7">
                  <c:v>0.42381703787262315</c:v>
                </c:pt>
                <c:pt idx="8">
                  <c:v>0.44547677577557321</c:v>
                </c:pt>
                <c:pt idx="9">
                  <c:v>0.44315160251600189</c:v>
                </c:pt>
                <c:pt idx="10">
                  <c:v>0.45107343636903302</c:v>
                </c:pt>
                <c:pt idx="11">
                  <c:v>0.43602996946562222</c:v>
                </c:pt>
                <c:pt idx="12">
                  <c:v>0.46497037116375423</c:v>
                </c:pt>
                <c:pt idx="13">
                  <c:v>0.47278544244467102</c:v>
                </c:pt>
                <c:pt idx="14">
                  <c:v>0.44994721029402002</c:v>
                </c:pt>
              </c:numCache>
            </c:numRef>
          </c:val>
          <c:extLst xmlns:c16r2="http://schemas.microsoft.com/office/drawing/2015/06/chart">
            <c:ext xmlns:c16="http://schemas.microsoft.com/office/drawing/2014/chart" uri="{C3380CC4-5D6E-409C-BE32-E72D297353CC}">
              <c16:uniqueId val="{00000002-0D21-9048-A7A0-B0AB7C863CE1}"/>
            </c:ext>
          </c:extLst>
        </c:ser>
        <c:marker val="1"/>
        <c:axId val="159970048"/>
        <c:axId val="159971584"/>
      </c:lineChart>
      <c:catAx>
        <c:axId val="1599700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9971584"/>
        <c:crosses val="autoZero"/>
        <c:auto val="1"/>
        <c:lblAlgn val="ctr"/>
        <c:lblOffset val="100"/>
      </c:catAx>
      <c:valAx>
        <c:axId val="15997158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9970048"/>
        <c:crosses val="autoZero"/>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AU"/>
  <c:chart>
    <c:autoTitleDeleted val="1"/>
    <c:plotArea>
      <c:layout/>
      <c:lineChart>
        <c:grouping val="standard"/>
        <c:ser>
          <c:idx val="0"/>
          <c:order val="0"/>
          <c:tx>
            <c:strRef>
              <c:f>Sheet1!$B$45</c:f>
              <c:strCache>
                <c:ptCount val="1"/>
                <c:pt idx="0">
                  <c:v>Casual (Victoria)</c:v>
                </c:pt>
              </c:strCache>
            </c:strRef>
          </c:tx>
          <c:spPr>
            <a:ln w="28575" cap="rnd">
              <a:solidFill>
                <a:schemeClr val="accent1"/>
              </a:solidFill>
              <a:round/>
            </a:ln>
            <a:effectLst/>
          </c:spPr>
          <c:marker>
            <c:symbol val="none"/>
          </c:marker>
          <c:cat>
            <c:strRef>
              <c:f>Sheet1!$A$46:$A$59</c:f>
              <c:strCache>
                <c:ptCount val="14"/>
                <c:pt idx="0">
                  <c:v>Sep 2015</c:v>
                </c:pt>
                <c:pt idx="1">
                  <c:v>Dec 2015</c:v>
                </c:pt>
                <c:pt idx="2">
                  <c:v>Mar 2016</c:v>
                </c:pt>
                <c:pt idx="3">
                  <c:v>Jun 2016</c:v>
                </c:pt>
                <c:pt idx="4">
                  <c:v>Sep 2016</c:v>
                </c:pt>
                <c:pt idx="5">
                  <c:v>Dec 2016</c:v>
                </c:pt>
                <c:pt idx="6">
                  <c:v>Mar 2017</c:v>
                </c:pt>
                <c:pt idx="7">
                  <c:v>Jun 2017</c:v>
                </c:pt>
                <c:pt idx="8">
                  <c:v>Sep 2017</c:v>
                </c:pt>
                <c:pt idx="9">
                  <c:v>Dec 2017</c:v>
                </c:pt>
                <c:pt idx="10">
                  <c:v>Mar 2018</c:v>
                </c:pt>
                <c:pt idx="11">
                  <c:v>Jun 2018</c:v>
                </c:pt>
                <c:pt idx="12">
                  <c:v>Sep 2018</c:v>
                </c:pt>
                <c:pt idx="13">
                  <c:v>Dec 2018</c:v>
                </c:pt>
              </c:strCache>
            </c:strRef>
          </c:cat>
          <c:val>
            <c:numRef>
              <c:f>Sheet1!$B$46:$B$59</c:f>
              <c:numCache>
                <c:formatCode>#,##0%</c:formatCode>
                <c:ptCount val="14"/>
                <c:pt idx="0">
                  <c:v>4.5952139866031597E-2</c:v>
                </c:pt>
                <c:pt idx="1">
                  <c:v>4.3459765235474374E-2</c:v>
                </c:pt>
                <c:pt idx="2">
                  <c:v>3.1033192706423549E-2</c:v>
                </c:pt>
                <c:pt idx="3">
                  <c:v>0.14069756168363307</c:v>
                </c:pt>
                <c:pt idx="4">
                  <c:v>8.0360480650800536E-2</c:v>
                </c:pt>
                <c:pt idx="5">
                  <c:v>8.4701613470660131E-2</c:v>
                </c:pt>
                <c:pt idx="6">
                  <c:v>6.3803561905373465E-2</c:v>
                </c:pt>
                <c:pt idx="7">
                  <c:v>8.5691184199055165E-2</c:v>
                </c:pt>
                <c:pt idx="8">
                  <c:v>5.5354569403897762E-2</c:v>
                </c:pt>
                <c:pt idx="9">
                  <c:v>4.535185560159477E-2</c:v>
                </c:pt>
                <c:pt idx="10">
                  <c:v>5.9995483387771796E-2</c:v>
                </c:pt>
                <c:pt idx="11">
                  <c:v>6.1650320095922959E-2</c:v>
                </c:pt>
                <c:pt idx="12">
                  <c:v>9.3365445121022836E-2</c:v>
                </c:pt>
                <c:pt idx="13">
                  <c:v>4.4227017781173966E-2</c:v>
                </c:pt>
              </c:numCache>
            </c:numRef>
          </c:val>
          <c:extLst xmlns:c16r2="http://schemas.microsoft.com/office/drawing/2015/06/chart">
            <c:ext xmlns:c16="http://schemas.microsoft.com/office/drawing/2014/chart" uri="{C3380CC4-5D6E-409C-BE32-E72D297353CC}">
              <c16:uniqueId val="{00000000-2403-7044-A372-A00A5159CB0A}"/>
            </c:ext>
          </c:extLst>
        </c:ser>
        <c:ser>
          <c:idx val="1"/>
          <c:order val="1"/>
          <c:tx>
            <c:strRef>
              <c:f>Sheet1!$C$45</c:f>
              <c:strCache>
                <c:ptCount val="1"/>
                <c:pt idx="0">
                  <c:v>Permanent (Victoria)</c:v>
                </c:pt>
              </c:strCache>
            </c:strRef>
          </c:tx>
          <c:spPr>
            <a:ln w="28575" cap="rnd">
              <a:solidFill>
                <a:schemeClr val="accent2"/>
              </a:solidFill>
              <a:round/>
            </a:ln>
            <a:effectLst/>
          </c:spPr>
          <c:marker>
            <c:symbol val="none"/>
          </c:marker>
          <c:cat>
            <c:strRef>
              <c:f>Sheet1!$A$46:$A$59</c:f>
              <c:strCache>
                <c:ptCount val="14"/>
                <c:pt idx="0">
                  <c:v>Sep 2015</c:v>
                </c:pt>
                <c:pt idx="1">
                  <c:v>Dec 2015</c:v>
                </c:pt>
                <c:pt idx="2">
                  <c:v>Mar 2016</c:v>
                </c:pt>
                <c:pt idx="3">
                  <c:v>Jun 2016</c:v>
                </c:pt>
                <c:pt idx="4">
                  <c:v>Sep 2016</c:v>
                </c:pt>
                <c:pt idx="5">
                  <c:v>Dec 2016</c:v>
                </c:pt>
                <c:pt idx="6">
                  <c:v>Mar 2017</c:v>
                </c:pt>
                <c:pt idx="7">
                  <c:v>Jun 2017</c:v>
                </c:pt>
                <c:pt idx="8">
                  <c:v>Sep 2017</c:v>
                </c:pt>
                <c:pt idx="9">
                  <c:v>Dec 2017</c:v>
                </c:pt>
                <c:pt idx="10">
                  <c:v>Mar 2018</c:v>
                </c:pt>
                <c:pt idx="11">
                  <c:v>Jun 2018</c:v>
                </c:pt>
                <c:pt idx="12">
                  <c:v>Sep 2018</c:v>
                </c:pt>
                <c:pt idx="13">
                  <c:v>Dec 2018</c:v>
                </c:pt>
              </c:strCache>
            </c:strRef>
          </c:cat>
          <c:val>
            <c:numRef>
              <c:f>Sheet1!$C$46:$C$59</c:f>
              <c:numCache>
                <c:formatCode>#,##0%</c:formatCode>
                <c:ptCount val="14"/>
                <c:pt idx="0">
                  <c:v>2.0945803497121267E-2</c:v>
                </c:pt>
                <c:pt idx="1">
                  <c:v>3.6672938439448369E-2</c:v>
                </c:pt>
                <c:pt idx="2">
                  <c:v>3.5269547687663681E-2</c:v>
                </c:pt>
                <c:pt idx="3">
                  <c:v>3.1169564606889102E-2</c:v>
                </c:pt>
                <c:pt idx="4">
                  <c:v>3.0957271072857319E-2</c:v>
                </c:pt>
                <c:pt idx="5">
                  <c:v>2.3916447020723559E-2</c:v>
                </c:pt>
                <c:pt idx="6">
                  <c:v>3.3795158564412051E-2</c:v>
                </c:pt>
                <c:pt idx="7">
                  <c:v>3.5529863266465581E-2</c:v>
                </c:pt>
                <c:pt idx="8">
                  <c:v>3.3069588186348253E-2</c:v>
                </c:pt>
                <c:pt idx="9">
                  <c:v>5.138762704134632E-2</c:v>
                </c:pt>
                <c:pt idx="10">
                  <c:v>5.8299356099228393E-2</c:v>
                </c:pt>
                <c:pt idx="11">
                  <c:v>4.3442505477186824E-2</c:v>
                </c:pt>
                <c:pt idx="12">
                  <c:v>4.3044317618174649E-2</c:v>
                </c:pt>
                <c:pt idx="13">
                  <c:v>4.9179884536858322E-2</c:v>
                </c:pt>
              </c:numCache>
            </c:numRef>
          </c:val>
          <c:extLst xmlns:c16r2="http://schemas.microsoft.com/office/drawing/2015/06/chart">
            <c:ext xmlns:c16="http://schemas.microsoft.com/office/drawing/2014/chart" uri="{C3380CC4-5D6E-409C-BE32-E72D297353CC}">
              <c16:uniqueId val="{00000001-2403-7044-A372-A00A5159CB0A}"/>
            </c:ext>
          </c:extLst>
        </c:ser>
        <c:ser>
          <c:idx val="2"/>
          <c:order val="2"/>
          <c:tx>
            <c:strRef>
              <c:f>Sheet1!$G$45</c:f>
              <c:strCache>
                <c:ptCount val="1"/>
                <c:pt idx="0">
                  <c:v>Casual (National)</c:v>
                </c:pt>
              </c:strCache>
            </c:strRef>
          </c:tx>
          <c:spPr>
            <a:ln w="28575" cap="rnd">
              <a:solidFill>
                <a:schemeClr val="accent3"/>
              </a:solidFill>
              <a:round/>
            </a:ln>
            <a:effectLst/>
          </c:spPr>
          <c:marker>
            <c:symbol val="none"/>
          </c:marker>
          <c:cat>
            <c:strRef>
              <c:f>Sheet1!$A$46:$A$59</c:f>
              <c:strCache>
                <c:ptCount val="14"/>
                <c:pt idx="0">
                  <c:v>Sep 2015</c:v>
                </c:pt>
                <c:pt idx="1">
                  <c:v>Dec 2015</c:v>
                </c:pt>
                <c:pt idx="2">
                  <c:v>Mar 2016</c:v>
                </c:pt>
                <c:pt idx="3">
                  <c:v>Jun 2016</c:v>
                </c:pt>
                <c:pt idx="4">
                  <c:v>Sep 2016</c:v>
                </c:pt>
                <c:pt idx="5">
                  <c:v>Dec 2016</c:v>
                </c:pt>
                <c:pt idx="6">
                  <c:v>Mar 2017</c:v>
                </c:pt>
                <c:pt idx="7">
                  <c:v>Jun 2017</c:v>
                </c:pt>
                <c:pt idx="8">
                  <c:v>Sep 2017</c:v>
                </c:pt>
                <c:pt idx="9">
                  <c:v>Dec 2017</c:v>
                </c:pt>
                <c:pt idx="10">
                  <c:v>Mar 2018</c:v>
                </c:pt>
                <c:pt idx="11">
                  <c:v>Jun 2018</c:v>
                </c:pt>
                <c:pt idx="12">
                  <c:v>Sep 2018</c:v>
                </c:pt>
                <c:pt idx="13">
                  <c:v>Dec 2018</c:v>
                </c:pt>
              </c:strCache>
            </c:strRef>
          </c:cat>
          <c:val>
            <c:numRef>
              <c:f>Sheet1!$G$46:$G$59</c:f>
              <c:numCache>
                <c:formatCode>#,##0%</c:formatCode>
                <c:ptCount val="14"/>
                <c:pt idx="0">
                  <c:v>6.0184094430210701E-2</c:v>
                </c:pt>
                <c:pt idx="1">
                  <c:v>6.5089147154783131E-2</c:v>
                </c:pt>
                <c:pt idx="2">
                  <c:v>6.9592826370645677E-2</c:v>
                </c:pt>
                <c:pt idx="3">
                  <c:v>9.4869645059536267E-2</c:v>
                </c:pt>
                <c:pt idx="4">
                  <c:v>7.7112800623740527E-2</c:v>
                </c:pt>
                <c:pt idx="5">
                  <c:v>8.1918188679472648E-2</c:v>
                </c:pt>
                <c:pt idx="6">
                  <c:v>8.1377466692685099E-2</c:v>
                </c:pt>
                <c:pt idx="7">
                  <c:v>8.3685802153189104E-2</c:v>
                </c:pt>
                <c:pt idx="8">
                  <c:v>6.9776626210024534E-2</c:v>
                </c:pt>
                <c:pt idx="9">
                  <c:v>7.0138069729357877E-2</c:v>
                </c:pt>
                <c:pt idx="10">
                  <c:v>7.2556060753763793E-2</c:v>
                </c:pt>
                <c:pt idx="11">
                  <c:v>6.1217113710550011E-2</c:v>
                </c:pt>
                <c:pt idx="12">
                  <c:v>7.8777018443518199E-2</c:v>
                </c:pt>
                <c:pt idx="13">
                  <c:v>7.262782890483549E-2</c:v>
                </c:pt>
              </c:numCache>
            </c:numRef>
          </c:val>
          <c:extLst xmlns:c16r2="http://schemas.microsoft.com/office/drawing/2015/06/chart">
            <c:ext xmlns:c16="http://schemas.microsoft.com/office/drawing/2014/chart" uri="{C3380CC4-5D6E-409C-BE32-E72D297353CC}">
              <c16:uniqueId val="{00000002-2403-7044-A372-A00A5159CB0A}"/>
            </c:ext>
          </c:extLst>
        </c:ser>
        <c:ser>
          <c:idx val="3"/>
          <c:order val="3"/>
          <c:tx>
            <c:strRef>
              <c:f>Sheet1!$H$45</c:f>
              <c:strCache>
                <c:ptCount val="1"/>
                <c:pt idx="0">
                  <c:v>Permanent (National)</c:v>
                </c:pt>
              </c:strCache>
            </c:strRef>
          </c:tx>
          <c:spPr>
            <a:ln w="28575" cap="rnd">
              <a:solidFill>
                <a:schemeClr val="accent4"/>
              </a:solidFill>
              <a:round/>
            </a:ln>
            <a:effectLst/>
          </c:spPr>
          <c:marker>
            <c:symbol val="none"/>
          </c:marker>
          <c:cat>
            <c:strRef>
              <c:f>Sheet1!$A$46:$A$59</c:f>
              <c:strCache>
                <c:ptCount val="14"/>
                <c:pt idx="0">
                  <c:v>Sep 2015</c:v>
                </c:pt>
                <c:pt idx="1">
                  <c:v>Dec 2015</c:v>
                </c:pt>
                <c:pt idx="2">
                  <c:v>Mar 2016</c:v>
                </c:pt>
                <c:pt idx="3">
                  <c:v>Jun 2016</c:v>
                </c:pt>
                <c:pt idx="4">
                  <c:v>Sep 2016</c:v>
                </c:pt>
                <c:pt idx="5">
                  <c:v>Dec 2016</c:v>
                </c:pt>
                <c:pt idx="6">
                  <c:v>Mar 2017</c:v>
                </c:pt>
                <c:pt idx="7">
                  <c:v>Jun 2017</c:v>
                </c:pt>
                <c:pt idx="8">
                  <c:v>Sep 2017</c:v>
                </c:pt>
                <c:pt idx="9">
                  <c:v>Dec 2017</c:v>
                </c:pt>
                <c:pt idx="10">
                  <c:v>Mar 2018</c:v>
                </c:pt>
                <c:pt idx="11">
                  <c:v>Jun 2018</c:v>
                </c:pt>
                <c:pt idx="12">
                  <c:v>Sep 2018</c:v>
                </c:pt>
                <c:pt idx="13">
                  <c:v>Dec 2018</c:v>
                </c:pt>
              </c:strCache>
            </c:strRef>
          </c:cat>
          <c:val>
            <c:numRef>
              <c:f>Sheet1!$H$46:$H$59</c:f>
              <c:numCache>
                <c:formatCode>#,##0%</c:formatCode>
                <c:ptCount val="14"/>
                <c:pt idx="0">
                  <c:v>3.9961394409942314E-2</c:v>
                </c:pt>
                <c:pt idx="1">
                  <c:v>4.4720050871628739E-2</c:v>
                </c:pt>
                <c:pt idx="2">
                  <c:v>4.5174022828708076E-2</c:v>
                </c:pt>
                <c:pt idx="3">
                  <c:v>3.9996840793993342E-2</c:v>
                </c:pt>
                <c:pt idx="4">
                  <c:v>4.4524697456618058E-2</c:v>
                </c:pt>
                <c:pt idx="5">
                  <c:v>4.3003214793433442E-2</c:v>
                </c:pt>
                <c:pt idx="6">
                  <c:v>5.1102910102763806E-2</c:v>
                </c:pt>
                <c:pt idx="7">
                  <c:v>4.6347175446165262E-2</c:v>
                </c:pt>
                <c:pt idx="8">
                  <c:v>5.0326270662990273E-2</c:v>
                </c:pt>
                <c:pt idx="9">
                  <c:v>4.2256125764754293E-2</c:v>
                </c:pt>
                <c:pt idx="10">
                  <c:v>4.4346665216978075E-2</c:v>
                </c:pt>
                <c:pt idx="11">
                  <c:v>5.2161302825921796E-2</c:v>
                </c:pt>
                <c:pt idx="12">
                  <c:v>3.8369868258413001E-2</c:v>
                </c:pt>
                <c:pt idx="13">
                  <c:v>4.7879380731936511E-2</c:v>
                </c:pt>
              </c:numCache>
            </c:numRef>
          </c:val>
          <c:extLst xmlns:c16r2="http://schemas.microsoft.com/office/drawing/2015/06/chart">
            <c:ext xmlns:c16="http://schemas.microsoft.com/office/drawing/2014/chart" uri="{C3380CC4-5D6E-409C-BE32-E72D297353CC}">
              <c16:uniqueId val="{00000003-2403-7044-A372-A00A5159CB0A}"/>
            </c:ext>
          </c:extLst>
        </c:ser>
        <c:marker val="1"/>
        <c:axId val="160005504"/>
        <c:axId val="160023680"/>
      </c:lineChart>
      <c:catAx>
        <c:axId val="1600055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0023680"/>
        <c:crosses val="autoZero"/>
        <c:auto val="1"/>
        <c:lblAlgn val="ctr"/>
        <c:lblOffset val="100"/>
      </c:catAx>
      <c:valAx>
        <c:axId val="16002368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0005504"/>
        <c:crosses val="autoZero"/>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col"/>
        <c:grouping val="clustered"/>
        <c:ser>
          <c:idx val="0"/>
          <c:order val="0"/>
          <c:tx>
            <c:strRef>
              <c:f>'Recruit (without NA)'!$R$23</c:f>
              <c:strCache>
                <c:ptCount val="1"/>
                <c:pt idx="0">
                  <c:v>Metro</c:v>
                </c:pt>
              </c:strCache>
            </c:strRef>
          </c:tx>
          <c:spPr>
            <a:solidFill>
              <a:schemeClr val="accent1"/>
            </a:solidFill>
            <a:ln>
              <a:noFill/>
            </a:ln>
            <a:effectLst/>
          </c:spPr>
          <c:cat>
            <c:strRef>
              <c:f>'Recruit (without NA)'!$Q$24:$Q$28</c:f>
              <c:strCache>
                <c:ptCount val="5"/>
                <c:pt idx="0">
                  <c:v>Psychologist</c:v>
                </c:pt>
                <c:pt idx="1">
                  <c:v>Occupational therapist</c:v>
                </c:pt>
                <c:pt idx="2">
                  <c:v>Disability support worker</c:v>
                </c:pt>
                <c:pt idx="3">
                  <c:v>Speech therapist</c:v>
                </c:pt>
                <c:pt idx="4">
                  <c:v>Support Coordinator</c:v>
                </c:pt>
              </c:strCache>
            </c:strRef>
          </c:cat>
          <c:val>
            <c:numRef>
              <c:f>'Recruit (without NA)'!$R$24:$R$28</c:f>
              <c:numCache>
                <c:formatCode>0%</c:formatCode>
                <c:ptCount val="5"/>
                <c:pt idx="0">
                  <c:v>1</c:v>
                </c:pt>
                <c:pt idx="1">
                  <c:v>0.83333333333333348</c:v>
                </c:pt>
                <c:pt idx="2">
                  <c:v>0.5</c:v>
                </c:pt>
                <c:pt idx="3">
                  <c:v>0.75000000000000022</c:v>
                </c:pt>
                <c:pt idx="4">
                  <c:v>0.28571428571428586</c:v>
                </c:pt>
              </c:numCache>
            </c:numRef>
          </c:val>
          <c:extLst xmlns:c16r2="http://schemas.microsoft.com/office/drawing/2015/06/chart">
            <c:ext xmlns:c16="http://schemas.microsoft.com/office/drawing/2014/chart" uri="{C3380CC4-5D6E-409C-BE32-E72D297353CC}">
              <c16:uniqueId val="{00000000-3E48-6C4A-9CF6-360BAF822071}"/>
            </c:ext>
          </c:extLst>
        </c:ser>
        <c:ser>
          <c:idx val="1"/>
          <c:order val="1"/>
          <c:tx>
            <c:strRef>
              <c:f>'Recruit (without NA)'!$S$23</c:f>
              <c:strCache>
                <c:ptCount val="1"/>
                <c:pt idx="0">
                  <c:v>Regional</c:v>
                </c:pt>
              </c:strCache>
            </c:strRef>
          </c:tx>
          <c:spPr>
            <a:solidFill>
              <a:schemeClr val="accent2"/>
            </a:solidFill>
            <a:ln>
              <a:noFill/>
            </a:ln>
            <a:effectLst/>
          </c:spPr>
          <c:cat>
            <c:strRef>
              <c:f>'Recruit (without NA)'!$Q$24:$Q$28</c:f>
              <c:strCache>
                <c:ptCount val="5"/>
                <c:pt idx="0">
                  <c:v>Psychologist</c:v>
                </c:pt>
                <c:pt idx="1">
                  <c:v>Occupational therapist</c:v>
                </c:pt>
                <c:pt idx="2">
                  <c:v>Disability support worker</c:v>
                </c:pt>
                <c:pt idx="3">
                  <c:v>Speech therapist</c:v>
                </c:pt>
                <c:pt idx="4">
                  <c:v>Support Coordinator</c:v>
                </c:pt>
              </c:strCache>
            </c:strRef>
          </c:cat>
          <c:val>
            <c:numRef>
              <c:f>'Recruit (without NA)'!$S$24:$S$28</c:f>
              <c:numCache>
                <c:formatCode>0%</c:formatCode>
                <c:ptCount val="5"/>
                <c:pt idx="0">
                  <c:v>0.71000000000000019</c:v>
                </c:pt>
                <c:pt idx="1">
                  <c:v>0.5</c:v>
                </c:pt>
                <c:pt idx="2">
                  <c:v>0.52380952380952372</c:v>
                </c:pt>
                <c:pt idx="3">
                  <c:v>0.56000000000000005</c:v>
                </c:pt>
                <c:pt idx="4">
                  <c:v>0.66666666666666674</c:v>
                </c:pt>
              </c:numCache>
            </c:numRef>
          </c:val>
          <c:extLst xmlns:c16r2="http://schemas.microsoft.com/office/drawing/2015/06/chart">
            <c:ext xmlns:c16="http://schemas.microsoft.com/office/drawing/2014/chart" uri="{C3380CC4-5D6E-409C-BE32-E72D297353CC}">
              <c16:uniqueId val="{00000001-3E48-6C4A-9CF6-360BAF822071}"/>
            </c:ext>
          </c:extLst>
        </c:ser>
        <c:ser>
          <c:idx val="2"/>
          <c:order val="2"/>
          <c:tx>
            <c:strRef>
              <c:f>'Recruit (without NA)'!$T$23</c:f>
              <c:strCache>
                <c:ptCount val="1"/>
                <c:pt idx="0">
                  <c:v>State-wide</c:v>
                </c:pt>
              </c:strCache>
            </c:strRef>
          </c:tx>
          <c:spPr>
            <a:solidFill>
              <a:schemeClr val="accent3"/>
            </a:solidFill>
            <a:ln>
              <a:noFill/>
            </a:ln>
            <a:effectLst/>
          </c:spPr>
          <c:cat>
            <c:strRef>
              <c:f>'Recruit (without NA)'!$Q$24:$Q$28</c:f>
              <c:strCache>
                <c:ptCount val="5"/>
                <c:pt idx="0">
                  <c:v>Psychologist</c:v>
                </c:pt>
                <c:pt idx="1">
                  <c:v>Occupational therapist</c:v>
                </c:pt>
                <c:pt idx="2">
                  <c:v>Disability support worker</c:v>
                </c:pt>
                <c:pt idx="3">
                  <c:v>Speech therapist</c:v>
                </c:pt>
                <c:pt idx="4">
                  <c:v>Support Coordinator</c:v>
                </c:pt>
              </c:strCache>
            </c:strRef>
          </c:cat>
          <c:val>
            <c:numRef>
              <c:f>'Recruit (without NA)'!$T$24:$T$28</c:f>
              <c:numCache>
                <c:formatCode>0%</c:formatCode>
                <c:ptCount val="5"/>
                <c:pt idx="0">
                  <c:v>0.33000000000000013</c:v>
                </c:pt>
                <c:pt idx="1">
                  <c:v>0.4</c:v>
                </c:pt>
                <c:pt idx="2">
                  <c:v>0.47368421052631576</c:v>
                </c:pt>
                <c:pt idx="3">
                  <c:v>0.33000000000000013</c:v>
                </c:pt>
                <c:pt idx="4">
                  <c:v>0.52941176470588236</c:v>
                </c:pt>
              </c:numCache>
            </c:numRef>
          </c:val>
          <c:extLst xmlns:c16r2="http://schemas.microsoft.com/office/drawing/2015/06/chart">
            <c:ext xmlns:c16="http://schemas.microsoft.com/office/drawing/2014/chart" uri="{C3380CC4-5D6E-409C-BE32-E72D297353CC}">
              <c16:uniqueId val="{00000002-3E48-6C4A-9CF6-360BAF822071}"/>
            </c:ext>
          </c:extLst>
        </c:ser>
        <c:gapWidth val="219"/>
        <c:overlap val="-27"/>
        <c:axId val="160142080"/>
        <c:axId val="160143616"/>
      </c:barChart>
      <c:catAx>
        <c:axId val="1601420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0143616"/>
        <c:crosses val="autoZero"/>
        <c:auto val="1"/>
        <c:lblAlgn val="ctr"/>
        <c:lblOffset val="100"/>
      </c:catAx>
      <c:valAx>
        <c:axId val="160143616"/>
        <c:scaling>
          <c:orientation val="minMax"/>
          <c:max val="1"/>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01420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'RETAIN (without NA)'!$Q$13</c:f>
              <c:strCache>
                <c:ptCount val="1"/>
                <c:pt idx="0">
                  <c:v>Metro</c:v>
                </c:pt>
              </c:strCache>
            </c:strRef>
          </c:tx>
          <c:spPr>
            <a:solidFill>
              <a:schemeClr val="accent1"/>
            </a:solidFill>
            <a:ln>
              <a:noFill/>
            </a:ln>
            <a:effectLst/>
          </c:spPr>
          <c:cat>
            <c:strRef>
              <c:f>'RETAIN (without NA)'!$P$14:$P$18</c:f>
              <c:strCache>
                <c:ptCount val="5"/>
                <c:pt idx="0">
                  <c:v>Disability support worker</c:v>
                </c:pt>
                <c:pt idx="1">
                  <c:v>Psychologist</c:v>
                </c:pt>
                <c:pt idx="2">
                  <c:v>Support Coordinator</c:v>
                </c:pt>
                <c:pt idx="3">
                  <c:v>Managers / supervisors of disability support workers</c:v>
                </c:pt>
                <c:pt idx="4">
                  <c:v>Occupational therapist</c:v>
                </c:pt>
              </c:strCache>
            </c:strRef>
          </c:cat>
          <c:val>
            <c:numRef>
              <c:f>'RETAIN (without NA)'!$Q$14:$Q$18</c:f>
              <c:numCache>
                <c:formatCode>0%</c:formatCode>
                <c:ptCount val="5"/>
                <c:pt idx="0">
                  <c:v>6.25E-2</c:v>
                </c:pt>
                <c:pt idx="1">
                  <c:v>0.25</c:v>
                </c:pt>
                <c:pt idx="2">
                  <c:v>8.3333333333333343E-2</c:v>
                </c:pt>
                <c:pt idx="3">
                  <c:v>6.666666666666668E-2</c:v>
                </c:pt>
                <c:pt idx="4">
                  <c:v>0.33333333333333331</c:v>
                </c:pt>
              </c:numCache>
            </c:numRef>
          </c:val>
          <c:extLst xmlns:c16r2="http://schemas.microsoft.com/office/drawing/2015/06/chart">
            <c:ext xmlns:c16="http://schemas.microsoft.com/office/drawing/2014/chart" uri="{C3380CC4-5D6E-409C-BE32-E72D297353CC}">
              <c16:uniqueId val="{00000000-6571-E84D-8B46-61CF037B5224}"/>
            </c:ext>
          </c:extLst>
        </c:ser>
        <c:ser>
          <c:idx val="1"/>
          <c:order val="1"/>
          <c:tx>
            <c:strRef>
              <c:f>'RETAIN (without NA)'!$R$13</c:f>
              <c:strCache>
                <c:ptCount val="1"/>
                <c:pt idx="0">
                  <c:v>Regional</c:v>
                </c:pt>
              </c:strCache>
            </c:strRef>
          </c:tx>
          <c:spPr>
            <a:solidFill>
              <a:schemeClr val="accent2"/>
            </a:solidFill>
            <a:ln>
              <a:noFill/>
            </a:ln>
            <a:effectLst/>
          </c:spPr>
          <c:cat>
            <c:strRef>
              <c:f>'RETAIN (without NA)'!$P$14:$P$18</c:f>
              <c:strCache>
                <c:ptCount val="5"/>
                <c:pt idx="0">
                  <c:v>Disability support worker</c:v>
                </c:pt>
                <c:pt idx="1">
                  <c:v>Psychologist</c:v>
                </c:pt>
                <c:pt idx="2">
                  <c:v>Support Coordinator</c:v>
                </c:pt>
                <c:pt idx="3">
                  <c:v>Managers / supervisors of disability support workers</c:v>
                </c:pt>
                <c:pt idx="4">
                  <c:v>Occupational therapist</c:v>
                </c:pt>
              </c:strCache>
            </c:strRef>
          </c:cat>
          <c:val>
            <c:numRef>
              <c:f>'RETAIN (without NA)'!$R$14:$R$18</c:f>
              <c:numCache>
                <c:formatCode>0%</c:formatCode>
                <c:ptCount val="5"/>
                <c:pt idx="0">
                  <c:v>0.19047619047619058</c:v>
                </c:pt>
                <c:pt idx="1">
                  <c:v>0.16666666666666666</c:v>
                </c:pt>
                <c:pt idx="2">
                  <c:v>0.18750000000000006</c:v>
                </c:pt>
                <c:pt idx="3">
                  <c:v>0.125</c:v>
                </c:pt>
                <c:pt idx="4">
                  <c:v>0</c:v>
                </c:pt>
              </c:numCache>
            </c:numRef>
          </c:val>
          <c:extLst xmlns:c16r2="http://schemas.microsoft.com/office/drawing/2015/06/chart">
            <c:ext xmlns:c16="http://schemas.microsoft.com/office/drawing/2014/chart" uri="{C3380CC4-5D6E-409C-BE32-E72D297353CC}">
              <c16:uniqueId val="{00000001-6571-E84D-8B46-61CF037B5224}"/>
            </c:ext>
          </c:extLst>
        </c:ser>
        <c:ser>
          <c:idx val="2"/>
          <c:order val="2"/>
          <c:tx>
            <c:strRef>
              <c:f>'RETAIN (without NA)'!$S$13</c:f>
              <c:strCache>
                <c:ptCount val="1"/>
                <c:pt idx="0">
                  <c:v>State-wide</c:v>
                </c:pt>
              </c:strCache>
            </c:strRef>
          </c:tx>
          <c:spPr>
            <a:solidFill>
              <a:schemeClr val="accent3"/>
            </a:solidFill>
            <a:ln>
              <a:noFill/>
            </a:ln>
            <a:effectLst/>
          </c:spPr>
          <c:cat>
            <c:strRef>
              <c:f>'RETAIN (without NA)'!$P$14:$P$18</c:f>
              <c:strCache>
                <c:ptCount val="5"/>
                <c:pt idx="0">
                  <c:v>Disability support worker</c:v>
                </c:pt>
                <c:pt idx="1">
                  <c:v>Psychologist</c:v>
                </c:pt>
                <c:pt idx="2">
                  <c:v>Support Coordinator</c:v>
                </c:pt>
                <c:pt idx="3">
                  <c:v>Managers / supervisors of disability support workers</c:v>
                </c:pt>
                <c:pt idx="4">
                  <c:v>Occupational therapist</c:v>
                </c:pt>
              </c:strCache>
            </c:strRef>
          </c:cat>
          <c:val>
            <c:numRef>
              <c:f>'RETAIN (without NA)'!$S$14:$S$18</c:f>
              <c:numCache>
                <c:formatCode>0%</c:formatCode>
                <c:ptCount val="5"/>
                <c:pt idx="0">
                  <c:v>0.27777777777777796</c:v>
                </c:pt>
                <c:pt idx="1">
                  <c:v>0.1111111111111111</c:v>
                </c:pt>
                <c:pt idx="2">
                  <c:v>0.13333333333333339</c:v>
                </c:pt>
                <c:pt idx="3">
                  <c:v>0.21052631578947376</c:v>
                </c:pt>
                <c:pt idx="4">
                  <c:v>0</c:v>
                </c:pt>
              </c:numCache>
            </c:numRef>
          </c:val>
          <c:extLst xmlns:c16r2="http://schemas.microsoft.com/office/drawing/2015/06/chart">
            <c:ext xmlns:c16="http://schemas.microsoft.com/office/drawing/2014/chart" uri="{C3380CC4-5D6E-409C-BE32-E72D297353CC}">
              <c16:uniqueId val="{00000002-6571-E84D-8B46-61CF037B5224}"/>
            </c:ext>
          </c:extLst>
        </c:ser>
        <c:gapWidth val="219"/>
        <c:overlap val="-27"/>
        <c:axId val="159344896"/>
        <c:axId val="159358976"/>
      </c:barChart>
      <c:catAx>
        <c:axId val="1593448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9358976"/>
        <c:crosses val="autoZero"/>
        <c:auto val="1"/>
        <c:lblAlgn val="ctr"/>
        <c:lblOffset val="100"/>
      </c:catAx>
      <c:valAx>
        <c:axId val="15935897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9344896"/>
        <c:crosses val="autoZero"/>
        <c:crossBetween val="between"/>
        <c:majorUnit val="0.1"/>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bar"/>
        <c:grouping val="stacked"/>
        <c:ser>
          <c:idx val="0"/>
          <c:order val="0"/>
          <c:tx>
            <c:strRef>
              <c:f>'Areas improve'!$E$98</c:f>
              <c:strCache>
                <c:ptCount val="1"/>
                <c:pt idx="0">
                  <c:v>1st-ranked</c:v>
                </c:pt>
              </c:strCache>
            </c:strRef>
          </c:tx>
          <c:spPr>
            <a:solidFill>
              <a:schemeClr val="accent1"/>
            </a:solidFill>
            <a:ln>
              <a:noFill/>
            </a:ln>
            <a:effectLst/>
          </c:spPr>
          <c:cat>
            <c:strRef>
              <c:f>'Areas improve'!$G$97:$I$97</c:f>
              <c:strCache>
                <c:ptCount val="3"/>
                <c:pt idx="0">
                  <c:v>Metro</c:v>
                </c:pt>
                <c:pt idx="1">
                  <c:v>Regional</c:v>
                </c:pt>
                <c:pt idx="2">
                  <c:v>State-wide</c:v>
                </c:pt>
              </c:strCache>
            </c:strRef>
          </c:cat>
          <c:val>
            <c:numRef>
              <c:f>'Areas improve'!$G$98:$I$98</c:f>
              <c:numCache>
                <c:formatCode>0%</c:formatCode>
                <c:ptCount val="3"/>
                <c:pt idx="0">
                  <c:v>0.27272727272727282</c:v>
                </c:pt>
                <c:pt idx="1">
                  <c:v>0.2</c:v>
                </c:pt>
                <c:pt idx="2">
                  <c:v>0.6000000000000002</c:v>
                </c:pt>
              </c:numCache>
            </c:numRef>
          </c:val>
          <c:extLst xmlns:c16r2="http://schemas.microsoft.com/office/drawing/2015/06/chart">
            <c:ext xmlns:c16="http://schemas.microsoft.com/office/drawing/2014/chart" uri="{C3380CC4-5D6E-409C-BE32-E72D297353CC}">
              <c16:uniqueId val="{00000000-58F2-9245-8EFE-72CF1CC5D418}"/>
            </c:ext>
          </c:extLst>
        </c:ser>
        <c:ser>
          <c:idx val="1"/>
          <c:order val="1"/>
          <c:tx>
            <c:strRef>
              <c:f>'Areas improve'!$E$99</c:f>
              <c:strCache>
                <c:ptCount val="1"/>
                <c:pt idx="0">
                  <c:v>2nd-ranked</c:v>
                </c:pt>
              </c:strCache>
            </c:strRef>
          </c:tx>
          <c:spPr>
            <a:solidFill>
              <a:schemeClr val="accent2"/>
            </a:solidFill>
            <a:ln>
              <a:noFill/>
            </a:ln>
            <a:effectLst/>
          </c:spPr>
          <c:cat>
            <c:strRef>
              <c:f>'Areas improve'!$G$97:$I$97</c:f>
              <c:strCache>
                <c:ptCount val="3"/>
                <c:pt idx="0">
                  <c:v>Metro</c:v>
                </c:pt>
                <c:pt idx="1">
                  <c:v>Regional</c:v>
                </c:pt>
                <c:pt idx="2">
                  <c:v>State-wide</c:v>
                </c:pt>
              </c:strCache>
            </c:strRef>
          </c:cat>
          <c:val>
            <c:numRef>
              <c:f>'Areas improve'!$G$99:$I$99</c:f>
              <c:numCache>
                <c:formatCode>0%</c:formatCode>
                <c:ptCount val="3"/>
                <c:pt idx="0">
                  <c:v>0.27272727272727282</c:v>
                </c:pt>
                <c:pt idx="1">
                  <c:v>0.26666666666666677</c:v>
                </c:pt>
                <c:pt idx="2">
                  <c:v>0.4</c:v>
                </c:pt>
              </c:numCache>
            </c:numRef>
          </c:val>
          <c:extLst xmlns:c16r2="http://schemas.microsoft.com/office/drawing/2015/06/chart">
            <c:ext xmlns:c16="http://schemas.microsoft.com/office/drawing/2014/chart" uri="{C3380CC4-5D6E-409C-BE32-E72D297353CC}">
              <c16:uniqueId val="{00000001-58F2-9245-8EFE-72CF1CC5D418}"/>
            </c:ext>
          </c:extLst>
        </c:ser>
        <c:ser>
          <c:idx val="2"/>
          <c:order val="2"/>
          <c:tx>
            <c:strRef>
              <c:f>'Areas improve'!$E$100</c:f>
              <c:strCache>
                <c:ptCount val="1"/>
                <c:pt idx="0">
                  <c:v>3rd-ranked</c:v>
                </c:pt>
              </c:strCache>
            </c:strRef>
          </c:tx>
          <c:spPr>
            <a:solidFill>
              <a:schemeClr val="accent3"/>
            </a:solidFill>
            <a:ln>
              <a:noFill/>
            </a:ln>
            <a:effectLst/>
          </c:spPr>
          <c:cat>
            <c:strRef>
              <c:f>'Areas improve'!$G$97:$I$97</c:f>
              <c:strCache>
                <c:ptCount val="3"/>
                <c:pt idx="0">
                  <c:v>Metro</c:v>
                </c:pt>
                <c:pt idx="1">
                  <c:v>Regional</c:v>
                </c:pt>
                <c:pt idx="2">
                  <c:v>State-wide</c:v>
                </c:pt>
              </c:strCache>
            </c:strRef>
          </c:cat>
          <c:val>
            <c:numRef>
              <c:f>'Areas improve'!$G$100:$I$100</c:f>
              <c:numCache>
                <c:formatCode>0%</c:formatCode>
                <c:ptCount val="3"/>
                <c:pt idx="0">
                  <c:v>0.27272727272727282</c:v>
                </c:pt>
                <c:pt idx="1">
                  <c:v>0.26666666666666677</c:v>
                </c:pt>
                <c:pt idx="2">
                  <c:v>0</c:v>
                </c:pt>
              </c:numCache>
            </c:numRef>
          </c:val>
          <c:extLst xmlns:c16r2="http://schemas.microsoft.com/office/drawing/2015/06/chart">
            <c:ext xmlns:c16="http://schemas.microsoft.com/office/drawing/2014/chart" uri="{C3380CC4-5D6E-409C-BE32-E72D297353CC}">
              <c16:uniqueId val="{00000002-58F2-9245-8EFE-72CF1CC5D418}"/>
            </c:ext>
          </c:extLst>
        </c:ser>
        <c:ser>
          <c:idx val="3"/>
          <c:order val="3"/>
          <c:tx>
            <c:strRef>
              <c:f>'Areas improve'!$E$101</c:f>
              <c:strCache>
                <c:ptCount val="1"/>
                <c:pt idx="0">
                  <c:v>4th-ranked</c:v>
                </c:pt>
              </c:strCache>
            </c:strRef>
          </c:tx>
          <c:spPr>
            <a:solidFill>
              <a:schemeClr val="accent4"/>
            </a:solidFill>
            <a:ln>
              <a:noFill/>
            </a:ln>
            <a:effectLst/>
          </c:spPr>
          <c:cat>
            <c:strRef>
              <c:f>'Areas improve'!$G$97:$I$97</c:f>
              <c:strCache>
                <c:ptCount val="3"/>
                <c:pt idx="0">
                  <c:v>Metro</c:v>
                </c:pt>
                <c:pt idx="1">
                  <c:v>Regional</c:v>
                </c:pt>
                <c:pt idx="2">
                  <c:v>State-wide</c:v>
                </c:pt>
              </c:strCache>
            </c:strRef>
          </c:cat>
          <c:val>
            <c:numRef>
              <c:f>'Areas improve'!$G$101:$I$101</c:f>
              <c:numCache>
                <c:formatCode>0%</c:formatCode>
                <c:ptCount val="3"/>
                <c:pt idx="0">
                  <c:v>9.0909090909090981E-2</c:v>
                </c:pt>
                <c:pt idx="1">
                  <c:v>6.666666666666668E-2</c:v>
                </c:pt>
                <c:pt idx="2">
                  <c:v>0</c:v>
                </c:pt>
              </c:numCache>
            </c:numRef>
          </c:val>
          <c:extLst xmlns:c16r2="http://schemas.microsoft.com/office/drawing/2015/06/chart">
            <c:ext xmlns:c16="http://schemas.microsoft.com/office/drawing/2014/chart" uri="{C3380CC4-5D6E-409C-BE32-E72D297353CC}">
              <c16:uniqueId val="{00000003-58F2-9245-8EFE-72CF1CC5D418}"/>
            </c:ext>
          </c:extLst>
        </c:ser>
        <c:ser>
          <c:idx val="4"/>
          <c:order val="4"/>
          <c:tx>
            <c:strRef>
              <c:f>'Areas improve'!$E$102</c:f>
              <c:strCache>
                <c:ptCount val="1"/>
                <c:pt idx="0">
                  <c:v>5th-ranked</c:v>
                </c:pt>
              </c:strCache>
            </c:strRef>
          </c:tx>
          <c:spPr>
            <a:solidFill>
              <a:schemeClr val="accent5"/>
            </a:solidFill>
            <a:ln>
              <a:noFill/>
            </a:ln>
            <a:effectLst/>
          </c:spPr>
          <c:cat>
            <c:strRef>
              <c:f>'Areas improve'!$G$97:$I$97</c:f>
              <c:strCache>
                <c:ptCount val="3"/>
                <c:pt idx="0">
                  <c:v>Metro</c:v>
                </c:pt>
                <c:pt idx="1">
                  <c:v>Regional</c:v>
                </c:pt>
                <c:pt idx="2">
                  <c:v>State-wide</c:v>
                </c:pt>
              </c:strCache>
            </c:strRef>
          </c:cat>
          <c:val>
            <c:numRef>
              <c:f>'Areas improve'!$G$102:$I$102</c:f>
              <c:numCache>
                <c:formatCode>0%</c:formatCode>
                <c:ptCount val="3"/>
                <c:pt idx="0">
                  <c:v>9.0909090909090981E-2</c:v>
                </c:pt>
                <c:pt idx="1">
                  <c:v>0.2</c:v>
                </c:pt>
                <c:pt idx="2">
                  <c:v>0</c:v>
                </c:pt>
              </c:numCache>
            </c:numRef>
          </c:val>
          <c:extLst xmlns:c16r2="http://schemas.microsoft.com/office/drawing/2015/06/chart">
            <c:ext xmlns:c16="http://schemas.microsoft.com/office/drawing/2014/chart" uri="{C3380CC4-5D6E-409C-BE32-E72D297353CC}">
              <c16:uniqueId val="{00000004-58F2-9245-8EFE-72CF1CC5D418}"/>
            </c:ext>
          </c:extLst>
        </c:ser>
        <c:overlap val="100"/>
        <c:axId val="161106944"/>
        <c:axId val="161133312"/>
      </c:barChart>
      <c:catAx>
        <c:axId val="16110694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133312"/>
        <c:crosses val="autoZero"/>
        <c:auto val="1"/>
        <c:lblAlgn val="ctr"/>
        <c:lblOffset val="100"/>
      </c:catAx>
      <c:valAx>
        <c:axId val="161133312"/>
        <c:scaling>
          <c:orientation val="minMax"/>
          <c:max val="1"/>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1069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'Requests for services unable'!$B$55</c:f>
              <c:strCache>
                <c:ptCount val="1"/>
                <c:pt idx="0">
                  <c:v>Victoria</c:v>
                </c:pt>
              </c:strCache>
            </c:strRef>
          </c:tx>
          <c:spPr>
            <a:solidFill>
              <a:schemeClr val="accent1"/>
            </a:solidFill>
            <a:ln>
              <a:noFill/>
            </a:ln>
            <a:effectLst/>
          </c:spPr>
          <c:cat>
            <c:strRef>
              <c:f>'Requests for services unable'!$A$56:$A$61</c:f>
              <c:strCache>
                <c:ptCount val="6"/>
                <c:pt idx="0">
                  <c:v>I don't know</c:v>
                </c:pt>
                <c:pt idx="1">
                  <c:v>I expect client needs will be fully met by other organisation(s)</c:v>
                </c:pt>
                <c:pt idx="2">
                  <c:v>I expect some client needs will not be met by other organisation(s)</c:v>
                </c:pt>
                <c:pt idx="3">
                  <c:v>I expect the family of the client or other unpaid supporters will provide the service</c:v>
                </c:pt>
                <c:pt idx="4">
                  <c:v>I expect these clients needs won't be met and they will go without service</c:v>
                </c:pt>
                <c:pt idx="5">
                  <c:v>Other (please specify)</c:v>
                </c:pt>
              </c:strCache>
            </c:strRef>
          </c:cat>
          <c:val>
            <c:numRef>
              <c:f>'Requests for services unable'!$B$56:$B$61</c:f>
              <c:numCache>
                <c:formatCode>0%</c:formatCode>
                <c:ptCount val="6"/>
                <c:pt idx="0">
                  <c:v>6.1538461538461556E-2</c:v>
                </c:pt>
                <c:pt idx="1">
                  <c:v>0.12307692307692314</c:v>
                </c:pt>
                <c:pt idx="2">
                  <c:v>0.36923076923076942</c:v>
                </c:pt>
                <c:pt idx="3">
                  <c:v>7.6923076923076927E-2</c:v>
                </c:pt>
                <c:pt idx="4">
                  <c:v>0.29230769230769243</c:v>
                </c:pt>
                <c:pt idx="5">
                  <c:v>7.6923076923076927E-2</c:v>
                </c:pt>
              </c:numCache>
            </c:numRef>
          </c:val>
          <c:extLst xmlns:c16r2="http://schemas.microsoft.com/office/drawing/2015/06/chart">
            <c:ext xmlns:c16="http://schemas.microsoft.com/office/drawing/2014/chart" uri="{C3380CC4-5D6E-409C-BE32-E72D297353CC}">
              <c16:uniqueId val="{00000000-D23A-E24E-B934-4BD4A2D38129}"/>
            </c:ext>
          </c:extLst>
        </c:ser>
        <c:ser>
          <c:idx val="1"/>
          <c:order val="1"/>
          <c:tx>
            <c:strRef>
              <c:f>'Requests for services unable'!$C$55</c:f>
              <c:strCache>
                <c:ptCount val="1"/>
                <c:pt idx="0">
                  <c:v>National</c:v>
                </c:pt>
              </c:strCache>
            </c:strRef>
          </c:tx>
          <c:spPr>
            <a:solidFill>
              <a:schemeClr val="accent2"/>
            </a:solidFill>
            <a:ln>
              <a:noFill/>
            </a:ln>
            <a:effectLst/>
          </c:spPr>
          <c:cat>
            <c:strRef>
              <c:f>'Requests for services unable'!$A$56:$A$61</c:f>
              <c:strCache>
                <c:ptCount val="6"/>
                <c:pt idx="0">
                  <c:v>I don't know</c:v>
                </c:pt>
                <c:pt idx="1">
                  <c:v>I expect client needs will be fully met by other organisation(s)</c:v>
                </c:pt>
                <c:pt idx="2">
                  <c:v>I expect some client needs will not be met by other organisation(s)</c:v>
                </c:pt>
                <c:pt idx="3">
                  <c:v>I expect the family of the client or other unpaid supporters will provide the service</c:v>
                </c:pt>
                <c:pt idx="4">
                  <c:v>I expect these clients needs won't be met and they will go without service</c:v>
                </c:pt>
                <c:pt idx="5">
                  <c:v>Other (please specify)</c:v>
                </c:pt>
              </c:strCache>
            </c:strRef>
          </c:cat>
          <c:val>
            <c:numRef>
              <c:f>'Requests for services unable'!$C$56:$C$61</c:f>
              <c:numCache>
                <c:formatCode>0%</c:formatCode>
                <c:ptCount val="6"/>
                <c:pt idx="0">
                  <c:v>5.2447552447552448E-2</c:v>
                </c:pt>
                <c:pt idx="1">
                  <c:v>0.2062937062937063</c:v>
                </c:pt>
                <c:pt idx="2">
                  <c:v>0.30419580419580433</c:v>
                </c:pt>
                <c:pt idx="3">
                  <c:v>5.2447552447552448E-2</c:v>
                </c:pt>
                <c:pt idx="4">
                  <c:v>0.34265734265734266</c:v>
                </c:pt>
                <c:pt idx="5">
                  <c:v>4.1958041958041981E-2</c:v>
                </c:pt>
              </c:numCache>
            </c:numRef>
          </c:val>
          <c:extLst xmlns:c16r2="http://schemas.microsoft.com/office/drawing/2015/06/chart">
            <c:ext xmlns:c16="http://schemas.microsoft.com/office/drawing/2014/chart" uri="{C3380CC4-5D6E-409C-BE32-E72D297353CC}">
              <c16:uniqueId val="{00000001-D23A-E24E-B934-4BD4A2D38129}"/>
            </c:ext>
          </c:extLst>
        </c:ser>
        <c:gapWidth val="219"/>
        <c:overlap val="-27"/>
        <c:axId val="162012544"/>
        <c:axId val="162022528"/>
      </c:barChart>
      <c:catAx>
        <c:axId val="162012544"/>
        <c:scaling>
          <c:orientation val="minMax"/>
        </c:scaling>
        <c:axPos val="b"/>
        <c:numFmt formatCode="@" sourceLinked="0"/>
        <c:maj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2022528"/>
        <c:crosses val="autoZero"/>
        <c:lblAlgn val="ctr"/>
        <c:lblOffset val="100"/>
      </c:catAx>
      <c:valAx>
        <c:axId val="16202252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2012544"/>
        <c:crosses val="autoZero"/>
        <c:crossBetween val="between"/>
        <c:majorUnit val="0.1"/>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'Services unable to provide'!$C$31</c:f>
              <c:strCache>
                <c:ptCount val="1"/>
                <c:pt idx="0">
                  <c:v>Metro</c:v>
                </c:pt>
              </c:strCache>
            </c:strRef>
          </c:tx>
          <c:spPr>
            <a:solidFill>
              <a:schemeClr val="accent1"/>
            </a:solidFill>
            <a:ln>
              <a:noFill/>
            </a:ln>
            <a:effectLst/>
          </c:spPr>
          <c:cat>
            <c:strRef>
              <c:f>'Services unable to provide'!$A$32:$A$37</c:f>
              <c:strCache>
                <c:ptCount val="6"/>
                <c:pt idx="0">
                  <c:v>I don't know</c:v>
                </c:pt>
                <c:pt idx="1">
                  <c:v>I expect client needs will be fully met by other organisation(s)</c:v>
                </c:pt>
                <c:pt idx="2">
                  <c:v>I expect some client needs will not be met by other organisation(s)</c:v>
                </c:pt>
                <c:pt idx="3">
                  <c:v>I expect the family of the client or other unpaid supporters will provide the service</c:v>
                </c:pt>
                <c:pt idx="4">
                  <c:v>I expect these clients needs won't be met and they will go without service</c:v>
                </c:pt>
                <c:pt idx="5">
                  <c:v>Other (please specify)</c:v>
                </c:pt>
              </c:strCache>
            </c:strRef>
          </c:cat>
          <c:val>
            <c:numRef>
              <c:f>'Services unable to provide'!$C$32:$C$37</c:f>
              <c:numCache>
                <c:formatCode>0%</c:formatCode>
                <c:ptCount val="6"/>
                <c:pt idx="0">
                  <c:v>7.407407407407407E-2</c:v>
                </c:pt>
                <c:pt idx="1">
                  <c:v>7.407407407407407E-2</c:v>
                </c:pt>
                <c:pt idx="2">
                  <c:v>0.37037037037037057</c:v>
                </c:pt>
                <c:pt idx="3">
                  <c:v>0</c:v>
                </c:pt>
                <c:pt idx="4">
                  <c:v>0.40740740740740738</c:v>
                </c:pt>
                <c:pt idx="5">
                  <c:v>7.407407407407407E-2</c:v>
                </c:pt>
              </c:numCache>
            </c:numRef>
          </c:val>
          <c:extLst xmlns:c16r2="http://schemas.microsoft.com/office/drawing/2015/06/chart">
            <c:ext xmlns:c16="http://schemas.microsoft.com/office/drawing/2014/chart" uri="{C3380CC4-5D6E-409C-BE32-E72D297353CC}">
              <c16:uniqueId val="{00000000-B4E4-4B43-AE17-C0405820FBB0}"/>
            </c:ext>
          </c:extLst>
        </c:ser>
        <c:ser>
          <c:idx val="1"/>
          <c:order val="1"/>
          <c:tx>
            <c:strRef>
              <c:f>'Services unable to provide'!$D$31</c:f>
              <c:strCache>
                <c:ptCount val="1"/>
                <c:pt idx="0">
                  <c:v>Regional</c:v>
                </c:pt>
              </c:strCache>
            </c:strRef>
          </c:tx>
          <c:spPr>
            <a:solidFill>
              <a:schemeClr val="accent2"/>
            </a:solidFill>
            <a:ln>
              <a:noFill/>
            </a:ln>
            <a:effectLst/>
          </c:spPr>
          <c:cat>
            <c:strRef>
              <c:f>'Services unable to provide'!$A$32:$A$37</c:f>
              <c:strCache>
                <c:ptCount val="6"/>
                <c:pt idx="0">
                  <c:v>I don't know</c:v>
                </c:pt>
                <c:pt idx="1">
                  <c:v>I expect client needs will be fully met by other organisation(s)</c:v>
                </c:pt>
                <c:pt idx="2">
                  <c:v>I expect some client needs will not be met by other organisation(s)</c:v>
                </c:pt>
                <c:pt idx="3">
                  <c:v>I expect the family of the client or other unpaid supporters will provide the service</c:v>
                </c:pt>
                <c:pt idx="4">
                  <c:v>I expect these clients needs won't be met and they will go without service</c:v>
                </c:pt>
                <c:pt idx="5">
                  <c:v>Other (please specify)</c:v>
                </c:pt>
              </c:strCache>
            </c:strRef>
          </c:cat>
          <c:val>
            <c:numRef>
              <c:f>'Services unable to provide'!$D$32:$D$37</c:f>
              <c:numCache>
                <c:formatCode>0%</c:formatCode>
                <c:ptCount val="6"/>
                <c:pt idx="0">
                  <c:v>0</c:v>
                </c:pt>
                <c:pt idx="1">
                  <c:v>0.2</c:v>
                </c:pt>
                <c:pt idx="2">
                  <c:v>0.3000000000000001</c:v>
                </c:pt>
                <c:pt idx="3">
                  <c:v>0.1</c:v>
                </c:pt>
                <c:pt idx="4">
                  <c:v>0.25</c:v>
                </c:pt>
                <c:pt idx="5">
                  <c:v>0.15000000000000005</c:v>
                </c:pt>
              </c:numCache>
            </c:numRef>
          </c:val>
          <c:extLst xmlns:c16r2="http://schemas.microsoft.com/office/drawing/2015/06/chart">
            <c:ext xmlns:c16="http://schemas.microsoft.com/office/drawing/2014/chart" uri="{C3380CC4-5D6E-409C-BE32-E72D297353CC}">
              <c16:uniqueId val="{00000001-B4E4-4B43-AE17-C0405820FBB0}"/>
            </c:ext>
          </c:extLst>
        </c:ser>
        <c:ser>
          <c:idx val="2"/>
          <c:order val="2"/>
          <c:tx>
            <c:strRef>
              <c:f>'Services unable to provide'!$E$31</c:f>
              <c:strCache>
                <c:ptCount val="1"/>
                <c:pt idx="0">
                  <c:v>State-wide</c:v>
                </c:pt>
              </c:strCache>
            </c:strRef>
          </c:tx>
          <c:spPr>
            <a:solidFill>
              <a:schemeClr val="accent3"/>
            </a:solidFill>
            <a:ln>
              <a:noFill/>
            </a:ln>
            <a:effectLst/>
          </c:spPr>
          <c:cat>
            <c:strRef>
              <c:f>'Services unable to provide'!$A$32:$A$37</c:f>
              <c:strCache>
                <c:ptCount val="6"/>
                <c:pt idx="0">
                  <c:v>I don't know</c:v>
                </c:pt>
                <c:pt idx="1">
                  <c:v>I expect client needs will be fully met by other organisation(s)</c:v>
                </c:pt>
                <c:pt idx="2">
                  <c:v>I expect some client needs will not be met by other organisation(s)</c:v>
                </c:pt>
                <c:pt idx="3">
                  <c:v>I expect the family of the client or other unpaid supporters will provide the service</c:v>
                </c:pt>
                <c:pt idx="4">
                  <c:v>I expect these clients needs won't be met and they will go without service</c:v>
                </c:pt>
                <c:pt idx="5">
                  <c:v>Other (please specify)</c:v>
                </c:pt>
              </c:strCache>
            </c:strRef>
          </c:cat>
          <c:val>
            <c:numRef>
              <c:f>'Services unable to provide'!$E$32:$E$37</c:f>
              <c:numCache>
                <c:formatCode>0%</c:formatCode>
                <c:ptCount val="6"/>
                <c:pt idx="0">
                  <c:v>0.1111111111111111</c:v>
                </c:pt>
                <c:pt idx="1">
                  <c:v>0.1111111111111111</c:v>
                </c:pt>
                <c:pt idx="2">
                  <c:v>0.44444444444444442</c:v>
                </c:pt>
                <c:pt idx="3">
                  <c:v>0.16666666666666666</c:v>
                </c:pt>
                <c:pt idx="4">
                  <c:v>0.16666666666666666</c:v>
                </c:pt>
                <c:pt idx="5">
                  <c:v>0</c:v>
                </c:pt>
              </c:numCache>
            </c:numRef>
          </c:val>
          <c:extLst xmlns:c16r2="http://schemas.microsoft.com/office/drawing/2015/06/chart">
            <c:ext xmlns:c16="http://schemas.microsoft.com/office/drawing/2014/chart" uri="{C3380CC4-5D6E-409C-BE32-E72D297353CC}">
              <c16:uniqueId val="{00000002-B4E4-4B43-AE17-C0405820FBB0}"/>
            </c:ext>
          </c:extLst>
        </c:ser>
        <c:gapWidth val="219"/>
        <c:overlap val="-27"/>
        <c:axId val="162058624"/>
        <c:axId val="162060160"/>
      </c:barChart>
      <c:catAx>
        <c:axId val="1620586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2060160"/>
        <c:crosses val="autoZero"/>
        <c:auto val="1"/>
        <c:lblAlgn val="ctr"/>
        <c:lblOffset val="100"/>
      </c:catAx>
      <c:valAx>
        <c:axId val="16206016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2058624"/>
        <c:crosses val="autoZero"/>
        <c:crossBetween val="between"/>
        <c:majorUnit val="0.1"/>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Merger!$V$4</c:f>
              <c:strCache>
                <c:ptCount val="1"/>
                <c:pt idx="0">
                  <c:v>Metro</c:v>
                </c:pt>
              </c:strCache>
            </c:strRef>
          </c:tx>
          <c:spPr>
            <a:solidFill>
              <a:schemeClr val="accent1"/>
            </a:solidFill>
            <a:ln>
              <a:noFill/>
            </a:ln>
            <a:effectLst/>
          </c:spPr>
          <c:cat>
            <c:strRef>
              <c:f>Merger!$W$3:$Z$3</c:f>
              <c:strCache>
                <c:ptCount val="4"/>
                <c:pt idx="0">
                  <c:v>Discussed merger</c:v>
                </c:pt>
                <c:pt idx="1">
                  <c:v>Planning to undertake a merger</c:v>
                </c:pt>
                <c:pt idx="2">
                  <c:v>Currently undertaking a merger</c:v>
                </c:pt>
                <c:pt idx="3">
                  <c:v>Completed a merger in the last 12 months</c:v>
                </c:pt>
              </c:strCache>
            </c:strRef>
          </c:cat>
          <c:val>
            <c:numRef>
              <c:f>Merger!$W$4:$Z$4</c:f>
              <c:numCache>
                <c:formatCode>0%</c:formatCode>
                <c:ptCount val="4"/>
                <c:pt idx="0">
                  <c:v>0.35294117647058826</c:v>
                </c:pt>
                <c:pt idx="1">
                  <c:v>6.666666666666668E-2</c:v>
                </c:pt>
                <c:pt idx="2">
                  <c:v>3.333333333333334E-2</c:v>
                </c:pt>
                <c:pt idx="3">
                  <c:v>3.333333333333334E-2</c:v>
                </c:pt>
              </c:numCache>
            </c:numRef>
          </c:val>
          <c:extLst xmlns:c16r2="http://schemas.microsoft.com/office/drawing/2015/06/chart">
            <c:ext xmlns:c16="http://schemas.microsoft.com/office/drawing/2014/chart" uri="{C3380CC4-5D6E-409C-BE32-E72D297353CC}">
              <c16:uniqueId val="{00000000-2B39-D440-A66F-4948384FEED7}"/>
            </c:ext>
          </c:extLst>
        </c:ser>
        <c:ser>
          <c:idx val="1"/>
          <c:order val="1"/>
          <c:tx>
            <c:strRef>
              <c:f>Merger!$V$5</c:f>
              <c:strCache>
                <c:ptCount val="1"/>
                <c:pt idx="0">
                  <c:v>Regional</c:v>
                </c:pt>
              </c:strCache>
            </c:strRef>
          </c:tx>
          <c:spPr>
            <a:solidFill>
              <a:schemeClr val="accent2"/>
            </a:solidFill>
            <a:ln>
              <a:noFill/>
            </a:ln>
            <a:effectLst/>
          </c:spPr>
          <c:cat>
            <c:strRef>
              <c:f>Merger!$W$3:$Z$3</c:f>
              <c:strCache>
                <c:ptCount val="4"/>
                <c:pt idx="0">
                  <c:v>Discussed merger</c:v>
                </c:pt>
                <c:pt idx="1">
                  <c:v>Planning to undertake a merger</c:v>
                </c:pt>
                <c:pt idx="2">
                  <c:v>Currently undertaking a merger</c:v>
                </c:pt>
                <c:pt idx="3">
                  <c:v>Completed a merger in the last 12 months</c:v>
                </c:pt>
              </c:strCache>
            </c:strRef>
          </c:cat>
          <c:val>
            <c:numRef>
              <c:f>Merger!$W$5:$Z$5</c:f>
              <c:numCache>
                <c:formatCode>0%</c:formatCode>
                <c:ptCount val="4"/>
                <c:pt idx="0">
                  <c:v>0.23333333333333339</c:v>
                </c:pt>
                <c:pt idx="1">
                  <c:v>6.8965517241379309E-2</c:v>
                </c:pt>
                <c:pt idx="2">
                  <c:v>3.4482758620689655E-2</c:v>
                </c:pt>
                <c:pt idx="3">
                  <c:v>3.4482758620689655E-2</c:v>
                </c:pt>
              </c:numCache>
            </c:numRef>
          </c:val>
          <c:extLst xmlns:c16r2="http://schemas.microsoft.com/office/drawing/2015/06/chart">
            <c:ext xmlns:c16="http://schemas.microsoft.com/office/drawing/2014/chart" uri="{C3380CC4-5D6E-409C-BE32-E72D297353CC}">
              <c16:uniqueId val="{00000001-2B39-D440-A66F-4948384FEED7}"/>
            </c:ext>
          </c:extLst>
        </c:ser>
        <c:ser>
          <c:idx val="2"/>
          <c:order val="2"/>
          <c:tx>
            <c:strRef>
              <c:f>Merger!$V$6</c:f>
              <c:strCache>
                <c:ptCount val="1"/>
                <c:pt idx="0">
                  <c:v>State-wide</c:v>
                </c:pt>
              </c:strCache>
            </c:strRef>
          </c:tx>
          <c:spPr>
            <a:solidFill>
              <a:schemeClr val="accent3"/>
            </a:solidFill>
            <a:ln>
              <a:noFill/>
            </a:ln>
            <a:effectLst/>
          </c:spPr>
          <c:cat>
            <c:strRef>
              <c:f>Merger!$W$3:$Z$3</c:f>
              <c:strCache>
                <c:ptCount val="4"/>
                <c:pt idx="0">
                  <c:v>Discussed merger</c:v>
                </c:pt>
                <c:pt idx="1">
                  <c:v>Planning to undertake a merger</c:v>
                </c:pt>
                <c:pt idx="2">
                  <c:v>Currently undertaking a merger</c:v>
                </c:pt>
                <c:pt idx="3">
                  <c:v>Completed a merger in the last 12 months</c:v>
                </c:pt>
              </c:strCache>
            </c:strRef>
          </c:cat>
          <c:val>
            <c:numRef>
              <c:f>Merger!$W$6:$Z$6</c:f>
              <c:numCache>
                <c:formatCode>0%</c:formatCode>
                <c:ptCount val="4"/>
                <c:pt idx="0">
                  <c:v>0.45454545454545453</c:v>
                </c:pt>
                <c:pt idx="1">
                  <c:v>0.18181818181818193</c:v>
                </c:pt>
                <c:pt idx="2">
                  <c:v>0.17391304347826098</c:v>
                </c:pt>
                <c:pt idx="3">
                  <c:v>9.5238095238095247E-2</c:v>
                </c:pt>
              </c:numCache>
            </c:numRef>
          </c:val>
          <c:extLst xmlns:c16r2="http://schemas.microsoft.com/office/drawing/2015/06/chart">
            <c:ext xmlns:c16="http://schemas.microsoft.com/office/drawing/2014/chart" uri="{C3380CC4-5D6E-409C-BE32-E72D297353CC}">
              <c16:uniqueId val="{00000002-2B39-D440-A66F-4948384FEED7}"/>
            </c:ext>
          </c:extLst>
        </c:ser>
        <c:gapWidth val="219"/>
        <c:overlap val="-27"/>
        <c:axId val="166176640"/>
        <c:axId val="166178176"/>
      </c:barChart>
      <c:catAx>
        <c:axId val="1661766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6178176"/>
        <c:crosses val="autoZero"/>
        <c:auto val="1"/>
        <c:lblAlgn val="ctr"/>
        <c:lblOffset val="100"/>
      </c:catAx>
      <c:valAx>
        <c:axId val="16617817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6176640"/>
        <c:crosses val="autoZero"/>
        <c:crossBetween val="between"/>
        <c:majorUnit val="0.1"/>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Merger!$C$138</c:f>
              <c:strCache>
                <c:ptCount val="1"/>
                <c:pt idx="0">
                  <c:v>Metro</c:v>
                </c:pt>
              </c:strCache>
            </c:strRef>
          </c:tx>
          <c:spPr>
            <a:solidFill>
              <a:schemeClr val="accent1"/>
            </a:solidFill>
            <a:ln>
              <a:noFill/>
            </a:ln>
            <a:effectLst/>
          </c:spPr>
          <c:cat>
            <c:strRef>
              <c:f>Merger!$A$139:$A$142</c:f>
              <c:strCache>
                <c:ptCount val="4"/>
                <c:pt idx="0">
                  <c:v>Don't know</c:v>
                </c:pt>
                <c:pt idx="1">
                  <c:v>Very likely or likely</c:v>
                </c:pt>
                <c:pt idx="2">
                  <c:v>Neither likely nor unlikely</c:v>
                </c:pt>
                <c:pt idx="3">
                  <c:v>Very unlikely or unlikely</c:v>
                </c:pt>
              </c:strCache>
            </c:strRef>
          </c:cat>
          <c:val>
            <c:numRef>
              <c:f>Merger!$C$139:$C$142</c:f>
              <c:numCache>
                <c:formatCode>0%</c:formatCode>
                <c:ptCount val="4"/>
                <c:pt idx="0">
                  <c:v>0</c:v>
                </c:pt>
                <c:pt idx="1">
                  <c:v>0.33333333333333331</c:v>
                </c:pt>
                <c:pt idx="2">
                  <c:v>0.25</c:v>
                </c:pt>
                <c:pt idx="3">
                  <c:v>0.41666666666666685</c:v>
                </c:pt>
              </c:numCache>
            </c:numRef>
          </c:val>
          <c:extLst xmlns:c16r2="http://schemas.microsoft.com/office/drawing/2015/06/chart">
            <c:ext xmlns:c16="http://schemas.microsoft.com/office/drawing/2014/chart" uri="{C3380CC4-5D6E-409C-BE32-E72D297353CC}">
              <c16:uniqueId val="{00000000-CD39-C240-AC65-D30C63B25ADC}"/>
            </c:ext>
          </c:extLst>
        </c:ser>
        <c:ser>
          <c:idx val="1"/>
          <c:order val="1"/>
          <c:tx>
            <c:strRef>
              <c:f>Merger!$D$138</c:f>
              <c:strCache>
                <c:ptCount val="1"/>
                <c:pt idx="0">
                  <c:v>Regional</c:v>
                </c:pt>
              </c:strCache>
            </c:strRef>
          </c:tx>
          <c:spPr>
            <a:solidFill>
              <a:schemeClr val="accent2"/>
            </a:solidFill>
            <a:ln>
              <a:noFill/>
            </a:ln>
            <a:effectLst/>
          </c:spPr>
          <c:cat>
            <c:strRef>
              <c:f>Merger!$A$139:$A$142</c:f>
              <c:strCache>
                <c:ptCount val="4"/>
                <c:pt idx="0">
                  <c:v>Don't know</c:v>
                </c:pt>
                <c:pt idx="1">
                  <c:v>Very likely or likely</c:v>
                </c:pt>
                <c:pt idx="2">
                  <c:v>Neither likely nor unlikely</c:v>
                </c:pt>
                <c:pt idx="3">
                  <c:v>Very unlikely or unlikely</c:v>
                </c:pt>
              </c:strCache>
            </c:strRef>
          </c:cat>
          <c:val>
            <c:numRef>
              <c:f>Merger!$D$139:$D$142</c:f>
              <c:numCache>
                <c:formatCode>0%</c:formatCode>
                <c:ptCount val="4"/>
                <c:pt idx="0">
                  <c:v>0</c:v>
                </c:pt>
                <c:pt idx="1">
                  <c:v>0.42857142857142855</c:v>
                </c:pt>
                <c:pt idx="2">
                  <c:v>0.28571428571428586</c:v>
                </c:pt>
                <c:pt idx="3">
                  <c:v>0.28571428571428586</c:v>
                </c:pt>
              </c:numCache>
            </c:numRef>
          </c:val>
          <c:extLst xmlns:c16r2="http://schemas.microsoft.com/office/drawing/2015/06/chart">
            <c:ext xmlns:c16="http://schemas.microsoft.com/office/drawing/2014/chart" uri="{C3380CC4-5D6E-409C-BE32-E72D297353CC}">
              <c16:uniqueId val="{00000001-CD39-C240-AC65-D30C63B25ADC}"/>
            </c:ext>
          </c:extLst>
        </c:ser>
        <c:ser>
          <c:idx val="2"/>
          <c:order val="2"/>
          <c:tx>
            <c:strRef>
              <c:f>Merger!$E$138</c:f>
              <c:strCache>
                <c:ptCount val="1"/>
                <c:pt idx="0">
                  <c:v>State-wide</c:v>
                </c:pt>
              </c:strCache>
            </c:strRef>
          </c:tx>
          <c:spPr>
            <a:solidFill>
              <a:schemeClr val="accent3"/>
            </a:solidFill>
            <a:ln>
              <a:noFill/>
            </a:ln>
            <a:effectLst/>
          </c:spPr>
          <c:cat>
            <c:strRef>
              <c:f>Merger!$A$139:$A$142</c:f>
              <c:strCache>
                <c:ptCount val="4"/>
                <c:pt idx="0">
                  <c:v>Don't know</c:v>
                </c:pt>
                <c:pt idx="1">
                  <c:v>Very likely or likely</c:v>
                </c:pt>
                <c:pt idx="2">
                  <c:v>Neither likely nor unlikely</c:v>
                </c:pt>
                <c:pt idx="3">
                  <c:v>Very unlikely or unlikely</c:v>
                </c:pt>
              </c:strCache>
            </c:strRef>
          </c:cat>
          <c:val>
            <c:numRef>
              <c:f>Merger!$E$139:$E$142</c:f>
              <c:numCache>
                <c:formatCode>0%</c:formatCode>
                <c:ptCount val="4"/>
                <c:pt idx="0">
                  <c:v>0.1</c:v>
                </c:pt>
                <c:pt idx="1">
                  <c:v>0.4</c:v>
                </c:pt>
                <c:pt idx="2">
                  <c:v>0</c:v>
                </c:pt>
                <c:pt idx="3">
                  <c:v>0.5</c:v>
                </c:pt>
              </c:numCache>
            </c:numRef>
          </c:val>
          <c:extLst xmlns:c16r2="http://schemas.microsoft.com/office/drawing/2015/06/chart">
            <c:ext xmlns:c16="http://schemas.microsoft.com/office/drawing/2014/chart" uri="{C3380CC4-5D6E-409C-BE32-E72D297353CC}">
              <c16:uniqueId val="{00000002-CD39-C240-AC65-D30C63B25ADC}"/>
            </c:ext>
          </c:extLst>
        </c:ser>
        <c:gapWidth val="219"/>
        <c:overlap val="-27"/>
        <c:axId val="202101120"/>
        <c:axId val="202102656"/>
      </c:barChart>
      <c:catAx>
        <c:axId val="2021011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2102656"/>
        <c:crosses val="autoZero"/>
        <c:auto val="1"/>
        <c:lblAlgn val="ctr"/>
        <c:lblOffset val="100"/>
      </c:catAx>
      <c:valAx>
        <c:axId val="20210265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21011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Merger!$F$80</c:f>
              <c:strCache>
                <c:ptCount val="1"/>
                <c:pt idx="0">
                  <c:v>Metro</c:v>
                </c:pt>
              </c:strCache>
            </c:strRef>
          </c:tx>
          <c:spPr>
            <a:solidFill>
              <a:schemeClr val="accent1"/>
            </a:solidFill>
            <a:ln>
              <a:noFill/>
            </a:ln>
            <a:effectLst/>
          </c:spPr>
          <c:cat>
            <c:strRef>
              <c:f>Merger!$D$81:$D$83</c:f>
              <c:strCache>
                <c:ptCount val="3"/>
                <c:pt idx="0">
                  <c:v>Don't know</c:v>
                </c:pt>
                <c:pt idx="1">
                  <c:v>No</c:v>
                </c:pt>
                <c:pt idx="2">
                  <c:v>Yes</c:v>
                </c:pt>
              </c:strCache>
            </c:strRef>
          </c:cat>
          <c:val>
            <c:numRef>
              <c:f>Merger!$F$81:$F$83</c:f>
              <c:numCache>
                <c:formatCode>0%</c:formatCode>
                <c:ptCount val="3"/>
                <c:pt idx="0">
                  <c:v>6.25E-2</c:v>
                </c:pt>
                <c:pt idx="1">
                  <c:v>0.8125</c:v>
                </c:pt>
                <c:pt idx="2">
                  <c:v>0.125</c:v>
                </c:pt>
              </c:numCache>
            </c:numRef>
          </c:val>
          <c:extLst xmlns:c16r2="http://schemas.microsoft.com/office/drawing/2015/06/chart">
            <c:ext xmlns:c16="http://schemas.microsoft.com/office/drawing/2014/chart" uri="{C3380CC4-5D6E-409C-BE32-E72D297353CC}">
              <c16:uniqueId val="{00000000-4A3B-014F-AB31-987EC6563714}"/>
            </c:ext>
          </c:extLst>
        </c:ser>
        <c:ser>
          <c:idx val="1"/>
          <c:order val="1"/>
          <c:tx>
            <c:strRef>
              <c:f>Merger!$G$80</c:f>
              <c:strCache>
                <c:ptCount val="1"/>
                <c:pt idx="0">
                  <c:v>Regional</c:v>
                </c:pt>
              </c:strCache>
            </c:strRef>
          </c:tx>
          <c:spPr>
            <a:solidFill>
              <a:schemeClr val="accent2"/>
            </a:solidFill>
            <a:ln>
              <a:noFill/>
            </a:ln>
            <a:effectLst/>
          </c:spPr>
          <c:cat>
            <c:strRef>
              <c:f>Merger!$D$81:$D$83</c:f>
              <c:strCache>
                <c:ptCount val="3"/>
                <c:pt idx="0">
                  <c:v>Don't know</c:v>
                </c:pt>
                <c:pt idx="1">
                  <c:v>No</c:v>
                </c:pt>
                <c:pt idx="2">
                  <c:v>Yes</c:v>
                </c:pt>
              </c:strCache>
            </c:strRef>
          </c:cat>
          <c:val>
            <c:numRef>
              <c:f>Merger!$G$81:$G$83</c:f>
              <c:numCache>
                <c:formatCode>0%</c:formatCode>
                <c:ptCount val="3"/>
                <c:pt idx="0">
                  <c:v>3.5714285714285712E-2</c:v>
                </c:pt>
                <c:pt idx="1">
                  <c:v>0.78571428571428559</c:v>
                </c:pt>
                <c:pt idx="2">
                  <c:v>0.17857142857142869</c:v>
                </c:pt>
              </c:numCache>
            </c:numRef>
          </c:val>
          <c:extLst xmlns:c16r2="http://schemas.microsoft.com/office/drawing/2015/06/chart">
            <c:ext xmlns:c16="http://schemas.microsoft.com/office/drawing/2014/chart" uri="{C3380CC4-5D6E-409C-BE32-E72D297353CC}">
              <c16:uniqueId val="{00000001-4A3B-014F-AB31-987EC6563714}"/>
            </c:ext>
          </c:extLst>
        </c:ser>
        <c:ser>
          <c:idx val="2"/>
          <c:order val="2"/>
          <c:tx>
            <c:strRef>
              <c:f>Merger!$H$80</c:f>
              <c:strCache>
                <c:ptCount val="1"/>
                <c:pt idx="0">
                  <c:v>State-wide</c:v>
                </c:pt>
              </c:strCache>
            </c:strRef>
          </c:tx>
          <c:spPr>
            <a:solidFill>
              <a:schemeClr val="accent3"/>
            </a:solidFill>
            <a:ln>
              <a:noFill/>
            </a:ln>
            <a:effectLst/>
          </c:spPr>
          <c:cat>
            <c:strRef>
              <c:f>Merger!$D$81:$D$83</c:f>
              <c:strCache>
                <c:ptCount val="3"/>
                <c:pt idx="0">
                  <c:v>Don't know</c:v>
                </c:pt>
                <c:pt idx="1">
                  <c:v>No</c:v>
                </c:pt>
                <c:pt idx="2">
                  <c:v>Yes</c:v>
                </c:pt>
              </c:strCache>
            </c:strRef>
          </c:cat>
          <c:val>
            <c:numRef>
              <c:f>Merger!$H$81:$H$83</c:f>
              <c:numCache>
                <c:formatCode>0%</c:formatCode>
                <c:ptCount val="3"/>
                <c:pt idx="0">
                  <c:v>0</c:v>
                </c:pt>
                <c:pt idx="1">
                  <c:v>0.95238095238095233</c:v>
                </c:pt>
                <c:pt idx="2">
                  <c:v>4.7619047619047623E-2</c:v>
                </c:pt>
              </c:numCache>
            </c:numRef>
          </c:val>
          <c:extLst xmlns:c16r2="http://schemas.microsoft.com/office/drawing/2015/06/chart">
            <c:ext xmlns:c16="http://schemas.microsoft.com/office/drawing/2014/chart" uri="{C3380CC4-5D6E-409C-BE32-E72D297353CC}">
              <c16:uniqueId val="{00000002-4A3B-014F-AB31-987EC6563714}"/>
            </c:ext>
          </c:extLst>
        </c:ser>
        <c:gapWidth val="219"/>
        <c:overlap val="-27"/>
        <c:axId val="202167040"/>
        <c:axId val="202168576"/>
      </c:barChart>
      <c:catAx>
        <c:axId val="2021670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2168576"/>
        <c:crosses val="autoZero"/>
        <c:auto val="1"/>
        <c:lblAlgn val="ctr"/>
        <c:lblOffset val="100"/>
      </c:catAx>
      <c:valAx>
        <c:axId val="20216857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21670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'June2018P&amp;L margins'!$S$19</c:f>
              <c:strCache>
                <c:ptCount val="1"/>
                <c:pt idx="0">
                  <c:v>Metro</c:v>
                </c:pt>
              </c:strCache>
            </c:strRef>
          </c:tx>
          <c:spPr>
            <a:solidFill>
              <a:srgbClr val="497594"/>
            </a:solidFill>
            <a:ln>
              <a:noFill/>
            </a:ln>
            <a:effectLst/>
          </c:spPr>
          <c:cat>
            <c:strRef>
              <c:f>'June2018P&amp;L margins'!$Q$20:$Q$28</c:f>
              <c:strCache>
                <c:ptCount val="9"/>
                <c:pt idx="0">
                  <c:v>-21% and below</c:v>
                </c:pt>
                <c:pt idx="1">
                  <c:v>-11 to -20%</c:v>
                </c:pt>
                <c:pt idx="2">
                  <c:v>-6 to -10%</c:v>
                </c:pt>
                <c:pt idx="3">
                  <c:v>-1 to -5%</c:v>
                </c:pt>
                <c:pt idx="4">
                  <c:v>0</c:v>
                </c:pt>
                <c:pt idx="5">
                  <c:v>1-5%</c:v>
                </c:pt>
                <c:pt idx="6">
                  <c:v>6-10%</c:v>
                </c:pt>
                <c:pt idx="7">
                  <c:v>11-20%</c:v>
                </c:pt>
                <c:pt idx="8">
                  <c:v>21% and above</c:v>
                </c:pt>
              </c:strCache>
            </c:strRef>
          </c:cat>
          <c:val>
            <c:numRef>
              <c:f>'June2018P&amp;L margins'!$S$20:$S$28</c:f>
              <c:numCache>
                <c:formatCode>0%</c:formatCode>
                <c:ptCount val="9"/>
                <c:pt idx="0">
                  <c:v>4.7619047619047623E-2</c:v>
                </c:pt>
                <c:pt idx="1">
                  <c:v>4.7619047619047623E-2</c:v>
                </c:pt>
                <c:pt idx="2">
                  <c:v>4.7619047619047623E-2</c:v>
                </c:pt>
                <c:pt idx="3">
                  <c:v>0.23809523809523819</c:v>
                </c:pt>
                <c:pt idx="4">
                  <c:v>0.14285714285714293</c:v>
                </c:pt>
                <c:pt idx="5">
                  <c:v>9.5238095238095247E-2</c:v>
                </c:pt>
                <c:pt idx="6">
                  <c:v>0.19047619047619058</c:v>
                </c:pt>
                <c:pt idx="7">
                  <c:v>0.14285714285714293</c:v>
                </c:pt>
                <c:pt idx="8">
                  <c:v>4.7619047619047623E-2</c:v>
                </c:pt>
              </c:numCache>
            </c:numRef>
          </c:val>
          <c:extLst xmlns:c16r2="http://schemas.microsoft.com/office/drawing/2015/06/chart">
            <c:ext xmlns:c16="http://schemas.microsoft.com/office/drawing/2014/chart" uri="{C3380CC4-5D6E-409C-BE32-E72D297353CC}">
              <c16:uniqueId val="{00000000-4267-AC4E-B5C2-8510121DF5B1}"/>
            </c:ext>
          </c:extLst>
        </c:ser>
        <c:gapWidth val="219"/>
        <c:overlap val="-27"/>
        <c:axId val="158347264"/>
        <c:axId val="158348800"/>
      </c:barChart>
      <c:catAx>
        <c:axId val="1583472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348800"/>
        <c:crosses val="autoZero"/>
        <c:auto val="1"/>
        <c:lblAlgn val="ctr"/>
        <c:lblOffset val="100"/>
      </c:catAx>
      <c:valAx>
        <c:axId val="158348800"/>
        <c:scaling>
          <c:orientation val="minMax"/>
          <c:max val="0.60000000000000031"/>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347264"/>
        <c:crosses val="autoZero"/>
        <c:crossBetween val="between"/>
        <c:majorUnit val="0.1"/>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lgn="just">
        <a:defRPr sz="1200">
          <a:latin typeface="Arial" panose="020B0604020202020204" pitchFamily="34" charset="0"/>
          <a:cs typeface="Arial" panose="020B0604020202020204" pitchFamily="34"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'June2018P&amp;L margins'!$T$19</c:f>
              <c:strCache>
                <c:ptCount val="1"/>
                <c:pt idx="0">
                  <c:v>Regional</c:v>
                </c:pt>
              </c:strCache>
            </c:strRef>
          </c:tx>
          <c:spPr>
            <a:solidFill>
              <a:srgbClr val="497594"/>
            </a:solidFill>
            <a:ln>
              <a:noFill/>
            </a:ln>
            <a:effectLst/>
          </c:spPr>
          <c:cat>
            <c:strRef>
              <c:f>'June2018P&amp;L margins'!$Q$20:$Q$28</c:f>
              <c:strCache>
                <c:ptCount val="9"/>
                <c:pt idx="0">
                  <c:v>-21% and below</c:v>
                </c:pt>
                <c:pt idx="1">
                  <c:v>-11 to -20%</c:v>
                </c:pt>
                <c:pt idx="2">
                  <c:v>-6 to -10%</c:v>
                </c:pt>
                <c:pt idx="3">
                  <c:v>-1 to -5%</c:v>
                </c:pt>
                <c:pt idx="4">
                  <c:v>0</c:v>
                </c:pt>
                <c:pt idx="5">
                  <c:v>1-5%</c:v>
                </c:pt>
                <c:pt idx="6">
                  <c:v>6-10%</c:v>
                </c:pt>
                <c:pt idx="7">
                  <c:v>11-20%</c:v>
                </c:pt>
                <c:pt idx="8">
                  <c:v>21% and above</c:v>
                </c:pt>
              </c:strCache>
            </c:strRef>
          </c:cat>
          <c:val>
            <c:numRef>
              <c:f>'June2018P&amp;L margins'!$T$20:$T$28</c:f>
              <c:numCache>
                <c:formatCode>0%</c:formatCode>
                <c:ptCount val="9"/>
                <c:pt idx="0">
                  <c:v>0.1</c:v>
                </c:pt>
                <c:pt idx="1">
                  <c:v>0.1</c:v>
                </c:pt>
                <c:pt idx="2">
                  <c:v>0</c:v>
                </c:pt>
                <c:pt idx="3">
                  <c:v>0.05</c:v>
                </c:pt>
                <c:pt idx="4">
                  <c:v>0.3000000000000001</c:v>
                </c:pt>
                <c:pt idx="5">
                  <c:v>0.25</c:v>
                </c:pt>
                <c:pt idx="6">
                  <c:v>0.15000000000000005</c:v>
                </c:pt>
                <c:pt idx="7">
                  <c:v>0.05</c:v>
                </c:pt>
                <c:pt idx="8">
                  <c:v>0</c:v>
                </c:pt>
              </c:numCache>
            </c:numRef>
          </c:val>
          <c:extLst xmlns:c16r2="http://schemas.microsoft.com/office/drawing/2015/06/chart">
            <c:ext xmlns:c16="http://schemas.microsoft.com/office/drawing/2014/chart" uri="{C3380CC4-5D6E-409C-BE32-E72D297353CC}">
              <c16:uniqueId val="{00000000-50C2-AF4C-A2B1-15D2039372AC}"/>
            </c:ext>
          </c:extLst>
        </c:ser>
        <c:gapWidth val="219"/>
        <c:overlap val="-27"/>
        <c:axId val="158366720"/>
        <c:axId val="158376704"/>
      </c:barChart>
      <c:catAx>
        <c:axId val="1583667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376704"/>
        <c:crosses val="autoZero"/>
        <c:auto val="1"/>
        <c:lblAlgn val="ctr"/>
        <c:lblOffset val="100"/>
      </c:catAx>
      <c:valAx>
        <c:axId val="158376704"/>
        <c:scaling>
          <c:orientation val="minMax"/>
          <c:max val="0.60000000000000031"/>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366720"/>
        <c:crosses val="autoZero"/>
        <c:crossBetween val="between"/>
        <c:majorUnit val="0.1"/>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'June2018P&amp;L margins'!$U$19</c:f>
              <c:strCache>
                <c:ptCount val="1"/>
                <c:pt idx="0">
                  <c:v>State-wide</c:v>
                </c:pt>
              </c:strCache>
            </c:strRef>
          </c:tx>
          <c:spPr>
            <a:solidFill>
              <a:srgbClr val="497594"/>
            </a:solidFill>
            <a:ln>
              <a:noFill/>
            </a:ln>
            <a:effectLst/>
          </c:spPr>
          <c:cat>
            <c:strRef>
              <c:f>'June2018P&amp;L margins'!$Q$20:$Q$28</c:f>
              <c:strCache>
                <c:ptCount val="9"/>
                <c:pt idx="0">
                  <c:v>-21% and below</c:v>
                </c:pt>
                <c:pt idx="1">
                  <c:v>-11 to -20%</c:v>
                </c:pt>
                <c:pt idx="2">
                  <c:v>-6 to -10%</c:v>
                </c:pt>
                <c:pt idx="3">
                  <c:v>-1 to -5%</c:v>
                </c:pt>
                <c:pt idx="4">
                  <c:v>0</c:v>
                </c:pt>
                <c:pt idx="5">
                  <c:v>1-5%</c:v>
                </c:pt>
                <c:pt idx="6">
                  <c:v>6-10%</c:v>
                </c:pt>
                <c:pt idx="7">
                  <c:v>11-20%</c:v>
                </c:pt>
                <c:pt idx="8">
                  <c:v>21% and above</c:v>
                </c:pt>
              </c:strCache>
            </c:strRef>
          </c:cat>
          <c:val>
            <c:numRef>
              <c:f>'June2018P&amp;L margins'!$U$20:$U$28</c:f>
              <c:numCache>
                <c:formatCode>0%</c:formatCode>
                <c:ptCount val="9"/>
                <c:pt idx="0">
                  <c:v>0</c:v>
                </c:pt>
                <c:pt idx="1">
                  <c:v>6.25E-2</c:v>
                </c:pt>
                <c:pt idx="2">
                  <c:v>0</c:v>
                </c:pt>
                <c:pt idx="3">
                  <c:v>6.25E-2</c:v>
                </c:pt>
                <c:pt idx="4">
                  <c:v>0.25</c:v>
                </c:pt>
                <c:pt idx="5">
                  <c:v>0.5</c:v>
                </c:pt>
                <c:pt idx="6">
                  <c:v>0</c:v>
                </c:pt>
                <c:pt idx="7">
                  <c:v>6.25E-2</c:v>
                </c:pt>
                <c:pt idx="8">
                  <c:v>6.25E-2</c:v>
                </c:pt>
              </c:numCache>
            </c:numRef>
          </c:val>
          <c:extLst xmlns:c16r2="http://schemas.microsoft.com/office/drawing/2015/06/chart">
            <c:ext xmlns:c16="http://schemas.microsoft.com/office/drawing/2014/chart" uri="{C3380CC4-5D6E-409C-BE32-E72D297353CC}">
              <c16:uniqueId val="{00000000-12F1-AE43-99BF-3BF12D503052}"/>
            </c:ext>
          </c:extLst>
        </c:ser>
        <c:gapWidth val="219"/>
        <c:overlap val="-27"/>
        <c:axId val="158413184"/>
        <c:axId val="158414720"/>
      </c:barChart>
      <c:catAx>
        <c:axId val="1584131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414720"/>
        <c:crosses val="autoZero"/>
        <c:auto val="1"/>
        <c:lblAlgn val="ctr"/>
        <c:lblOffset val="100"/>
      </c:catAx>
      <c:valAx>
        <c:axId val="158414720"/>
        <c:scaling>
          <c:orientation val="minMax"/>
          <c:max val="0.60000000000000031"/>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413184"/>
        <c:crosses val="autoZero"/>
        <c:crossBetween val="between"/>
        <c:majorUnit val="0.1"/>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'P&amp;L 2018&amp;2019'!$C$66</c:f>
              <c:strCache>
                <c:ptCount val="1"/>
                <c:pt idx="0">
                  <c:v>Metro</c:v>
                </c:pt>
              </c:strCache>
            </c:strRef>
          </c:tx>
          <c:spPr>
            <a:solidFill>
              <a:srgbClr val="497594"/>
            </a:solidFill>
            <a:ln>
              <a:noFill/>
            </a:ln>
            <a:effectLst/>
          </c:spPr>
          <c:cat>
            <c:strRef>
              <c:f>'P&amp;L 2018&amp;2019'!$A$67:$A$70</c:f>
              <c:strCache>
                <c:ptCount val="4"/>
                <c:pt idx="0">
                  <c:v>Don't know</c:v>
                </c:pt>
                <c:pt idx="1">
                  <c:v>We expect to break even or be close to break-even</c:v>
                </c:pt>
                <c:pt idx="2">
                  <c:v>We expect to make a loss / deficit</c:v>
                </c:pt>
                <c:pt idx="3">
                  <c:v>We expect to make a profit / surplus</c:v>
                </c:pt>
              </c:strCache>
            </c:strRef>
          </c:cat>
          <c:val>
            <c:numRef>
              <c:f>'P&amp;L 2018&amp;2019'!$C$67:$C$70</c:f>
              <c:numCache>
                <c:formatCode>0%</c:formatCode>
                <c:ptCount val="4"/>
                <c:pt idx="0">
                  <c:v>0.14285714285714293</c:v>
                </c:pt>
                <c:pt idx="1">
                  <c:v>0.21428571428571427</c:v>
                </c:pt>
                <c:pt idx="2">
                  <c:v>0.14285714285714293</c:v>
                </c:pt>
                <c:pt idx="3">
                  <c:v>0.5</c:v>
                </c:pt>
              </c:numCache>
            </c:numRef>
          </c:val>
          <c:extLst xmlns:c16r2="http://schemas.microsoft.com/office/drawing/2015/06/chart">
            <c:ext xmlns:c16="http://schemas.microsoft.com/office/drawing/2014/chart" uri="{C3380CC4-5D6E-409C-BE32-E72D297353CC}">
              <c16:uniqueId val="{00000000-E88F-C24B-9D39-453F8718531E}"/>
            </c:ext>
          </c:extLst>
        </c:ser>
        <c:ser>
          <c:idx val="1"/>
          <c:order val="1"/>
          <c:tx>
            <c:strRef>
              <c:f>'P&amp;L 2018&amp;2019'!$D$66</c:f>
              <c:strCache>
                <c:ptCount val="1"/>
                <c:pt idx="0">
                  <c:v>Regional</c:v>
                </c:pt>
              </c:strCache>
            </c:strRef>
          </c:tx>
          <c:spPr>
            <a:solidFill>
              <a:srgbClr val="6EBB1E"/>
            </a:solidFill>
            <a:ln>
              <a:noFill/>
            </a:ln>
            <a:effectLst/>
          </c:spPr>
          <c:cat>
            <c:strRef>
              <c:f>'P&amp;L 2018&amp;2019'!$A$67:$A$70</c:f>
              <c:strCache>
                <c:ptCount val="4"/>
                <c:pt idx="0">
                  <c:v>Don't know</c:v>
                </c:pt>
                <c:pt idx="1">
                  <c:v>We expect to break even or be close to break-even</c:v>
                </c:pt>
                <c:pt idx="2">
                  <c:v>We expect to make a loss / deficit</c:v>
                </c:pt>
                <c:pt idx="3">
                  <c:v>We expect to make a profit / surplus</c:v>
                </c:pt>
              </c:strCache>
            </c:strRef>
          </c:cat>
          <c:val>
            <c:numRef>
              <c:f>'P&amp;L 2018&amp;2019'!$D$67:$D$70</c:f>
              <c:numCache>
                <c:formatCode>0%</c:formatCode>
                <c:ptCount val="4"/>
                <c:pt idx="0">
                  <c:v>9.0909090909090981E-2</c:v>
                </c:pt>
                <c:pt idx="1">
                  <c:v>0.27272727272727282</c:v>
                </c:pt>
                <c:pt idx="2">
                  <c:v>0.31818181818181834</c:v>
                </c:pt>
                <c:pt idx="3">
                  <c:v>0.31818181818181834</c:v>
                </c:pt>
              </c:numCache>
            </c:numRef>
          </c:val>
          <c:extLst xmlns:c16r2="http://schemas.microsoft.com/office/drawing/2015/06/chart">
            <c:ext xmlns:c16="http://schemas.microsoft.com/office/drawing/2014/chart" uri="{C3380CC4-5D6E-409C-BE32-E72D297353CC}">
              <c16:uniqueId val="{00000001-E88F-C24B-9D39-453F8718531E}"/>
            </c:ext>
          </c:extLst>
        </c:ser>
        <c:ser>
          <c:idx val="2"/>
          <c:order val="2"/>
          <c:tx>
            <c:strRef>
              <c:f>'P&amp;L 2018&amp;2019'!$E$66</c:f>
              <c:strCache>
                <c:ptCount val="1"/>
                <c:pt idx="0">
                  <c:v>State-wide</c:v>
                </c:pt>
              </c:strCache>
            </c:strRef>
          </c:tx>
          <c:spPr>
            <a:solidFill>
              <a:schemeClr val="accent3"/>
            </a:solidFill>
            <a:ln>
              <a:noFill/>
            </a:ln>
            <a:effectLst/>
          </c:spPr>
          <c:cat>
            <c:strRef>
              <c:f>'P&amp;L 2018&amp;2019'!$A$67:$A$70</c:f>
              <c:strCache>
                <c:ptCount val="4"/>
                <c:pt idx="0">
                  <c:v>Don't know</c:v>
                </c:pt>
                <c:pt idx="1">
                  <c:v>We expect to break even or be close to break-even</c:v>
                </c:pt>
                <c:pt idx="2">
                  <c:v>We expect to make a loss / deficit</c:v>
                </c:pt>
                <c:pt idx="3">
                  <c:v>We expect to make a profit / surplus</c:v>
                </c:pt>
              </c:strCache>
            </c:strRef>
          </c:cat>
          <c:val>
            <c:numRef>
              <c:f>'P&amp;L 2018&amp;2019'!$E$67:$E$70</c:f>
              <c:numCache>
                <c:formatCode>0%</c:formatCode>
                <c:ptCount val="4"/>
                <c:pt idx="0">
                  <c:v>0.1111111111111111</c:v>
                </c:pt>
                <c:pt idx="1">
                  <c:v>0.27777777777777796</c:v>
                </c:pt>
                <c:pt idx="2">
                  <c:v>0.16666666666666666</c:v>
                </c:pt>
                <c:pt idx="3">
                  <c:v>0.44444444444444442</c:v>
                </c:pt>
              </c:numCache>
            </c:numRef>
          </c:val>
          <c:extLst xmlns:c16r2="http://schemas.microsoft.com/office/drawing/2015/06/chart">
            <c:ext xmlns:c16="http://schemas.microsoft.com/office/drawing/2014/chart" uri="{C3380CC4-5D6E-409C-BE32-E72D297353CC}">
              <c16:uniqueId val="{00000002-E88F-C24B-9D39-453F8718531E}"/>
            </c:ext>
          </c:extLst>
        </c:ser>
        <c:gapWidth val="219"/>
        <c:overlap val="-27"/>
        <c:axId val="158443776"/>
        <c:axId val="158539776"/>
      </c:barChart>
      <c:catAx>
        <c:axId val="1584437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8539776"/>
        <c:crosses val="autoZero"/>
        <c:auto val="1"/>
        <c:lblAlgn val="ctr"/>
        <c:lblOffset val="100"/>
      </c:catAx>
      <c:valAx>
        <c:axId val="15853977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84437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'June2019P&amp;L margins'!$P$20</c:f>
              <c:strCache>
                <c:ptCount val="1"/>
                <c:pt idx="0">
                  <c:v>Metro</c:v>
                </c:pt>
              </c:strCache>
            </c:strRef>
          </c:tx>
          <c:spPr>
            <a:solidFill>
              <a:srgbClr val="497594"/>
            </a:solidFill>
            <a:ln>
              <a:noFill/>
            </a:ln>
            <a:effectLst/>
          </c:spPr>
          <c:cat>
            <c:strRef>
              <c:f>'June2019P&amp;L margins'!$N$21:$N$29</c:f>
              <c:strCache>
                <c:ptCount val="9"/>
                <c:pt idx="0">
                  <c:v>-21% and below</c:v>
                </c:pt>
                <c:pt idx="1">
                  <c:v>-11 to -20%</c:v>
                </c:pt>
                <c:pt idx="2">
                  <c:v>-6 to -10%</c:v>
                </c:pt>
                <c:pt idx="3">
                  <c:v>-1 to -5%</c:v>
                </c:pt>
                <c:pt idx="4">
                  <c:v>0</c:v>
                </c:pt>
                <c:pt idx="5">
                  <c:v>1-5%</c:v>
                </c:pt>
                <c:pt idx="6">
                  <c:v>6-10%</c:v>
                </c:pt>
                <c:pt idx="7">
                  <c:v>11-20%</c:v>
                </c:pt>
                <c:pt idx="8">
                  <c:v>21% and above</c:v>
                </c:pt>
              </c:strCache>
            </c:strRef>
          </c:cat>
          <c:val>
            <c:numRef>
              <c:f>'June2019P&amp;L margins'!$P$21:$P$29</c:f>
              <c:numCache>
                <c:formatCode>0%</c:formatCode>
                <c:ptCount val="9"/>
                <c:pt idx="0">
                  <c:v>0</c:v>
                </c:pt>
                <c:pt idx="1">
                  <c:v>5.5555555555555525E-2</c:v>
                </c:pt>
                <c:pt idx="2">
                  <c:v>0</c:v>
                </c:pt>
                <c:pt idx="3">
                  <c:v>0.16666666666666666</c:v>
                </c:pt>
                <c:pt idx="4">
                  <c:v>0.27777777777777796</c:v>
                </c:pt>
                <c:pt idx="5">
                  <c:v>0.22222222222222221</c:v>
                </c:pt>
                <c:pt idx="6">
                  <c:v>0.1111111111111111</c:v>
                </c:pt>
                <c:pt idx="7">
                  <c:v>0.16666666666666666</c:v>
                </c:pt>
                <c:pt idx="8">
                  <c:v>0</c:v>
                </c:pt>
              </c:numCache>
            </c:numRef>
          </c:val>
          <c:extLst xmlns:c16r2="http://schemas.microsoft.com/office/drawing/2015/06/chart">
            <c:ext xmlns:c16="http://schemas.microsoft.com/office/drawing/2014/chart" uri="{C3380CC4-5D6E-409C-BE32-E72D297353CC}">
              <c16:uniqueId val="{00000000-88F8-8F4E-8C20-57EA782524F7}"/>
            </c:ext>
          </c:extLst>
        </c:ser>
        <c:gapWidth val="219"/>
        <c:overlap val="-27"/>
        <c:axId val="158560256"/>
        <c:axId val="158561792"/>
      </c:barChart>
      <c:catAx>
        <c:axId val="1585602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561792"/>
        <c:crosses val="autoZero"/>
        <c:auto val="1"/>
        <c:lblAlgn val="ctr"/>
        <c:lblOffset val="100"/>
      </c:catAx>
      <c:valAx>
        <c:axId val="158561792"/>
        <c:scaling>
          <c:orientation val="minMax"/>
          <c:max val="0.4"/>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56025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AU"/>
  <c:chart>
    <c:autoTitleDeleted val="1"/>
    <c:plotArea>
      <c:layout/>
      <c:barChart>
        <c:barDir val="col"/>
        <c:grouping val="clustered"/>
        <c:ser>
          <c:idx val="0"/>
          <c:order val="0"/>
          <c:tx>
            <c:strRef>
              <c:f>'June2019P&amp;L margins'!$Q$20</c:f>
              <c:strCache>
                <c:ptCount val="1"/>
                <c:pt idx="0">
                  <c:v>Regional</c:v>
                </c:pt>
              </c:strCache>
            </c:strRef>
          </c:tx>
          <c:spPr>
            <a:solidFill>
              <a:srgbClr val="497594"/>
            </a:solidFill>
            <a:ln>
              <a:noFill/>
            </a:ln>
            <a:effectLst/>
          </c:spPr>
          <c:cat>
            <c:strRef>
              <c:f>'June2019P&amp;L margins'!$N$21:$N$29</c:f>
              <c:strCache>
                <c:ptCount val="9"/>
                <c:pt idx="0">
                  <c:v>-21% and below</c:v>
                </c:pt>
                <c:pt idx="1">
                  <c:v>-11 to -20%</c:v>
                </c:pt>
                <c:pt idx="2">
                  <c:v>-6 to -10%</c:v>
                </c:pt>
                <c:pt idx="3">
                  <c:v>-1 to -5%</c:v>
                </c:pt>
                <c:pt idx="4">
                  <c:v>0</c:v>
                </c:pt>
                <c:pt idx="5">
                  <c:v>1-5%</c:v>
                </c:pt>
                <c:pt idx="6">
                  <c:v>6-10%</c:v>
                </c:pt>
                <c:pt idx="7">
                  <c:v>11-20%</c:v>
                </c:pt>
                <c:pt idx="8">
                  <c:v>21% and above</c:v>
                </c:pt>
              </c:strCache>
            </c:strRef>
          </c:cat>
          <c:val>
            <c:numRef>
              <c:f>'June2019P&amp;L margins'!$Q$21:$Q$29</c:f>
              <c:numCache>
                <c:formatCode>0%</c:formatCode>
                <c:ptCount val="9"/>
                <c:pt idx="0">
                  <c:v>5.8823529411764705E-2</c:v>
                </c:pt>
                <c:pt idx="1">
                  <c:v>5.8823529411764705E-2</c:v>
                </c:pt>
                <c:pt idx="2">
                  <c:v>5.8823529411764705E-2</c:v>
                </c:pt>
                <c:pt idx="3">
                  <c:v>0.17647058823529418</c:v>
                </c:pt>
                <c:pt idx="4">
                  <c:v>0.29411764705882365</c:v>
                </c:pt>
                <c:pt idx="5">
                  <c:v>0.17647058823529418</c:v>
                </c:pt>
                <c:pt idx="6">
                  <c:v>0.11764705882352942</c:v>
                </c:pt>
                <c:pt idx="7">
                  <c:v>5.8823529411764705E-2</c:v>
                </c:pt>
                <c:pt idx="8">
                  <c:v>0</c:v>
                </c:pt>
              </c:numCache>
            </c:numRef>
          </c:val>
          <c:extLst xmlns:c16r2="http://schemas.microsoft.com/office/drawing/2015/06/chart">
            <c:ext xmlns:c16="http://schemas.microsoft.com/office/drawing/2014/chart" uri="{C3380CC4-5D6E-409C-BE32-E72D297353CC}">
              <c16:uniqueId val="{00000000-69CF-4B4C-AA8B-13C784638311}"/>
            </c:ext>
          </c:extLst>
        </c:ser>
        <c:gapWidth val="219"/>
        <c:overlap val="-27"/>
        <c:axId val="158591232"/>
        <c:axId val="158597120"/>
      </c:barChart>
      <c:catAx>
        <c:axId val="1585912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597120"/>
        <c:crosses val="autoZero"/>
        <c:auto val="1"/>
        <c:lblAlgn val="ctr"/>
        <c:lblOffset val="100"/>
      </c:catAx>
      <c:valAx>
        <c:axId val="15859712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59123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1"/>
</c:chartSpace>
</file>

<file path=word/theme/theme1.xml><?xml version="1.0" encoding="utf-8"?>
<a:theme xmlns:a="http://schemas.openxmlformats.org/drawingml/2006/main" name="Office Theme">
  <a:themeElements>
    <a:clrScheme name="NDS">
      <a:dk1>
        <a:sysClr val="windowText" lastClr="000000"/>
      </a:dk1>
      <a:lt1>
        <a:sysClr val="window" lastClr="FFFFFF"/>
      </a:lt1>
      <a:dk2>
        <a:srgbClr val="9D8D85"/>
      </a:dk2>
      <a:lt2>
        <a:srgbClr val="EEECE1"/>
      </a:lt2>
      <a:accent1>
        <a:srgbClr val="497594"/>
      </a:accent1>
      <a:accent2>
        <a:srgbClr val="6EBB1F"/>
      </a:accent2>
      <a:accent3>
        <a:srgbClr val="00B4D9"/>
      </a:accent3>
      <a:accent4>
        <a:srgbClr val="6950A1"/>
      </a:accent4>
      <a:accent5>
        <a:srgbClr val="E66A1F"/>
      </a:accent5>
      <a:accent6>
        <a:srgbClr val="497594"/>
      </a:accent6>
      <a:hlink>
        <a:srgbClr val="497594"/>
      </a:hlink>
      <a:folHlink>
        <a:srgbClr val="00B4D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35174-9EC2-40C6-B829-CF070341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29627</Words>
  <Characters>168876</Characters>
  <Application>Microsoft Office Word</Application>
  <DocSecurity>0</DocSecurity>
  <Lines>1407</Lines>
  <Paragraphs>396</Paragraphs>
  <ScaleCrop>false</ScaleCrop>
  <HeadingPairs>
    <vt:vector size="2" baseType="variant">
      <vt:variant>
        <vt:lpstr>Title</vt:lpstr>
      </vt:variant>
      <vt:variant>
        <vt:i4>1</vt:i4>
      </vt:variant>
    </vt:vector>
  </HeadingPairs>
  <TitlesOfParts>
    <vt:vector size="1" baseType="lpstr">
      <vt:lpstr>NDIS Market Dynamics Study</vt:lpstr>
    </vt:vector>
  </TitlesOfParts>
  <Company>Hewlett-Packard</Company>
  <LinksUpToDate>false</LinksUpToDate>
  <CharactersWithSpaces>198107</CharactersWithSpaces>
  <SharedDoc>false</SharedDoc>
  <HLinks>
    <vt:vector size="168" baseType="variant">
      <vt:variant>
        <vt:i4>2752518</vt:i4>
      </vt:variant>
      <vt:variant>
        <vt:i4>164</vt:i4>
      </vt:variant>
      <vt:variant>
        <vt:i4>0</vt:i4>
      </vt:variant>
      <vt:variant>
        <vt:i4>5</vt:i4>
      </vt:variant>
      <vt:variant>
        <vt:lpwstr/>
      </vt:variant>
      <vt:variant>
        <vt:lpwstr>_Toc5860559</vt:lpwstr>
      </vt:variant>
      <vt:variant>
        <vt:i4>2752518</vt:i4>
      </vt:variant>
      <vt:variant>
        <vt:i4>158</vt:i4>
      </vt:variant>
      <vt:variant>
        <vt:i4>0</vt:i4>
      </vt:variant>
      <vt:variant>
        <vt:i4>5</vt:i4>
      </vt:variant>
      <vt:variant>
        <vt:lpwstr/>
      </vt:variant>
      <vt:variant>
        <vt:lpwstr>_Toc5860558</vt:lpwstr>
      </vt:variant>
      <vt:variant>
        <vt:i4>2752518</vt:i4>
      </vt:variant>
      <vt:variant>
        <vt:i4>152</vt:i4>
      </vt:variant>
      <vt:variant>
        <vt:i4>0</vt:i4>
      </vt:variant>
      <vt:variant>
        <vt:i4>5</vt:i4>
      </vt:variant>
      <vt:variant>
        <vt:lpwstr/>
      </vt:variant>
      <vt:variant>
        <vt:lpwstr>_Toc5860557</vt:lpwstr>
      </vt:variant>
      <vt:variant>
        <vt:i4>2752518</vt:i4>
      </vt:variant>
      <vt:variant>
        <vt:i4>146</vt:i4>
      </vt:variant>
      <vt:variant>
        <vt:i4>0</vt:i4>
      </vt:variant>
      <vt:variant>
        <vt:i4>5</vt:i4>
      </vt:variant>
      <vt:variant>
        <vt:lpwstr/>
      </vt:variant>
      <vt:variant>
        <vt:lpwstr>_Toc5860556</vt:lpwstr>
      </vt:variant>
      <vt:variant>
        <vt:i4>2752518</vt:i4>
      </vt:variant>
      <vt:variant>
        <vt:i4>140</vt:i4>
      </vt:variant>
      <vt:variant>
        <vt:i4>0</vt:i4>
      </vt:variant>
      <vt:variant>
        <vt:i4>5</vt:i4>
      </vt:variant>
      <vt:variant>
        <vt:lpwstr/>
      </vt:variant>
      <vt:variant>
        <vt:lpwstr>_Toc5860555</vt:lpwstr>
      </vt:variant>
      <vt:variant>
        <vt:i4>2752518</vt:i4>
      </vt:variant>
      <vt:variant>
        <vt:i4>134</vt:i4>
      </vt:variant>
      <vt:variant>
        <vt:i4>0</vt:i4>
      </vt:variant>
      <vt:variant>
        <vt:i4>5</vt:i4>
      </vt:variant>
      <vt:variant>
        <vt:lpwstr/>
      </vt:variant>
      <vt:variant>
        <vt:lpwstr>_Toc5860554</vt:lpwstr>
      </vt:variant>
      <vt:variant>
        <vt:i4>2752518</vt:i4>
      </vt:variant>
      <vt:variant>
        <vt:i4>128</vt:i4>
      </vt:variant>
      <vt:variant>
        <vt:i4>0</vt:i4>
      </vt:variant>
      <vt:variant>
        <vt:i4>5</vt:i4>
      </vt:variant>
      <vt:variant>
        <vt:lpwstr/>
      </vt:variant>
      <vt:variant>
        <vt:lpwstr>_Toc5860553</vt:lpwstr>
      </vt:variant>
      <vt:variant>
        <vt:i4>2752518</vt:i4>
      </vt:variant>
      <vt:variant>
        <vt:i4>122</vt:i4>
      </vt:variant>
      <vt:variant>
        <vt:i4>0</vt:i4>
      </vt:variant>
      <vt:variant>
        <vt:i4>5</vt:i4>
      </vt:variant>
      <vt:variant>
        <vt:lpwstr/>
      </vt:variant>
      <vt:variant>
        <vt:lpwstr>_Toc5860552</vt:lpwstr>
      </vt:variant>
      <vt:variant>
        <vt:i4>2752518</vt:i4>
      </vt:variant>
      <vt:variant>
        <vt:i4>116</vt:i4>
      </vt:variant>
      <vt:variant>
        <vt:i4>0</vt:i4>
      </vt:variant>
      <vt:variant>
        <vt:i4>5</vt:i4>
      </vt:variant>
      <vt:variant>
        <vt:lpwstr/>
      </vt:variant>
      <vt:variant>
        <vt:lpwstr>_Toc5860551</vt:lpwstr>
      </vt:variant>
      <vt:variant>
        <vt:i4>2752518</vt:i4>
      </vt:variant>
      <vt:variant>
        <vt:i4>110</vt:i4>
      </vt:variant>
      <vt:variant>
        <vt:i4>0</vt:i4>
      </vt:variant>
      <vt:variant>
        <vt:i4>5</vt:i4>
      </vt:variant>
      <vt:variant>
        <vt:lpwstr/>
      </vt:variant>
      <vt:variant>
        <vt:lpwstr>_Toc5860550</vt:lpwstr>
      </vt:variant>
      <vt:variant>
        <vt:i4>2818054</vt:i4>
      </vt:variant>
      <vt:variant>
        <vt:i4>104</vt:i4>
      </vt:variant>
      <vt:variant>
        <vt:i4>0</vt:i4>
      </vt:variant>
      <vt:variant>
        <vt:i4>5</vt:i4>
      </vt:variant>
      <vt:variant>
        <vt:lpwstr/>
      </vt:variant>
      <vt:variant>
        <vt:lpwstr>_Toc5860549</vt:lpwstr>
      </vt:variant>
      <vt:variant>
        <vt:i4>2818054</vt:i4>
      </vt:variant>
      <vt:variant>
        <vt:i4>98</vt:i4>
      </vt:variant>
      <vt:variant>
        <vt:i4>0</vt:i4>
      </vt:variant>
      <vt:variant>
        <vt:i4>5</vt:i4>
      </vt:variant>
      <vt:variant>
        <vt:lpwstr/>
      </vt:variant>
      <vt:variant>
        <vt:lpwstr>_Toc5860548</vt:lpwstr>
      </vt:variant>
      <vt:variant>
        <vt:i4>2818054</vt:i4>
      </vt:variant>
      <vt:variant>
        <vt:i4>92</vt:i4>
      </vt:variant>
      <vt:variant>
        <vt:i4>0</vt:i4>
      </vt:variant>
      <vt:variant>
        <vt:i4>5</vt:i4>
      </vt:variant>
      <vt:variant>
        <vt:lpwstr/>
      </vt:variant>
      <vt:variant>
        <vt:lpwstr>_Toc5860547</vt:lpwstr>
      </vt:variant>
      <vt:variant>
        <vt:i4>2818054</vt:i4>
      </vt:variant>
      <vt:variant>
        <vt:i4>86</vt:i4>
      </vt:variant>
      <vt:variant>
        <vt:i4>0</vt:i4>
      </vt:variant>
      <vt:variant>
        <vt:i4>5</vt:i4>
      </vt:variant>
      <vt:variant>
        <vt:lpwstr/>
      </vt:variant>
      <vt:variant>
        <vt:lpwstr>_Toc5860546</vt:lpwstr>
      </vt:variant>
      <vt:variant>
        <vt:i4>2818054</vt:i4>
      </vt:variant>
      <vt:variant>
        <vt:i4>80</vt:i4>
      </vt:variant>
      <vt:variant>
        <vt:i4>0</vt:i4>
      </vt:variant>
      <vt:variant>
        <vt:i4>5</vt:i4>
      </vt:variant>
      <vt:variant>
        <vt:lpwstr/>
      </vt:variant>
      <vt:variant>
        <vt:lpwstr>_Toc5860545</vt:lpwstr>
      </vt:variant>
      <vt:variant>
        <vt:i4>2818054</vt:i4>
      </vt:variant>
      <vt:variant>
        <vt:i4>74</vt:i4>
      </vt:variant>
      <vt:variant>
        <vt:i4>0</vt:i4>
      </vt:variant>
      <vt:variant>
        <vt:i4>5</vt:i4>
      </vt:variant>
      <vt:variant>
        <vt:lpwstr/>
      </vt:variant>
      <vt:variant>
        <vt:lpwstr>_Toc5860544</vt:lpwstr>
      </vt:variant>
      <vt:variant>
        <vt:i4>2818054</vt:i4>
      </vt:variant>
      <vt:variant>
        <vt:i4>68</vt:i4>
      </vt:variant>
      <vt:variant>
        <vt:i4>0</vt:i4>
      </vt:variant>
      <vt:variant>
        <vt:i4>5</vt:i4>
      </vt:variant>
      <vt:variant>
        <vt:lpwstr/>
      </vt:variant>
      <vt:variant>
        <vt:lpwstr>_Toc5860543</vt:lpwstr>
      </vt:variant>
      <vt:variant>
        <vt:i4>2818054</vt:i4>
      </vt:variant>
      <vt:variant>
        <vt:i4>62</vt:i4>
      </vt:variant>
      <vt:variant>
        <vt:i4>0</vt:i4>
      </vt:variant>
      <vt:variant>
        <vt:i4>5</vt:i4>
      </vt:variant>
      <vt:variant>
        <vt:lpwstr/>
      </vt:variant>
      <vt:variant>
        <vt:lpwstr>_Toc5860542</vt:lpwstr>
      </vt:variant>
      <vt:variant>
        <vt:i4>2818054</vt:i4>
      </vt:variant>
      <vt:variant>
        <vt:i4>56</vt:i4>
      </vt:variant>
      <vt:variant>
        <vt:i4>0</vt:i4>
      </vt:variant>
      <vt:variant>
        <vt:i4>5</vt:i4>
      </vt:variant>
      <vt:variant>
        <vt:lpwstr/>
      </vt:variant>
      <vt:variant>
        <vt:lpwstr>_Toc5860541</vt:lpwstr>
      </vt:variant>
      <vt:variant>
        <vt:i4>2818054</vt:i4>
      </vt:variant>
      <vt:variant>
        <vt:i4>50</vt:i4>
      </vt:variant>
      <vt:variant>
        <vt:i4>0</vt:i4>
      </vt:variant>
      <vt:variant>
        <vt:i4>5</vt:i4>
      </vt:variant>
      <vt:variant>
        <vt:lpwstr/>
      </vt:variant>
      <vt:variant>
        <vt:lpwstr>_Toc5860540</vt:lpwstr>
      </vt:variant>
      <vt:variant>
        <vt:i4>2883590</vt:i4>
      </vt:variant>
      <vt:variant>
        <vt:i4>44</vt:i4>
      </vt:variant>
      <vt:variant>
        <vt:i4>0</vt:i4>
      </vt:variant>
      <vt:variant>
        <vt:i4>5</vt:i4>
      </vt:variant>
      <vt:variant>
        <vt:lpwstr/>
      </vt:variant>
      <vt:variant>
        <vt:lpwstr>_Toc5860539</vt:lpwstr>
      </vt:variant>
      <vt:variant>
        <vt:i4>2883590</vt:i4>
      </vt:variant>
      <vt:variant>
        <vt:i4>38</vt:i4>
      </vt:variant>
      <vt:variant>
        <vt:i4>0</vt:i4>
      </vt:variant>
      <vt:variant>
        <vt:i4>5</vt:i4>
      </vt:variant>
      <vt:variant>
        <vt:lpwstr/>
      </vt:variant>
      <vt:variant>
        <vt:lpwstr>_Toc5860538</vt:lpwstr>
      </vt:variant>
      <vt:variant>
        <vt:i4>2883590</vt:i4>
      </vt:variant>
      <vt:variant>
        <vt:i4>32</vt:i4>
      </vt:variant>
      <vt:variant>
        <vt:i4>0</vt:i4>
      </vt:variant>
      <vt:variant>
        <vt:i4>5</vt:i4>
      </vt:variant>
      <vt:variant>
        <vt:lpwstr/>
      </vt:variant>
      <vt:variant>
        <vt:lpwstr>_Toc5860537</vt:lpwstr>
      </vt:variant>
      <vt:variant>
        <vt:i4>2883590</vt:i4>
      </vt:variant>
      <vt:variant>
        <vt:i4>26</vt:i4>
      </vt:variant>
      <vt:variant>
        <vt:i4>0</vt:i4>
      </vt:variant>
      <vt:variant>
        <vt:i4>5</vt:i4>
      </vt:variant>
      <vt:variant>
        <vt:lpwstr/>
      </vt:variant>
      <vt:variant>
        <vt:lpwstr>_Toc5860536</vt:lpwstr>
      </vt:variant>
      <vt:variant>
        <vt:i4>2883590</vt:i4>
      </vt:variant>
      <vt:variant>
        <vt:i4>20</vt:i4>
      </vt:variant>
      <vt:variant>
        <vt:i4>0</vt:i4>
      </vt:variant>
      <vt:variant>
        <vt:i4>5</vt:i4>
      </vt:variant>
      <vt:variant>
        <vt:lpwstr/>
      </vt:variant>
      <vt:variant>
        <vt:lpwstr>_Toc5860535</vt:lpwstr>
      </vt:variant>
      <vt:variant>
        <vt:i4>2883590</vt:i4>
      </vt:variant>
      <vt:variant>
        <vt:i4>14</vt:i4>
      </vt:variant>
      <vt:variant>
        <vt:i4>0</vt:i4>
      </vt:variant>
      <vt:variant>
        <vt:i4>5</vt:i4>
      </vt:variant>
      <vt:variant>
        <vt:lpwstr/>
      </vt:variant>
      <vt:variant>
        <vt:lpwstr>_Toc5860534</vt:lpwstr>
      </vt:variant>
      <vt:variant>
        <vt:i4>2949126</vt:i4>
      </vt:variant>
      <vt:variant>
        <vt:i4>8</vt:i4>
      </vt:variant>
      <vt:variant>
        <vt:i4>0</vt:i4>
      </vt:variant>
      <vt:variant>
        <vt:i4>5</vt:i4>
      </vt:variant>
      <vt:variant>
        <vt:lpwstr/>
      </vt:variant>
      <vt:variant>
        <vt:lpwstr>_Toc5860529</vt:lpwstr>
      </vt:variant>
      <vt:variant>
        <vt:i4>2949126</vt:i4>
      </vt:variant>
      <vt:variant>
        <vt:i4>2</vt:i4>
      </vt:variant>
      <vt:variant>
        <vt:i4>0</vt:i4>
      </vt:variant>
      <vt:variant>
        <vt:i4>5</vt:i4>
      </vt:variant>
      <vt:variant>
        <vt:lpwstr/>
      </vt:variant>
      <vt:variant>
        <vt:lpwstr>_Toc5860528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Market Dynamics Study</dc:title>
  <dc:creator>Zoe Mathys</dc:creator>
  <cp:lastModifiedBy>Other</cp:lastModifiedBy>
  <cp:revision>2</cp:revision>
  <cp:lastPrinted>2019-05-27T23:32:00Z</cp:lastPrinted>
  <dcterms:created xsi:type="dcterms:W3CDTF">2019-05-29T01:11:00Z</dcterms:created>
  <dcterms:modified xsi:type="dcterms:W3CDTF">2019-05-29T01:11:00Z</dcterms:modified>
</cp:coreProperties>
</file>