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DE8D" w14:textId="11A7BFAA" w:rsidR="0008612C" w:rsidRDefault="0008612C" w:rsidP="0008612C">
      <w:pPr>
        <w:rPr>
          <w:color w:val="auto"/>
        </w:rPr>
      </w:pPr>
      <w:r w:rsidRPr="0008612C">
        <w:rPr>
          <w:color w:val="auto"/>
        </w:rPr>
        <w:t xml:space="preserve">Standards </w:t>
      </w:r>
      <w:r w:rsidR="00E366F7">
        <w:rPr>
          <w:color w:val="auto"/>
        </w:rPr>
        <w:t>and</w:t>
      </w:r>
      <w:r w:rsidRPr="0008612C">
        <w:rPr>
          <w:color w:val="auto"/>
        </w:rPr>
        <w:t xml:space="preserve"> Performance Pathways</w:t>
      </w:r>
    </w:p>
    <w:p w14:paraId="2E2FBEA9" w14:textId="77777777" w:rsidR="0008612C" w:rsidRPr="0008612C" w:rsidRDefault="0008612C" w:rsidP="0008612C">
      <w:pPr>
        <w:spacing w:after="720"/>
        <w:rPr>
          <w:color w:val="auto"/>
        </w:rPr>
      </w:pPr>
      <w:r w:rsidRPr="0008612C">
        <w:rPr>
          <w:color w:val="auto"/>
        </w:rPr>
        <w:t>National Disability Services</w:t>
      </w:r>
    </w:p>
    <w:p w14:paraId="6210B389" w14:textId="78A702CA" w:rsidR="005A1178" w:rsidRDefault="003461E8" w:rsidP="0008612C">
      <w:pPr>
        <w:pStyle w:val="Heading1"/>
      </w:pPr>
      <w:r>
        <w:t>NDS Quality Portal</w:t>
      </w:r>
    </w:p>
    <w:p w14:paraId="416495AA" w14:textId="1000F607" w:rsidR="003461E8" w:rsidRDefault="003461E8" w:rsidP="0008612C">
      <w:pPr>
        <w:jc w:val="center"/>
      </w:pPr>
      <w:r w:rsidRPr="0008612C">
        <w:t>Your complete NDIS quality and compliance solution</w:t>
      </w:r>
    </w:p>
    <w:p w14:paraId="60A81081" w14:textId="77777777" w:rsidR="0008612C" w:rsidRDefault="0008612C">
      <w:pPr>
        <w:spacing w:after="160" w:line="259" w:lineRule="auto"/>
      </w:pPr>
      <w:r>
        <w:br w:type="page"/>
      </w:r>
    </w:p>
    <w:p w14:paraId="6528B059" w14:textId="0992D2A7" w:rsidR="003461E8" w:rsidRPr="0008612C" w:rsidRDefault="003461E8" w:rsidP="0008612C">
      <w:pPr>
        <w:pStyle w:val="Heading2"/>
      </w:pPr>
      <w:r w:rsidRPr="0008612C">
        <w:lastRenderedPageBreak/>
        <w:t>Discover the NDS Quality Portal</w:t>
      </w:r>
    </w:p>
    <w:p w14:paraId="44E68DCA" w14:textId="54A28275" w:rsidR="003461E8" w:rsidRPr="003461E8" w:rsidRDefault="003461E8" w:rsidP="003461E8">
      <w:r w:rsidRPr="003461E8">
        <w:t xml:space="preserve">The NDS Quality Portal is a tailored version of Standards </w:t>
      </w:r>
      <w:r w:rsidR="00E366F7">
        <w:t>and</w:t>
      </w:r>
      <w:r w:rsidRPr="003461E8">
        <w:t xml:space="preserve"> Performance Pathways (SPP), Australia’s leading online solution used by over 1500 NGOs for their accreditation, standards </w:t>
      </w:r>
      <w:proofErr w:type="gramStart"/>
      <w:r w:rsidRPr="003461E8">
        <w:t>compliance</w:t>
      </w:r>
      <w:proofErr w:type="gramEnd"/>
      <w:r w:rsidRPr="003461E8">
        <w:t xml:space="preserve"> and continuous quality improvement. </w:t>
      </w:r>
    </w:p>
    <w:p w14:paraId="5BDA4B2F" w14:textId="77777777" w:rsidR="003461E8" w:rsidRPr="003461E8" w:rsidRDefault="003461E8" w:rsidP="003461E8">
      <w:r w:rsidRPr="003461E8">
        <w:t xml:space="preserve">The Quality Portal includes access to self-assessments for </w:t>
      </w:r>
      <w:proofErr w:type="gramStart"/>
      <w:r w:rsidRPr="003461E8">
        <w:t>all of</w:t>
      </w:r>
      <w:proofErr w:type="gramEnd"/>
      <w:r w:rsidRPr="003461E8">
        <w:t xml:space="preserve"> the main Australian national and state/territory community and health service standards, including the NDIS Practice Standards. </w:t>
      </w:r>
    </w:p>
    <w:p w14:paraId="79BE59BB" w14:textId="65DE6BF5" w:rsidR="003461E8" w:rsidRDefault="003461E8" w:rsidP="003461E8">
      <w:r w:rsidRPr="0008612C">
        <w:t>Organisations that use the Quality Portal can save up to 80</w:t>
      </w:r>
      <w:r w:rsidR="00E366F7">
        <w:t xml:space="preserve"> per cent</w:t>
      </w:r>
      <w:r w:rsidRPr="0008612C">
        <w:t xml:space="preserve"> of time spent on quality standards and compliance reporting. Promote a culture of quality management and improvement that involves all team members in your organisation.</w:t>
      </w:r>
    </w:p>
    <w:p w14:paraId="119C46C8" w14:textId="4522B676" w:rsidR="0008612C" w:rsidRDefault="0008612C">
      <w:pPr>
        <w:spacing w:after="160" w:line="259" w:lineRule="auto"/>
      </w:pPr>
      <w:r>
        <w:br w:type="page"/>
      </w:r>
    </w:p>
    <w:p w14:paraId="353666FB" w14:textId="2B030B7F" w:rsidR="003461E8" w:rsidRPr="003461E8" w:rsidRDefault="003461E8" w:rsidP="003461E8">
      <w:pPr>
        <w:rPr>
          <w:b/>
          <w:bCs/>
        </w:rPr>
      </w:pPr>
      <w:r w:rsidRPr="003461E8">
        <w:rPr>
          <w:b/>
          <w:bCs/>
        </w:rPr>
        <w:lastRenderedPageBreak/>
        <w:t>Easy to follow online self-assessments</w:t>
      </w:r>
    </w:p>
    <w:p w14:paraId="47F0FE65" w14:textId="517906B4" w:rsidR="003461E8" w:rsidRPr="003461E8" w:rsidRDefault="003461E8" w:rsidP="003461E8">
      <w:r w:rsidRPr="003461E8">
        <w:t>Standards are translated into a series of easy-to-follow modules, with a suite of templates and resources to guide you through the requirements.</w:t>
      </w:r>
    </w:p>
    <w:p w14:paraId="3BC02A7D" w14:textId="57CC3E25" w:rsidR="003461E8" w:rsidRPr="003461E8" w:rsidRDefault="003461E8" w:rsidP="003461E8">
      <w:pPr>
        <w:rPr>
          <w:b/>
          <w:bCs/>
        </w:rPr>
      </w:pPr>
      <w:r w:rsidRPr="003461E8">
        <w:rPr>
          <w:b/>
          <w:bCs/>
        </w:rPr>
        <w:t>NDIS Practice Standards</w:t>
      </w:r>
    </w:p>
    <w:p w14:paraId="452E9CCF" w14:textId="345C72E3" w:rsidR="003461E8" w:rsidRPr="003461E8" w:rsidRDefault="003461E8" w:rsidP="003461E8">
      <w:r w:rsidRPr="0008612C">
        <w:t>Track your compliance against the NDIS Practice Standards and immediately identify gaps where further work is required.</w:t>
      </w:r>
    </w:p>
    <w:p w14:paraId="2A770F3F" w14:textId="0C1B4B3F" w:rsidR="003461E8" w:rsidRPr="003461E8" w:rsidRDefault="003461E8" w:rsidP="003461E8">
      <w:pPr>
        <w:rPr>
          <w:b/>
          <w:bCs/>
        </w:rPr>
      </w:pPr>
      <w:r w:rsidRPr="003461E8">
        <w:rPr>
          <w:b/>
          <w:bCs/>
        </w:rPr>
        <w:t>Manage and link evidence</w:t>
      </w:r>
    </w:p>
    <w:p w14:paraId="2A27FC1C" w14:textId="0E226012" w:rsidR="003461E8" w:rsidRPr="003461E8" w:rsidRDefault="003461E8" w:rsidP="003461E8">
      <w:r w:rsidRPr="003461E8">
        <w:t xml:space="preserve">Manage </w:t>
      </w:r>
      <w:proofErr w:type="gramStart"/>
      <w:r w:rsidRPr="003461E8">
        <w:t>all of</w:t>
      </w:r>
      <w:proofErr w:type="gramEnd"/>
      <w:r w:rsidRPr="003461E8">
        <w:t xml:space="preserve"> your quality and compliance documents in one place - and attach them as evidence to demonstrate compliance.</w:t>
      </w:r>
    </w:p>
    <w:p w14:paraId="54D05D13" w14:textId="323295AE" w:rsidR="003461E8" w:rsidRPr="003461E8" w:rsidRDefault="003461E8" w:rsidP="003461E8">
      <w:pPr>
        <w:rPr>
          <w:b/>
          <w:bCs/>
        </w:rPr>
      </w:pPr>
      <w:r w:rsidRPr="003461E8">
        <w:rPr>
          <w:b/>
          <w:bCs/>
        </w:rPr>
        <w:t>Following multiple Standards?</w:t>
      </w:r>
    </w:p>
    <w:p w14:paraId="2A86B7D1" w14:textId="59A4F8B2" w:rsidR="003461E8" w:rsidRPr="003461E8" w:rsidRDefault="003461E8" w:rsidP="003461E8">
      <w:r w:rsidRPr="003461E8">
        <w:t>Choose our cross-mapped assessments to address common requirements (such as the Aged Care Quality Standards) and save time. Or just focus in detail on NDIS alone.</w:t>
      </w:r>
    </w:p>
    <w:p w14:paraId="6F4464DB" w14:textId="28E59F41" w:rsidR="003461E8" w:rsidRPr="003461E8" w:rsidRDefault="003461E8" w:rsidP="003461E8">
      <w:pPr>
        <w:rPr>
          <w:b/>
          <w:bCs/>
        </w:rPr>
      </w:pPr>
      <w:r w:rsidRPr="003461E8">
        <w:rPr>
          <w:b/>
          <w:bCs/>
        </w:rPr>
        <w:t>Create quality improvement plans</w:t>
      </w:r>
    </w:p>
    <w:p w14:paraId="07BA6C39" w14:textId="05B9C56F" w:rsidR="003461E8" w:rsidRPr="0008612C" w:rsidRDefault="003461E8" w:rsidP="003461E8">
      <w:r w:rsidRPr="0008612C">
        <w:lastRenderedPageBreak/>
        <w:t xml:space="preserve">The Portal's "Action Plan" pulls together </w:t>
      </w:r>
      <w:proofErr w:type="gramStart"/>
      <w:r w:rsidRPr="0008612C">
        <w:t>all of</w:t>
      </w:r>
      <w:proofErr w:type="gramEnd"/>
      <w:r w:rsidRPr="0008612C">
        <w:t xml:space="preserve"> your outstanding tasks to achieve compliance. Assign tasks and due dates to team members.</w:t>
      </w:r>
    </w:p>
    <w:p w14:paraId="1C28B618" w14:textId="77777777" w:rsidR="0008612C" w:rsidRDefault="0008612C">
      <w:pPr>
        <w:spacing w:after="160" w:line="259" w:lineRule="auto"/>
      </w:pPr>
      <w:r>
        <w:br w:type="page"/>
      </w:r>
    </w:p>
    <w:p w14:paraId="6748239A" w14:textId="2E9B701C" w:rsidR="003461E8" w:rsidRPr="0008612C" w:rsidRDefault="003461E8" w:rsidP="0008612C">
      <w:pPr>
        <w:pStyle w:val="Heading2"/>
      </w:pPr>
      <w:r w:rsidRPr="0008612C">
        <w:lastRenderedPageBreak/>
        <w:t>Templates and resources</w:t>
      </w:r>
    </w:p>
    <w:p w14:paraId="013F311F" w14:textId="0252FF7D" w:rsidR="003461E8" w:rsidRPr="0008612C" w:rsidRDefault="003461E8" w:rsidP="003461E8">
      <w:pPr>
        <w:rPr>
          <w:color w:val="auto"/>
        </w:rPr>
      </w:pPr>
      <w:r w:rsidRPr="0008612C">
        <w:t>Download a wealth of policy templates and information sheets in the Reading Room, including specialist disability resources</w:t>
      </w:r>
      <w:r w:rsidRPr="0008612C">
        <w:rPr>
          <w:color w:val="auto"/>
        </w:rPr>
        <w:t xml:space="preserve"> on the following topics:</w:t>
      </w:r>
    </w:p>
    <w:p w14:paraId="714A6942" w14:textId="77777777" w:rsidR="003461E8" w:rsidRPr="0008612C" w:rsidRDefault="003461E8" w:rsidP="0008612C">
      <w:pPr>
        <w:pStyle w:val="ListParagraph"/>
        <w:numPr>
          <w:ilvl w:val="0"/>
          <w:numId w:val="1"/>
        </w:numPr>
        <w:spacing w:after="0"/>
        <w:ind w:left="567" w:hanging="567"/>
        <w:contextualSpacing w:val="0"/>
        <w:rPr>
          <w:color w:val="auto"/>
        </w:rPr>
      </w:pPr>
      <w:r w:rsidRPr="0008612C">
        <w:rPr>
          <w:color w:val="auto"/>
        </w:rPr>
        <w:t>Clinical Governance</w:t>
      </w:r>
    </w:p>
    <w:p w14:paraId="4EB4F2A0" w14:textId="77777777" w:rsidR="003461E8" w:rsidRPr="0008612C" w:rsidRDefault="003461E8" w:rsidP="0008612C">
      <w:pPr>
        <w:pStyle w:val="ListParagraph"/>
        <w:numPr>
          <w:ilvl w:val="0"/>
          <w:numId w:val="1"/>
        </w:numPr>
        <w:spacing w:after="0"/>
        <w:ind w:left="567" w:hanging="567"/>
        <w:contextualSpacing w:val="0"/>
        <w:rPr>
          <w:color w:val="auto"/>
        </w:rPr>
      </w:pPr>
      <w:r w:rsidRPr="0008612C">
        <w:rPr>
          <w:color w:val="auto"/>
        </w:rPr>
        <w:t>Worker Screening</w:t>
      </w:r>
    </w:p>
    <w:p w14:paraId="0ECCC277" w14:textId="77777777" w:rsidR="003461E8" w:rsidRPr="0008612C" w:rsidRDefault="003461E8" w:rsidP="0008612C">
      <w:pPr>
        <w:pStyle w:val="ListParagraph"/>
        <w:numPr>
          <w:ilvl w:val="0"/>
          <w:numId w:val="1"/>
        </w:numPr>
        <w:spacing w:after="0"/>
        <w:ind w:left="567" w:hanging="567"/>
        <w:contextualSpacing w:val="0"/>
        <w:rPr>
          <w:color w:val="auto"/>
        </w:rPr>
      </w:pPr>
      <w:r w:rsidRPr="0008612C">
        <w:rPr>
          <w:color w:val="auto"/>
        </w:rPr>
        <w:t>Incident Management</w:t>
      </w:r>
    </w:p>
    <w:p w14:paraId="604CF6A4" w14:textId="77777777" w:rsidR="003461E8" w:rsidRPr="0008612C" w:rsidRDefault="003461E8" w:rsidP="0008612C">
      <w:pPr>
        <w:pStyle w:val="ListParagraph"/>
        <w:numPr>
          <w:ilvl w:val="0"/>
          <w:numId w:val="1"/>
        </w:numPr>
        <w:spacing w:after="0"/>
        <w:ind w:left="567" w:hanging="567"/>
        <w:contextualSpacing w:val="0"/>
        <w:rPr>
          <w:color w:val="auto"/>
        </w:rPr>
      </w:pPr>
      <w:r w:rsidRPr="0008612C">
        <w:rPr>
          <w:color w:val="auto"/>
        </w:rPr>
        <w:t>Restrictive Practices</w:t>
      </w:r>
    </w:p>
    <w:p w14:paraId="039EE040" w14:textId="77777777" w:rsidR="003461E8" w:rsidRPr="0008612C" w:rsidRDefault="003461E8" w:rsidP="0008612C">
      <w:pPr>
        <w:pStyle w:val="ListParagraph"/>
        <w:numPr>
          <w:ilvl w:val="0"/>
          <w:numId w:val="1"/>
        </w:numPr>
        <w:spacing w:after="0"/>
        <w:ind w:left="567" w:hanging="567"/>
        <w:contextualSpacing w:val="0"/>
        <w:rPr>
          <w:color w:val="auto"/>
        </w:rPr>
      </w:pPr>
      <w:r w:rsidRPr="0008612C">
        <w:rPr>
          <w:color w:val="auto"/>
        </w:rPr>
        <w:t>Mealtime Management</w:t>
      </w:r>
    </w:p>
    <w:p w14:paraId="010DB598" w14:textId="77777777" w:rsidR="003461E8" w:rsidRPr="0008612C" w:rsidRDefault="003461E8" w:rsidP="0008612C">
      <w:pPr>
        <w:pStyle w:val="ListParagraph"/>
        <w:numPr>
          <w:ilvl w:val="0"/>
          <w:numId w:val="1"/>
        </w:numPr>
        <w:spacing w:after="0"/>
        <w:ind w:left="567" w:hanging="567"/>
        <w:contextualSpacing w:val="0"/>
        <w:rPr>
          <w:color w:val="auto"/>
        </w:rPr>
      </w:pPr>
      <w:r w:rsidRPr="0008612C">
        <w:rPr>
          <w:color w:val="auto"/>
        </w:rPr>
        <w:t>Support Co-ordination and Plan Management</w:t>
      </w:r>
    </w:p>
    <w:p w14:paraId="05FC407E" w14:textId="77777777" w:rsidR="003461E8" w:rsidRPr="0008612C" w:rsidRDefault="003461E8" w:rsidP="0008612C">
      <w:pPr>
        <w:pStyle w:val="ListParagraph"/>
        <w:numPr>
          <w:ilvl w:val="0"/>
          <w:numId w:val="1"/>
        </w:numPr>
        <w:spacing w:after="0"/>
        <w:ind w:left="567" w:hanging="567"/>
        <w:contextualSpacing w:val="0"/>
        <w:rPr>
          <w:color w:val="auto"/>
        </w:rPr>
      </w:pPr>
      <w:r w:rsidRPr="0008612C">
        <w:rPr>
          <w:color w:val="auto"/>
        </w:rPr>
        <w:t>Client Risk Assessment</w:t>
      </w:r>
    </w:p>
    <w:p w14:paraId="73F0744C" w14:textId="3942E510" w:rsidR="003461E8" w:rsidRPr="0008612C" w:rsidRDefault="003461E8" w:rsidP="0008612C">
      <w:pPr>
        <w:pStyle w:val="ListParagraph"/>
        <w:numPr>
          <w:ilvl w:val="0"/>
          <w:numId w:val="1"/>
        </w:numPr>
        <w:spacing w:after="0"/>
        <w:ind w:left="567" w:hanging="567"/>
        <w:contextualSpacing w:val="0"/>
        <w:rPr>
          <w:color w:val="auto"/>
        </w:rPr>
      </w:pPr>
      <w:r w:rsidRPr="0008612C">
        <w:rPr>
          <w:color w:val="auto"/>
        </w:rPr>
        <w:t>Conflict of Interest</w:t>
      </w:r>
    </w:p>
    <w:p w14:paraId="602A6513" w14:textId="77777777" w:rsidR="0008612C" w:rsidRDefault="0008612C">
      <w:pPr>
        <w:spacing w:after="160" w:line="259" w:lineRule="auto"/>
        <w:rPr>
          <w:color w:val="auto"/>
        </w:rPr>
      </w:pPr>
      <w:r>
        <w:rPr>
          <w:color w:val="auto"/>
        </w:rPr>
        <w:br w:type="page"/>
      </w:r>
    </w:p>
    <w:p w14:paraId="5B161BC2" w14:textId="1042725F" w:rsidR="003461E8" w:rsidRPr="0008612C" w:rsidRDefault="003461E8" w:rsidP="0008612C">
      <w:pPr>
        <w:pStyle w:val="Heading2"/>
      </w:pPr>
      <w:r w:rsidRPr="0008612C">
        <w:lastRenderedPageBreak/>
        <w:t>Risk registers and planners</w:t>
      </w:r>
    </w:p>
    <w:p w14:paraId="4DE83129" w14:textId="31570D33" w:rsidR="003461E8" w:rsidRPr="0008612C" w:rsidRDefault="003461E8" w:rsidP="003461E8">
      <w:pPr>
        <w:rPr>
          <w:color w:val="auto"/>
        </w:rPr>
      </w:pPr>
      <w:r w:rsidRPr="0008612C">
        <w:rPr>
          <w:color w:val="auto"/>
        </w:rPr>
        <w:t>Use our templates for ongoing reporting or build your own bespoke registers for risk, complaints, incidents, quality improvement and more.</w:t>
      </w:r>
    </w:p>
    <w:p w14:paraId="29327715" w14:textId="100F1DA0" w:rsidR="003461E8" w:rsidRPr="0008612C" w:rsidRDefault="003461E8" w:rsidP="0008612C">
      <w:pPr>
        <w:pStyle w:val="Heading2"/>
      </w:pPr>
      <w:r w:rsidRPr="0008612C">
        <w:t>Ready for reviewers</w:t>
      </w:r>
    </w:p>
    <w:p w14:paraId="59ADB952" w14:textId="3E2A971E" w:rsidR="003461E8" w:rsidRPr="0008612C" w:rsidRDefault="003461E8" w:rsidP="003461E8">
      <w:pPr>
        <w:rPr>
          <w:color w:val="auto"/>
        </w:rPr>
      </w:pPr>
      <w:r w:rsidRPr="0008612C">
        <w:rPr>
          <w:color w:val="auto"/>
        </w:rPr>
        <w:t>Generate compliance reports with linked evidence which you can package for reviewers and make available online or offline.</w:t>
      </w:r>
    </w:p>
    <w:p w14:paraId="65003902" w14:textId="69170CAB" w:rsidR="0008612C" w:rsidRDefault="0008612C">
      <w:pPr>
        <w:spacing w:after="160" w:line="259" w:lineRule="auto"/>
        <w:rPr>
          <w:color w:val="auto"/>
        </w:rPr>
      </w:pPr>
      <w:r>
        <w:rPr>
          <w:color w:val="auto"/>
        </w:rPr>
        <w:br w:type="page"/>
      </w:r>
    </w:p>
    <w:p w14:paraId="61843333" w14:textId="18F631BC" w:rsidR="003461E8" w:rsidRPr="0008612C" w:rsidRDefault="003461E8" w:rsidP="0008612C">
      <w:pPr>
        <w:pStyle w:val="Heading2"/>
      </w:pPr>
      <w:r w:rsidRPr="0008612C">
        <w:lastRenderedPageBreak/>
        <w:t>Multi-Service Accounts (MSAs)</w:t>
      </w:r>
    </w:p>
    <w:p w14:paraId="0B9B483E" w14:textId="77777777" w:rsidR="003461E8" w:rsidRPr="003461E8" w:rsidRDefault="003461E8" w:rsidP="003461E8">
      <w:pPr>
        <w:rPr>
          <w:color w:val="auto"/>
        </w:rPr>
      </w:pPr>
      <w:r w:rsidRPr="003461E8">
        <w:rPr>
          <w:color w:val="auto"/>
        </w:rPr>
        <w:t xml:space="preserve">Many of our users who have multiple service streams or locations have set up a Multi- Service Account (MSA) on SPP. </w:t>
      </w:r>
    </w:p>
    <w:p w14:paraId="5F2F1969" w14:textId="77777777" w:rsidR="003461E8" w:rsidRPr="003461E8" w:rsidRDefault="003461E8" w:rsidP="003461E8">
      <w:pPr>
        <w:rPr>
          <w:color w:val="auto"/>
        </w:rPr>
      </w:pPr>
      <w:r w:rsidRPr="003461E8">
        <w:rPr>
          <w:color w:val="auto"/>
        </w:rPr>
        <w:t xml:space="preserve">From your Corporate Account, you can centrally assess and monitor each service's performance, download aggregated data into Excel and track trend improvements over time. </w:t>
      </w:r>
    </w:p>
    <w:p w14:paraId="11E92D5A" w14:textId="2CEEB566" w:rsidR="003461E8" w:rsidRPr="0008612C" w:rsidRDefault="003461E8" w:rsidP="003461E8">
      <w:pPr>
        <w:rPr>
          <w:color w:val="auto"/>
        </w:rPr>
      </w:pPr>
      <w:r w:rsidRPr="0008612C">
        <w:rPr>
          <w:color w:val="auto"/>
        </w:rPr>
        <w:t xml:space="preserve">MSAs are a great way for providers with multiple facilities or different service streams to manage quality, </w:t>
      </w:r>
      <w:proofErr w:type="gramStart"/>
      <w:r w:rsidRPr="0008612C">
        <w:rPr>
          <w:color w:val="auto"/>
        </w:rPr>
        <w:t>risk</w:t>
      </w:r>
      <w:proofErr w:type="gramEnd"/>
      <w:r w:rsidRPr="0008612C">
        <w:rPr>
          <w:color w:val="auto"/>
        </w:rPr>
        <w:t xml:space="preserve"> and compliance at the management level of each service.</w:t>
      </w:r>
    </w:p>
    <w:p w14:paraId="0CA4EB3F" w14:textId="77777777" w:rsidR="0008612C" w:rsidRDefault="0008612C">
      <w:pPr>
        <w:spacing w:after="160" w:line="259" w:lineRule="auto"/>
        <w:rPr>
          <w:color w:val="auto"/>
        </w:rPr>
      </w:pPr>
      <w:r>
        <w:rPr>
          <w:color w:val="auto"/>
        </w:rPr>
        <w:br w:type="page"/>
      </w:r>
    </w:p>
    <w:p w14:paraId="5EB4F46D" w14:textId="2DFE3786" w:rsidR="003461E8" w:rsidRPr="0008612C" w:rsidRDefault="003461E8" w:rsidP="0008612C">
      <w:pPr>
        <w:pStyle w:val="Heading2"/>
      </w:pPr>
      <w:r w:rsidRPr="0008612C">
        <w:lastRenderedPageBreak/>
        <w:t>Testimonials</w:t>
      </w:r>
    </w:p>
    <w:p w14:paraId="3CB2F20D" w14:textId="77777777" w:rsidR="003461E8" w:rsidRPr="0008612C" w:rsidRDefault="003461E8" w:rsidP="0008612C">
      <w:pPr>
        <w:spacing w:after="720"/>
        <w:rPr>
          <w:color w:val="auto"/>
        </w:rPr>
      </w:pPr>
      <w:r w:rsidRPr="0008612C">
        <w:rPr>
          <w:color w:val="auto"/>
        </w:rPr>
        <w:t xml:space="preserve">"Thanks team, I just wanted to pass on the compliments we received from the NDIS auditors. We gave them access to SPP to audit our documents and they were amazed and thrilled with the platform. It made their job so easy. We've been using SPP now for six years, and we are very happy with it." </w:t>
      </w:r>
    </w:p>
    <w:p w14:paraId="6FB5D8C9" w14:textId="7845D8D6" w:rsidR="003461E8" w:rsidRPr="0008612C" w:rsidRDefault="003461E8" w:rsidP="003461E8">
      <w:pPr>
        <w:rPr>
          <w:color w:val="auto"/>
        </w:rPr>
      </w:pPr>
      <w:r w:rsidRPr="0008612C">
        <w:rPr>
          <w:color w:val="auto"/>
        </w:rPr>
        <w:t>"I'd just like to say that working with you guys has been nothing short of excellent. Your professionalism, the quality of your product and your amazing customer service have been so completely refreshing!"</w:t>
      </w:r>
    </w:p>
    <w:p w14:paraId="42A5E987" w14:textId="77777777" w:rsidR="0008612C" w:rsidRDefault="0008612C">
      <w:pPr>
        <w:spacing w:after="160" w:line="259" w:lineRule="auto"/>
        <w:rPr>
          <w:color w:val="auto"/>
        </w:rPr>
      </w:pPr>
      <w:r>
        <w:rPr>
          <w:color w:val="auto"/>
        </w:rPr>
        <w:br w:type="page"/>
      </w:r>
    </w:p>
    <w:p w14:paraId="7FF936B2" w14:textId="2C1BD422" w:rsidR="003461E8" w:rsidRPr="0008612C" w:rsidRDefault="003461E8" w:rsidP="0008612C">
      <w:pPr>
        <w:pStyle w:val="Heading2"/>
      </w:pPr>
      <w:r w:rsidRPr="0008612C">
        <w:lastRenderedPageBreak/>
        <w:t>For more information:</w:t>
      </w:r>
    </w:p>
    <w:p w14:paraId="16B43AD6" w14:textId="40781C24" w:rsidR="003461E8" w:rsidRPr="0008612C" w:rsidRDefault="003461E8" w:rsidP="003461E8">
      <w:pPr>
        <w:rPr>
          <w:color w:val="auto"/>
        </w:rPr>
      </w:pPr>
      <w:r w:rsidRPr="0008612C">
        <w:rPr>
          <w:color w:val="auto"/>
        </w:rPr>
        <w:t xml:space="preserve">Visit </w:t>
      </w:r>
      <w:hyperlink r:id="rId5" w:history="1">
        <w:r w:rsidR="0008612C" w:rsidRPr="00F854C2">
          <w:rPr>
            <w:rStyle w:val="Hyperlink"/>
          </w:rPr>
          <w:t>https://spp.ngoservicesonline.com.au/ndsqp</w:t>
        </w:r>
      </w:hyperlink>
      <w:r w:rsidR="0008612C">
        <w:rPr>
          <w:color w:val="auto"/>
        </w:rPr>
        <w:t xml:space="preserve"> </w:t>
      </w:r>
    </w:p>
    <w:p w14:paraId="1B41D413" w14:textId="1F06CE69" w:rsidR="003461E8" w:rsidRPr="0008612C" w:rsidRDefault="003461E8" w:rsidP="003461E8">
      <w:pPr>
        <w:rPr>
          <w:color w:val="auto"/>
        </w:rPr>
      </w:pPr>
      <w:r w:rsidRPr="0008612C">
        <w:rPr>
          <w:color w:val="auto"/>
        </w:rPr>
        <w:t xml:space="preserve">Contact us at </w:t>
      </w:r>
      <w:hyperlink r:id="rId6" w:history="1">
        <w:r w:rsidR="0008612C" w:rsidRPr="00F854C2">
          <w:rPr>
            <w:rStyle w:val="Hyperlink"/>
          </w:rPr>
          <w:t>team@bngonline.com.au</w:t>
        </w:r>
      </w:hyperlink>
      <w:r w:rsidR="0008612C">
        <w:rPr>
          <w:color w:val="auto"/>
        </w:rPr>
        <w:t xml:space="preserve"> </w:t>
      </w:r>
    </w:p>
    <w:p w14:paraId="6EEFAA0E" w14:textId="6BA5806F" w:rsidR="003461E8" w:rsidRPr="0008612C" w:rsidRDefault="003461E8" w:rsidP="0008612C">
      <w:pPr>
        <w:spacing w:after="840"/>
        <w:rPr>
          <w:color w:val="auto"/>
        </w:rPr>
      </w:pPr>
      <w:r w:rsidRPr="0008612C">
        <w:rPr>
          <w:color w:val="auto"/>
        </w:rPr>
        <w:t>Speak to our team on 02 9569 1704</w:t>
      </w:r>
    </w:p>
    <w:p w14:paraId="182C18C8" w14:textId="77777777" w:rsidR="0008612C" w:rsidRDefault="003461E8" w:rsidP="0008612C">
      <w:pPr>
        <w:rPr>
          <w:color w:val="auto"/>
        </w:rPr>
      </w:pPr>
      <w:r w:rsidRPr="0008612C">
        <w:rPr>
          <w:color w:val="auto"/>
        </w:rPr>
        <w:t>Standards &amp; Performance Pathways</w:t>
      </w:r>
    </w:p>
    <w:p w14:paraId="12AC1986" w14:textId="35A50E8D" w:rsidR="003461E8" w:rsidRPr="0008612C" w:rsidRDefault="003461E8" w:rsidP="0008612C">
      <w:pPr>
        <w:rPr>
          <w:color w:val="auto"/>
        </w:rPr>
      </w:pPr>
      <w:r w:rsidRPr="0008612C">
        <w:rPr>
          <w:color w:val="auto"/>
        </w:rPr>
        <w:t>National Disability Services</w:t>
      </w:r>
    </w:p>
    <w:sectPr w:rsidR="003461E8" w:rsidRPr="0008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4C39"/>
    <w:multiLevelType w:val="hybridMultilevel"/>
    <w:tmpl w:val="E7BC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E8"/>
    <w:rsid w:val="0008612C"/>
    <w:rsid w:val="003461E8"/>
    <w:rsid w:val="00346AF1"/>
    <w:rsid w:val="005A1178"/>
    <w:rsid w:val="00E36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1EAB"/>
  <w15:chartTrackingRefBased/>
  <w15:docId w15:val="{467C6ED2-47FA-4CAE-AD04-5849262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2C"/>
    <w:pPr>
      <w:spacing w:after="240" w:line="360" w:lineRule="auto"/>
    </w:pPr>
    <w:rPr>
      <w:rFonts w:ascii="Arial" w:hAnsi="Arial"/>
      <w:color w:val="000000" w:themeColor="text1"/>
      <w:sz w:val="36"/>
    </w:rPr>
  </w:style>
  <w:style w:type="paragraph" w:styleId="Heading1">
    <w:name w:val="heading 1"/>
    <w:basedOn w:val="Normal"/>
    <w:next w:val="Normal"/>
    <w:link w:val="Heading1Char"/>
    <w:uiPriority w:val="9"/>
    <w:qFormat/>
    <w:rsid w:val="0008612C"/>
    <w:pPr>
      <w:keepNext/>
      <w:keepLines/>
      <w:spacing w:after="360"/>
      <w:jc w:val="center"/>
      <w:outlineLvl w:val="0"/>
    </w:pPr>
    <w:rPr>
      <w:rFonts w:eastAsiaTheme="majorEastAsia" w:cstheme="majorBidi"/>
      <w:b/>
      <w:color w:val="auto"/>
      <w:sz w:val="48"/>
      <w:szCs w:val="32"/>
    </w:rPr>
  </w:style>
  <w:style w:type="paragraph" w:styleId="Heading2">
    <w:name w:val="heading 2"/>
    <w:basedOn w:val="Normal"/>
    <w:next w:val="Normal"/>
    <w:link w:val="Heading2Char"/>
    <w:uiPriority w:val="9"/>
    <w:unhideWhenUsed/>
    <w:qFormat/>
    <w:rsid w:val="0008612C"/>
    <w:pPr>
      <w:outlineLvl w:val="1"/>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1E8"/>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basedOn w:val="DefaultParagraphFont"/>
    <w:link w:val="Heading1"/>
    <w:uiPriority w:val="9"/>
    <w:rsid w:val="0008612C"/>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08612C"/>
    <w:rPr>
      <w:rFonts w:ascii="Arial" w:hAnsi="Arial"/>
      <w:b/>
      <w:bCs/>
      <w:color w:val="000000" w:themeColor="text1"/>
      <w:sz w:val="44"/>
      <w:szCs w:val="44"/>
    </w:rPr>
  </w:style>
  <w:style w:type="paragraph" w:styleId="ListParagraph">
    <w:name w:val="List Paragraph"/>
    <w:basedOn w:val="Normal"/>
    <w:uiPriority w:val="34"/>
    <w:qFormat/>
    <w:rsid w:val="0008612C"/>
    <w:pPr>
      <w:ind w:left="720"/>
      <w:contextualSpacing/>
    </w:pPr>
  </w:style>
  <w:style w:type="character" w:styleId="Hyperlink">
    <w:name w:val="Hyperlink"/>
    <w:basedOn w:val="DefaultParagraphFont"/>
    <w:uiPriority w:val="99"/>
    <w:unhideWhenUsed/>
    <w:rsid w:val="0008612C"/>
    <w:rPr>
      <w:color w:val="0563C1" w:themeColor="hyperlink"/>
      <w:u w:val="single"/>
    </w:rPr>
  </w:style>
  <w:style w:type="character" w:styleId="UnresolvedMention">
    <w:name w:val="Unresolved Mention"/>
    <w:basedOn w:val="DefaultParagraphFont"/>
    <w:uiPriority w:val="99"/>
    <w:semiHidden/>
    <w:unhideWhenUsed/>
    <w:rsid w:val="00086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bngonline.com.au" TargetMode="External"/><Relationship Id="rId5" Type="http://schemas.openxmlformats.org/officeDocument/2006/relationships/hyperlink" Target="https://spp.ngoservicesonline.com.au/ndsq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Riley</dc:creator>
  <cp:keywords/>
  <dc:description/>
  <cp:lastModifiedBy>Danielle Spinks</cp:lastModifiedBy>
  <cp:revision>2</cp:revision>
  <dcterms:created xsi:type="dcterms:W3CDTF">2022-02-01T00:43:00Z</dcterms:created>
  <dcterms:modified xsi:type="dcterms:W3CDTF">2022-02-01T01:19:00Z</dcterms:modified>
</cp:coreProperties>
</file>