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CD44" w14:textId="5678C6F4" w:rsidR="00580EAC" w:rsidRPr="00545983" w:rsidRDefault="00580EAC" w:rsidP="00545983">
      <w:pPr>
        <w:spacing w:before="100" w:beforeAutospacing="1" w:line="276" w:lineRule="auto"/>
        <w:rPr>
          <w:rFonts w:ascii="Arial" w:hAnsi="Arial" w:cs="Arial"/>
        </w:rPr>
      </w:pPr>
      <w:bookmarkStart w:id="0" w:name="_Toc122092472"/>
    </w:p>
    <w:p w14:paraId="7DE5F334" w14:textId="3D9EC797" w:rsidR="004747DE" w:rsidRPr="006F5687" w:rsidRDefault="004747DE" w:rsidP="00580EAC">
      <w:pPr>
        <w:pStyle w:val="Title"/>
        <w:spacing w:before="100" w:beforeAutospacing="1" w:line="276" w:lineRule="auto"/>
        <w:rPr>
          <w:rFonts w:ascii="Arial" w:hAnsi="Arial" w:cs="Arial"/>
          <w:color w:val="4472C4" w:themeColor="accent1"/>
          <w:sz w:val="52"/>
          <w:szCs w:val="52"/>
        </w:rPr>
      </w:pPr>
      <w:r w:rsidRPr="006F5687">
        <w:rPr>
          <w:rFonts w:ascii="Arial" w:hAnsi="Arial" w:cs="Arial"/>
          <w:color w:val="4472C4" w:themeColor="accent1"/>
          <w:sz w:val="52"/>
          <w:szCs w:val="52"/>
        </w:rPr>
        <w:t xml:space="preserve">National Disability Services Submission </w:t>
      </w:r>
    </w:p>
    <w:p w14:paraId="7F521830" w14:textId="2C50290B" w:rsidR="004747DE" w:rsidRPr="006F5687" w:rsidRDefault="004747DE" w:rsidP="00580EAC">
      <w:pPr>
        <w:pStyle w:val="Title"/>
        <w:spacing w:before="100" w:beforeAutospacing="1" w:line="276" w:lineRule="auto"/>
        <w:rPr>
          <w:rFonts w:ascii="Arial" w:hAnsi="Arial" w:cs="Arial"/>
          <w:color w:val="4472C4" w:themeColor="accent1"/>
          <w:sz w:val="52"/>
          <w:szCs w:val="52"/>
        </w:rPr>
      </w:pPr>
      <w:r w:rsidRPr="006F5687">
        <w:rPr>
          <w:rFonts w:ascii="Arial" w:hAnsi="Arial" w:cs="Arial"/>
          <w:color w:val="4472C4" w:themeColor="accent1"/>
          <w:sz w:val="52"/>
          <w:szCs w:val="52"/>
        </w:rPr>
        <w:t>NDIS</w:t>
      </w:r>
      <w:r w:rsidR="000D0F9B" w:rsidRPr="006F5687">
        <w:rPr>
          <w:rFonts w:ascii="Arial" w:hAnsi="Arial" w:cs="Arial"/>
          <w:color w:val="4472C4" w:themeColor="accent1"/>
          <w:sz w:val="52"/>
          <w:szCs w:val="52"/>
        </w:rPr>
        <w:t xml:space="preserve"> Review – Have your Say</w:t>
      </w:r>
    </w:p>
    <w:p w14:paraId="3C216E4B" w14:textId="7569FB6A" w:rsidR="006F5687" w:rsidRPr="00D95BB4" w:rsidRDefault="004747DE" w:rsidP="00D95BB4">
      <w:pPr>
        <w:pStyle w:val="Title"/>
        <w:spacing w:before="100" w:beforeAutospacing="1" w:line="276" w:lineRule="auto"/>
        <w:rPr>
          <w:rFonts w:ascii="Arial" w:hAnsi="Arial" w:cs="Arial"/>
          <w:color w:val="4472C4" w:themeColor="accent1"/>
          <w:sz w:val="52"/>
          <w:szCs w:val="52"/>
        </w:rPr>
      </w:pPr>
      <w:r w:rsidRPr="006F5687">
        <w:rPr>
          <w:rFonts w:ascii="Arial" w:hAnsi="Arial" w:cs="Arial"/>
          <w:color w:val="4472C4" w:themeColor="accent1"/>
          <w:sz w:val="52"/>
          <w:szCs w:val="52"/>
        </w:rPr>
        <w:t>NDIS Independent Review Panel</w:t>
      </w:r>
    </w:p>
    <w:p w14:paraId="34DE761E" w14:textId="78ADBC65" w:rsidR="007B2F67" w:rsidRPr="00CA7D07" w:rsidRDefault="007B2F67" w:rsidP="00E4060E">
      <w:pPr>
        <w:pStyle w:val="Heading1"/>
        <w:spacing w:before="100" w:line="276" w:lineRule="auto"/>
        <w:rPr>
          <w:rFonts w:cs="Arial"/>
        </w:rPr>
      </w:pPr>
      <w:bookmarkStart w:id="1" w:name="_Toc127277076"/>
      <w:r w:rsidRPr="00CA7D07">
        <w:rPr>
          <w:rFonts w:cs="Arial"/>
        </w:rPr>
        <w:t>About National Disability Services</w:t>
      </w:r>
      <w:bookmarkEnd w:id="0"/>
      <w:bookmarkEnd w:id="1"/>
      <w:r w:rsidRPr="00CA7D07">
        <w:rPr>
          <w:rFonts w:cs="Arial"/>
        </w:rPr>
        <w:t xml:space="preserve"> </w:t>
      </w:r>
    </w:p>
    <w:p w14:paraId="5C7F5E8E" w14:textId="6E10B9AF" w:rsidR="00EC2E6A" w:rsidRPr="00CA7D07" w:rsidRDefault="007B2F67" w:rsidP="001A74B6">
      <w:pPr>
        <w:spacing w:before="100" w:beforeAutospacing="1" w:after="100" w:afterAutospacing="1" w:line="360" w:lineRule="auto"/>
        <w:rPr>
          <w:rFonts w:ascii="Arial" w:eastAsia="Arial" w:hAnsi="Arial" w:cs="Arial"/>
          <w:color w:val="000000" w:themeColor="text1"/>
          <w:sz w:val="24"/>
          <w:szCs w:val="24"/>
          <w:lang w:val="en-AU"/>
        </w:rPr>
      </w:pPr>
      <w:r w:rsidRPr="00CA7D07">
        <w:rPr>
          <w:rFonts w:ascii="Arial" w:eastAsia="Arial" w:hAnsi="Arial" w:cs="Arial"/>
          <w:color w:val="000000" w:themeColor="text1"/>
          <w:sz w:val="24"/>
          <w:szCs w:val="24"/>
          <w:lang w:val="en-AU"/>
        </w:rPr>
        <w:t>National Disability Services (NDS) is Australia's peak body for non-government disability service organisations, representing more than 1000 non-government service providers. Collectively, NDS members operate several thousand services for Australians with all types of disability.</w:t>
      </w:r>
      <w:r w:rsidRPr="00CA7D07">
        <w:rPr>
          <w:rFonts w:ascii="Arial" w:eastAsia="Arial" w:hAnsi="Arial" w:cs="Arial"/>
          <w:color w:val="4C5357"/>
          <w:sz w:val="24"/>
          <w:szCs w:val="24"/>
          <w:lang w:val="en-AU"/>
        </w:rPr>
        <w:t xml:space="preserve"> </w:t>
      </w:r>
      <w:r w:rsidRPr="00CA7D07">
        <w:rPr>
          <w:rFonts w:ascii="Arial" w:eastAsia="Arial" w:hAnsi="Arial" w:cs="Arial"/>
          <w:color w:val="000000" w:themeColor="text1"/>
          <w:sz w:val="24"/>
          <w:szCs w:val="24"/>
          <w:lang w:val="en-AU"/>
        </w:rPr>
        <w:t xml:space="preserve">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NDS is committed to improving the disability service system to ensure it better supports people with disability, their </w:t>
      </w:r>
      <w:proofErr w:type="gramStart"/>
      <w:r w:rsidRPr="00CA7D07">
        <w:rPr>
          <w:rFonts w:ascii="Arial" w:eastAsia="Arial" w:hAnsi="Arial" w:cs="Arial"/>
          <w:color w:val="000000" w:themeColor="text1"/>
          <w:sz w:val="24"/>
          <w:szCs w:val="24"/>
          <w:lang w:val="en-AU"/>
        </w:rPr>
        <w:t>families</w:t>
      </w:r>
      <w:proofErr w:type="gramEnd"/>
      <w:r w:rsidRPr="00CA7D07">
        <w:rPr>
          <w:rFonts w:ascii="Arial" w:eastAsia="Arial" w:hAnsi="Arial" w:cs="Arial"/>
          <w:color w:val="000000" w:themeColor="text1"/>
          <w:sz w:val="24"/>
          <w:szCs w:val="24"/>
          <w:lang w:val="en-AU"/>
        </w:rPr>
        <w:t xml:space="preserve"> and carers, as well as supports building a more inclusive community.</w:t>
      </w:r>
    </w:p>
    <w:bookmarkStart w:id="2" w:name="_Toc127277077" w:displacedByCustomXml="next"/>
    <w:sdt>
      <w:sdtPr>
        <w:rPr>
          <w:rFonts w:asciiTheme="minorHAnsi" w:eastAsiaTheme="minorHAnsi" w:hAnsiTheme="minorHAnsi" w:cs="Arial"/>
          <w:color w:val="auto"/>
          <w:sz w:val="24"/>
          <w:szCs w:val="24"/>
          <w:lang w:val="en-US"/>
        </w:rPr>
        <w:id w:val="364563873"/>
        <w:docPartObj>
          <w:docPartGallery w:val="Table of Contents"/>
          <w:docPartUnique/>
        </w:docPartObj>
      </w:sdtPr>
      <w:sdtEndPr>
        <w:rPr>
          <w:b/>
        </w:rPr>
      </w:sdtEndPr>
      <w:sdtContent>
        <w:p w14:paraId="25FFFFB9" w14:textId="16F68872" w:rsidR="0076570E" w:rsidRPr="002F3BF5" w:rsidRDefault="0076570E" w:rsidP="002F3BF5">
          <w:pPr>
            <w:pStyle w:val="Heading1"/>
            <w:spacing w:before="100" w:line="360" w:lineRule="auto"/>
            <w:rPr>
              <w:rStyle w:val="Heading1Char"/>
              <w:rFonts w:cs="Arial"/>
              <w:sz w:val="24"/>
              <w:szCs w:val="24"/>
            </w:rPr>
          </w:pPr>
          <w:r w:rsidRPr="002F3BF5">
            <w:rPr>
              <w:rStyle w:val="Heading1Char"/>
              <w:rFonts w:cs="Arial"/>
              <w:sz w:val="24"/>
              <w:szCs w:val="24"/>
            </w:rPr>
            <w:t>Contents</w:t>
          </w:r>
          <w:bookmarkEnd w:id="2"/>
        </w:p>
        <w:p w14:paraId="60648789" w14:textId="31A4344D" w:rsidR="007F5D44" w:rsidRDefault="0076570E">
          <w:pPr>
            <w:pStyle w:val="TOC1"/>
            <w:rPr>
              <w:rFonts w:eastAsiaTheme="minorEastAsia"/>
              <w:noProof/>
              <w:lang w:val="en-AU" w:eastAsia="en-AU"/>
            </w:rPr>
          </w:pPr>
          <w:r w:rsidRPr="002F3BF5">
            <w:rPr>
              <w:rFonts w:ascii="Arial" w:hAnsi="Arial" w:cs="Arial"/>
              <w:sz w:val="24"/>
              <w:szCs w:val="24"/>
              <w:lang w:val="en-AU"/>
            </w:rPr>
            <w:fldChar w:fldCharType="begin"/>
          </w:r>
          <w:r w:rsidRPr="002F3BF5">
            <w:rPr>
              <w:rFonts w:ascii="Arial" w:hAnsi="Arial" w:cs="Arial"/>
              <w:sz w:val="24"/>
              <w:szCs w:val="24"/>
              <w:lang w:val="en-AU"/>
            </w:rPr>
            <w:instrText xml:space="preserve"> TOC \o "1-3" \h \z \u </w:instrText>
          </w:r>
          <w:r w:rsidRPr="002F3BF5">
            <w:rPr>
              <w:rFonts w:ascii="Arial" w:hAnsi="Arial" w:cs="Arial"/>
              <w:sz w:val="24"/>
              <w:szCs w:val="24"/>
              <w:lang w:val="en-AU"/>
            </w:rPr>
            <w:fldChar w:fldCharType="separate"/>
          </w:r>
          <w:hyperlink w:anchor="_Toc127277076" w:history="1">
            <w:r w:rsidR="007F5D44" w:rsidRPr="00DE00DE">
              <w:rPr>
                <w:rStyle w:val="Hyperlink"/>
                <w:rFonts w:cs="Arial"/>
                <w:noProof/>
              </w:rPr>
              <w:t>About National Disability Services</w:t>
            </w:r>
            <w:r w:rsidR="007F5D44">
              <w:rPr>
                <w:noProof/>
                <w:webHidden/>
              </w:rPr>
              <w:tab/>
            </w:r>
            <w:r w:rsidR="007F5D44">
              <w:rPr>
                <w:noProof/>
                <w:webHidden/>
              </w:rPr>
              <w:fldChar w:fldCharType="begin"/>
            </w:r>
            <w:r w:rsidR="007F5D44">
              <w:rPr>
                <w:noProof/>
                <w:webHidden/>
              </w:rPr>
              <w:instrText xml:space="preserve"> PAGEREF _Toc127277076 \h </w:instrText>
            </w:r>
            <w:r w:rsidR="007F5D44">
              <w:rPr>
                <w:noProof/>
                <w:webHidden/>
              </w:rPr>
            </w:r>
            <w:r w:rsidR="007F5D44">
              <w:rPr>
                <w:noProof/>
                <w:webHidden/>
              </w:rPr>
              <w:fldChar w:fldCharType="separate"/>
            </w:r>
            <w:r w:rsidR="007F5D44">
              <w:rPr>
                <w:noProof/>
                <w:webHidden/>
              </w:rPr>
              <w:t>1</w:t>
            </w:r>
            <w:r w:rsidR="007F5D44">
              <w:rPr>
                <w:noProof/>
                <w:webHidden/>
              </w:rPr>
              <w:fldChar w:fldCharType="end"/>
            </w:r>
          </w:hyperlink>
        </w:p>
        <w:p w14:paraId="0BB0863D" w14:textId="38D0B38C" w:rsidR="007F5D44" w:rsidRDefault="007F5D44">
          <w:pPr>
            <w:pStyle w:val="TOC1"/>
            <w:rPr>
              <w:rFonts w:eastAsiaTheme="minorEastAsia"/>
              <w:noProof/>
              <w:lang w:val="en-AU" w:eastAsia="en-AU"/>
            </w:rPr>
          </w:pPr>
          <w:hyperlink w:anchor="_Toc127277077" w:history="1">
            <w:r w:rsidRPr="00DE00DE">
              <w:rPr>
                <w:rStyle w:val="Hyperlink"/>
                <w:rFonts w:cs="Arial"/>
                <w:noProof/>
              </w:rPr>
              <w:t>Contents</w:t>
            </w:r>
            <w:r>
              <w:rPr>
                <w:noProof/>
                <w:webHidden/>
              </w:rPr>
              <w:tab/>
            </w:r>
            <w:r>
              <w:rPr>
                <w:noProof/>
                <w:webHidden/>
              </w:rPr>
              <w:fldChar w:fldCharType="begin"/>
            </w:r>
            <w:r>
              <w:rPr>
                <w:noProof/>
                <w:webHidden/>
              </w:rPr>
              <w:instrText xml:space="preserve"> PAGEREF _Toc127277077 \h </w:instrText>
            </w:r>
            <w:r>
              <w:rPr>
                <w:noProof/>
                <w:webHidden/>
              </w:rPr>
            </w:r>
            <w:r>
              <w:rPr>
                <w:noProof/>
                <w:webHidden/>
              </w:rPr>
              <w:fldChar w:fldCharType="separate"/>
            </w:r>
            <w:r>
              <w:rPr>
                <w:noProof/>
                <w:webHidden/>
              </w:rPr>
              <w:t>1</w:t>
            </w:r>
            <w:r>
              <w:rPr>
                <w:noProof/>
                <w:webHidden/>
              </w:rPr>
              <w:fldChar w:fldCharType="end"/>
            </w:r>
          </w:hyperlink>
        </w:p>
        <w:p w14:paraId="0E1A821E" w14:textId="08E41C2B" w:rsidR="007F5D44" w:rsidRDefault="007F5D44">
          <w:pPr>
            <w:pStyle w:val="TOC1"/>
            <w:rPr>
              <w:rFonts w:eastAsiaTheme="minorEastAsia"/>
              <w:noProof/>
              <w:lang w:val="en-AU" w:eastAsia="en-AU"/>
            </w:rPr>
          </w:pPr>
          <w:hyperlink w:anchor="_Toc127277078" w:history="1">
            <w:r w:rsidRPr="00DE00DE">
              <w:rPr>
                <w:rStyle w:val="Hyperlink"/>
                <w:rFonts w:cs="Arial"/>
                <w:noProof/>
              </w:rPr>
              <w:t>About this submission</w:t>
            </w:r>
            <w:r>
              <w:rPr>
                <w:noProof/>
                <w:webHidden/>
              </w:rPr>
              <w:tab/>
            </w:r>
            <w:r>
              <w:rPr>
                <w:noProof/>
                <w:webHidden/>
              </w:rPr>
              <w:fldChar w:fldCharType="begin"/>
            </w:r>
            <w:r>
              <w:rPr>
                <w:noProof/>
                <w:webHidden/>
              </w:rPr>
              <w:instrText xml:space="preserve"> PAGEREF _Toc127277078 \h </w:instrText>
            </w:r>
            <w:r>
              <w:rPr>
                <w:noProof/>
                <w:webHidden/>
              </w:rPr>
            </w:r>
            <w:r>
              <w:rPr>
                <w:noProof/>
                <w:webHidden/>
              </w:rPr>
              <w:fldChar w:fldCharType="separate"/>
            </w:r>
            <w:r>
              <w:rPr>
                <w:noProof/>
                <w:webHidden/>
              </w:rPr>
              <w:t>2</w:t>
            </w:r>
            <w:r>
              <w:rPr>
                <w:noProof/>
                <w:webHidden/>
              </w:rPr>
              <w:fldChar w:fldCharType="end"/>
            </w:r>
          </w:hyperlink>
        </w:p>
        <w:p w14:paraId="29FE75F7" w14:textId="5567E534" w:rsidR="007F5D44" w:rsidRDefault="007F5D44">
          <w:pPr>
            <w:pStyle w:val="TOC1"/>
            <w:rPr>
              <w:rFonts w:eastAsiaTheme="minorEastAsia"/>
              <w:noProof/>
              <w:lang w:val="en-AU" w:eastAsia="en-AU"/>
            </w:rPr>
          </w:pPr>
          <w:hyperlink w:anchor="_Toc127277079" w:history="1">
            <w:r w:rsidRPr="00DE00DE">
              <w:rPr>
                <w:rStyle w:val="Hyperlink"/>
                <w:rFonts w:cs="Arial"/>
                <w:noProof/>
              </w:rPr>
              <w:t>NDS’s State of the Disability Sector Report</w:t>
            </w:r>
            <w:r>
              <w:rPr>
                <w:noProof/>
                <w:webHidden/>
              </w:rPr>
              <w:tab/>
            </w:r>
            <w:r>
              <w:rPr>
                <w:noProof/>
                <w:webHidden/>
              </w:rPr>
              <w:fldChar w:fldCharType="begin"/>
            </w:r>
            <w:r>
              <w:rPr>
                <w:noProof/>
                <w:webHidden/>
              </w:rPr>
              <w:instrText xml:space="preserve"> PAGEREF _Toc127277079 \h </w:instrText>
            </w:r>
            <w:r>
              <w:rPr>
                <w:noProof/>
                <w:webHidden/>
              </w:rPr>
            </w:r>
            <w:r>
              <w:rPr>
                <w:noProof/>
                <w:webHidden/>
              </w:rPr>
              <w:fldChar w:fldCharType="separate"/>
            </w:r>
            <w:r>
              <w:rPr>
                <w:noProof/>
                <w:webHidden/>
              </w:rPr>
              <w:t>2</w:t>
            </w:r>
            <w:r>
              <w:rPr>
                <w:noProof/>
                <w:webHidden/>
              </w:rPr>
              <w:fldChar w:fldCharType="end"/>
            </w:r>
          </w:hyperlink>
        </w:p>
        <w:p w14:paraId="22005FFF" w14:textId="252B282D" w:rsidR="007F5D44" w:rsidRDefault="007F5D44">
          <w:pPr>
            <w:pStyle w:val="TOC1"/>
            <w:rPr>
              <w:rFonts w:eastAsiaTheme="minorEastAsia"/>
              <w:noProof/>
              <w:lang w:val="en-AU" w:eastAsia="en-AU"/>
            </w:rPr>
          </w:pPr>
          <w:hyperlink w:anchor="_Toc127277080" w:history="1">
            <w:r w:rsidRPr="00DE00DE">
              <w:rPr>
                <w:rStyle w:val="Hyperlink"/>
                <w:rFonts w:cs="Arial"/>
                <w:noProof/>
              </w:rPr>
              <w:t>The Pulse Survey</w:t>
            </w:r>
            <w:r>
              <w:rPr>
                <w:noProof/>
                <w:webHidden/>
              </w:rPr>
              <w:tab/>
            </w:r>
            <w:r>
              <w:rPr>
                <w:noProof/>
                <w:webHidden/>
              </w:rPr>
              <w:fldChar w:fldCharType="begin"/>
            </w:r>
            <w:r>
              <w:rPr>
                <w:noProof/>
                <w:webHidden/>
              </w:rPr>
              <w:instrText xml:space="preserve"> PAGEREF _Toc127277080 \h </w:instrText>
            </w:r>
            <w:r>
              <w:rPr>
                <w:noProof/>
                <w:webHidden/>
              </w:rPr>
            </w:r>
            <w:r>
              <w:rPr>
                <w:noProof/>
                <w:webHidden/>
              </w:rPr>
              <w:fldChar w:fldCharType="separate"/>
            </w:r>
            <w:r>
              <w:rPr>
                <w:noProof/>
                <w:webHidden/>
              </w:rPr>
              <w:t>9</w:t>
            </w:r>
            <w:r>
              <w:rPr>
                <w:noProof/>
                <w:webHidden/>
              </w:rPr>
              <w:fldChar w:fldCharType="end"/>
            </w:r>
          </w:hyperlink>
        </w:p>
        <w:p w14:paraId="036F7642" w14:textId="6D7A43D6" w:rsidR="007F5D44" w:rsidRDefault="007F5D44">
          <w:pPr>
            <w:pStyle w:val="TOC2"/>
            <w:tabs>
              <w:tab w:val="right" w:leader="dot" w:pos="9350"/>
            </w:tabs>
            <w:rPr>
              <w:rFonts w:eastAsiaTheme="minorEastAsia"/>
              <w:noProof/>
              <w:lang w:val="en-AU" w:eastAsia="en-AU"/>
            </w:rPr>
          </w:pPr>
          <w:hyperlink w:anchor="_Toc127277081" w:history="1">
            <w:r w:rsidRPr="00DE00DE">
              <w:rPr>
                <w:rStyle w:val="Hyperlink"/>
                <w:rFonts w:ascii="Arial" w:hAnsi="Arial" w:cs="Arial"/>
                <w:noProof/>
                <w:lang w:val="en-AU"/>
              </w:rPr>
              <w:t>What areas of the NDIS work well for your participants and organisation?</w:t>
            </w:r>
            <w:r>
              <w:rPr>
                <w:noProof/>
                <w:webHidden/>
              </w:rPr>
              <w:tab/>
            </w:r>
            <w:r>
              <w:rPr>
                <w:noProof/>
                <w:webHidden/>
              </w:rPr>
              <w:fldChar w:fldCharType="begin"/>
            </w:r>
            <w:r>
              <w:rPr>
                <w:noProof/>
                <w:webHidden/>
              </w:rPr>
              <w:instrText xml:space="preserve"> PAGEREF _Toc127277081 \h </w:instrText>
            </w:r>
            <w:r>
              <w:rPr>
                <w:noProof/>
                <w:webHidden/>
              </w:rPr>
            </w:r>
            <w:r>
              <w:rPr>
                <w:noProof/>
                <w:webHidden/>
              </w:rPr>
              <w:fldChar w:fldCharType="separate"/>
            </w:r>
            <w:r>
              <w:rPr>
                <w:noProof/>
                <w:webHidden/>
              </w:rPr>
              <w:t>11</w:t>
            </w:r>
            <w:r>
              <w:rPr>
                <w:noProof/>
                <w:webHidden/>
              </w:rPr>
              <w:fldChar w:fldCharType="end"/>
            </w:r>
          </w:hyperlink>
        </w:p>
        <w:p w14:paraId="6618736D" w14:textId="49444E31" w:rsidR="007F5D44" w:rsidRDefault="007F5D44">
          <w:pPr>
            <w:pStyle w:val="TOC2"/>
            <w:tabs>
              <w:tab w:val="right" w:leader="dot" w:pos="9350"/>
            </w:tabs>
            <w:rPr>
              <w:rFonts w:eastAsiaTheme="minorEastAsia"/>
              <w:noProof/>
              <w:lang w:val="en-AU" w:eastAsia="en-AU"/>
            </w:rPr>
          </w:pPr>
          <w:hyperlink w:anchor="_Toc127277082" w:history="1">
            <w:r w:rsidRPr="00DE00DE">
              <w:rPr>
                <w:rStyle w:val="Hyperlink"/>
                <w:rFonts w:ascii="Arial" w:hAnsi="Arial" w:cs="Arial"/>
                <w:noProof/>
                <w:lang w:val="en-AU"/>
              </w:rPr>
              <w:t>What areas of the NDIS need to be improved to work better for your participants and organisation?</w:t>
            </w:r>
            <w:r>
              <w:rPr>
                <w:noProof/>
                <w:webHidden/>
              </w:rPr>
              <w:tab/>
            </w:r>
            <w:r>
              <w:rPr>
                <w:noProof/>
                <w:webHidden/>
              </w:rPr>
              <w:fldChar w:fldCharType="begin"/>
            </w:r>
            <w:r>
              <w:rPr>
                <w:noProof/>
                <w:webHidden/>
              </w:rPr>
              <w:instrText xml:space="preserve"> PAGEREF _Toc127277082 \h </w:instrText>
            </w:r>
            <w:r>
              <w:rPr>
                <w:noProof/>
                <w:webHidden/>
              </w:rPr>
            </w:r>
            <w:r>
              <w:rPr>
                <w:noProof/>
                <w:webHidden/>
              </w:rPr>
              <w:fldChar w:fldCharType="separate"/>
            </w:r>
            <w:r>
              <w:rPr>
                <w:noProof/>
                <w:webHidden/>
              </w:rPr>
              <w:t>13</w:t>
            </w:r>
            <w:r>
              <w:rPr>
                <w:noProof/>
                <w:webHidden/>
              </w:rPr>
              <w:fldChar w:fldCharType="end"/>
            </w:r>
          </w:hyperlink>
        </w:p>
        <w:p w14:paraId="5311184E" w14:textId="18B85ACD" w:rsidR="007F5D44" w:rsidRDefault="007F5D44">
          <w:pPr>
            <w:pStyle w:val="TOC2"/>
            <w:tabs>
              <w:tab w:val="right" w:leader="dot" w:pos="9350"/>
            </w:tabs>
            <w:rPr>
              <w:rFonts w:eastAsiaTheme="minorEastAsia"/>
              <w:noProof/>
              <w:lang w:val="en-AU" w:eastAsia="en-AU"/>
            </w:rPr>
          </w:pPr>
          <w:hyperlink w:anchor="_Toc127277083" w:history="1">
            <w:r w:rsidRPr="00DE00DE">
              <w:rPr>
                <w:rStyle w:val="Hyperlink"/>
                <w:rFonts w:ascii="Arial" w:hAnsi="Arial" w:cs="Arial"/>
                <w:noProof/>
                <w:lang w:val="en-AU"/>
              </w:rPr>
              <w:t>What do you think would be a 'quick win' to address inefficiencies or waste in the NDIS that would benefit participants and the sector?</w:t>
            </w:r>
            <w:r>
              <w:rPr>
                <w:noProof/>
                <w:webHidden/>
              </w:rPr>
              <w:tab/>
            </w:r>
            <w:r>
              <w:rPr>
                <w:noProof/>
                <w:webHidden/>
              </w:rPr>
              <w:fldChar w:fldCharType="begin"/>
            </w:r>
            <w:r>
              <w:rPr>
                <w:noProof/>
                <w:webHidden/>
              </w:rPr>
              <w:instrText xml:space="preserve"> PAGEREF _Toc127277083 \h </w:instrText>
            </w:r>
            <w:r>
              <w:rPr>
                <w:noProof/>
                <w:webHidden/>
              </w:rPr>
            </w:r>
            <w:r>
              <w:rPr>
                <w:noProof/>
                <w:webHidden/>
              </w:rPr>
              <w:fldChar w:fldCharType="separate"/>
            </w:r>
            <w:r>
              <w:rPr>
                <w:noProof/>
                <w:webHidden/>
              </w:rPr>
              <w:t>16</w:t>
            </w:r>
            <w:r>
              <w:rPr>
                <w:noProof/>
                <w:webHidden/>
              </w:rPr>
              <w:fldChar w:fldCharType="end"/>
            </w:r>
          </w:hyperlink>
        </w:p>
        <w:p w14:paraId="51DE3DE7" w14:textId="45F97D7D" w:rsidR="007F5D44" w:rsidRDefault="007F5D44">
          <w:pPr>
            <w:pStyle w:val="TOC1"/>
            <w:rPr>
              <w:rFonts w:eastAsiaTheme="minorEastAsia"/>
              <w:noProof/>
              <w:lang w:val="en-AU" w:eastAsia="en-AU"/>
            </w:rPr>
          </w:pPr>
          <w:hyperlink w:anchor="_Toc127277084" w:history="1">
            <w:r w:rsidRPr="00DE00DE">
              <w:rPr>
                <w:rStyle w:val="Hyperlink"/>
                <w:rFonts w:cs="Arial"/>
                <w:noProof/>
              </w:rPr>
              <w:t>What are disability leaders saying?</w:t>
            </w:r>
            <w:r>
              <w:rPr>
                <w:noProof/>
                <w:webHidden/>
              </w:rPr>
              <w:tab/>
            </w:r>
            <w:r>
              <w:rPr>
                <w:noProof/>
                <w:webHidden/>
              </w:rPr>
              <w:fldChar w:fldCharType="begin"/>
            </w:r>
            <w:r>
              <w:rPr>
                <w:noProof/>
                <w:webHidden/>
              </w:rPr>
              <w:instrText xml:space="preserve"> PAGEREF _Toc127277084 \h </w:instrText>
            </w:r>
            <w:r>
              <w:rPr>
                <w:noProof/>
                <w:webHidden/>
              </w:rPr>
            </w:r>
            <w:r>
              <w:rPr>
                <w:noProof/>
                <w:webHidden/>
              </w:rPr>
              <w:fldChar w:fldCharType="separate"/>
            </w:r>
            <w:r>
              <w:rPr>
                <w:noProof/>
                <w:webHidden/>
              </w:rPr>
              <w:t>19</w:t>
            </w:r>
            <w:r>
              <w:rPr>
                <w:noProof/>
                <w:webHidden/>
              </w:rPr>
              <w:fldChar w:fldCharType="end"/>
            </w:r>
          </w:hyperlink>
        </w:p>
        <w:p w14:paraId="55F9B164" w14:textId="60438C92" w:rsidR="007F5D44" w:rsidRDefault="007F5D44">
          <w:pPr>
            <w:pStyle w:val="TOC2"/>
            <w:tabs>
              <w:tab w:val="right" w:leader="dot" w:pos="9350"/>
            </w:tabs>
            <w:rPr>
              <w:rFonts w:eastAsiaTheme="minorEastAsia"/>
              <w:noProof/>
              <w:lang w:val="en-AU" w:eastAsia="en-AU"/>
            </w:rPr>
          </w:pPr>
          <w:hyperlink w:anchor="_Toc127277085" w:history="1">
            <w:r w:rsidRPr="00DE00DE">
              <w:rPr>
                <w:rStyle w:val="Hyperlink"/>
                <w:rFonts w:ascii="Arial" w:hAnsi="Arial" w:cs="Arial"/>
                <w:noProof/>
              </w:rPr>
              <w:t>A note about ‘quick wins’</w:t>
            </w:r>
            <w:r>
              <w:rPr>
                <w:noProof/>
                <w:webHidden/>
              </w:rPr>
              <w:tab/>
            </w:r>
            <w:r>
              <w:rPr>
                <w:noProof/>
                <w:webHidden/>
              </w:rPr>
              <w:fldChar w:fldCharType="begin"/>
            </w:r>
            <w:r>
              <w:rPr>
                <w:noProof/>
                <w:webHidden/>
              </w:rPr>
              <w:instrText xml:space="preserve"> PAGEREF _Toc127277085 \h </w:instrText>
            </w:r>
            <w:r>
              <w:rPr>
                <w:noProof/>
                <w:webHidden/>
              </w:rPr>
            </w:r>
            <w:r>
              <w:rPr>
                <w:noProof/>
                <w:webHidden/>
              </w:rPr>
              <w:fldChar w:fldCharType="separate"/>
            </w:r>
            <w:r>
              <w:rPr>
                <w:noProof/>
                <w:webHidden/>
              </w:rPr>
              <w:t>20</w:t>
            </w:r>
            <w:r>
              <w:rPr>
                <w:noProof/>
                <w:webHidden/>
              </w:rPr>
              <w:fldChar w:fldCharType="end"/>
            </w:r>
          </w:hyperlink>
        </w:p>
        <w:p w14:paraId="67172770" w14:textId="0F7F30C4" w:rsidR="007F5D44" w:rsidRDefault="007F5D44">
          <w:pPr>
            <w:pStyle w:val="TOC1"/>
            <w:rPr>
              <w:rFonts w:eastAsiaTheme="minorEastAsia"/>
              <w:noProof/>
              <w:lang w:val="en-AU" w:eastAsia="en-AU"/>
            </w:rPr>
          </w:pPr>
          <w:hyperlink w:anchor="_Toc127277086" w:history="1">
            <w:r w:rsidRPr="00DE00DE">
              <w:rPr>
                <w:rStyle w:val="Hyperlink"/>
                <w:rFonts w:cs="Arial"/>
                <w:noProof/>
              </w:rPr>
              <w:t>Relevant Issues</w:t>
            </w:r>
            <w:r>
              <w:rPr>
                <w:noProof/>
                <w:webHidden/>
              </w:rPr>
              <w:tab/>
            </w:r>
            <w:r>
              <w:rPr>
                <w:noProof/>
                <w:webHidden/>
              </w:rPr>
              <w:fldChar w:fldCharType="begin"/>
            </w:r>
            <w:r>
              <w:rPr>
                <w:noProof/>
                <w:webHidden/>
              </w:rPr>
              <w:instrText xml:space="preserve"> PAGEREF _Toc127277086 \h </w:instrText>
            </w:r>
            <w:r>
              <w:rPr>
                <w:noProof/>
                <w:webHidden/>
              </w:rPr>
            </w:r>
            <w:r>
              <w:rPr>
                <w:noProof/>
                <w:webHidden/>
              </w:rPr>
              <w:fldChar w:fldCharType="separate"/>
            </w:r>
            <w:r>
              <w:rPr>
                <w:noProof/>
                <w:webHidden/>
              </w:rPr>
              <w:t>20</w:t>
            </w:r>
            <w:r>
              <w:rPr>
                <w:noProof/>
                <w:webHidden/>
              </w:rPr>
              <w:fldChar w:fldCharType="end"/>
            </w:r>
          </w:hyperlink>
        </w:p>
        <w:p w14:paraId="7E50D2EB" w14:textId="7D7D418A" w:rsidR="007F5D44" w:rsidRDefault="007F5D44">
          <w:pPr>
            <w:pStyle w:val="TOC2"/>
            <w:tabs>
              <w:tab w:val="right" w:leader="dot" w:pos="9350"/>
            </w:tabs>
            <w:rPr>
              <w:rFonts w:eastAsiaTheme="minorEastAsia"/>
              <w:noProof/>
              <w:lang w:val="en-AU" w:eastAsia="en-AU"/>
            </w:rPr>
          </w:pPr>
          <w:hyperlink w:anchor="_Toc127277087" w:history="1">
            <w:r w:rsidRPr="00DE00DE">
              <w:rPr>
                <w:rStyle w:val="Hyperlink"/>
                <w:rFonts w:ascii="Arial" w:hAnsi="Arial" w:cs="Arial"/>
                <w:noProof/>
                <w:lang w:val="en-AU"/>
              </w:rPr>
              <w:t>Regulation and registration</w:t>
            </w:r>
            <w:r>
              <w:rPr>
                <w:noProof/>
                <w:webHidden/>
              </w:rPr>
              <w:tab/>
            </w:r>
            <w:r>
              <w:rPr>
                <w:noProof/>
                <w:webHidden/>
              </w:rPr>
              <w:fldChar w:fldCharType="begin"/>
            </w:r>
            <w:r>
              <w:rPr>
                <w:noProof/>
                <w:webHidden/>
              </w:rPr>
              <w:instrText xml:space="preserve"> PAGEREF _Toc127277087 \h </w:instrText>
            </w:r>
            <w:r>
              <w:rPr>
                <w:noProof/>
                <w:webHidden/>
              </w:rPr>
            </w:r>
            <w:r>
              <w:rPr>
                <w:noProof/>
                <w:webHidden/>
              </w:rPr>
              <w:fldChar w:fldCharType="separate"/>
            </w:r>
            <w:r>
              <w:rPr>
                <w:noProof/>
                <w:webHidden/>
              </w:rPr>
              <w:t>20</w:t>
            </w:r>
            <w:r>
              <w:rPr>
                <w:noProof/>
                <w:webHidden/>
              </w:rPr>
              <w:fldChar w:fldCharType="end"/>
            </w:r>
          </w:hyperlink>
        </w:p>
        <w:p w14:paraId="7DB87C66" w14:textId="50136072" w:rsidR="007F5D44" w:rsidRDefault="007F5D44">
          <w:pPr>
            <w:pStyle w:val="TOC2"/>
            <w:tabs>
              <w:tab w:val="right" w:leader="dot" w:pos="9350"/>
            </w:tabs>
            <w:rPr>
              <w:rFonts w:eastAsiaTheme="minorEastAsia"/>
              <w:noProof/>
              <w:lang w:val="en-AU" w:eastAsia="en-AU"/>
            </w:rPr>
          </w:pPr>
          <w:hyperlink w:anchor="_Toc127277088" w:history="1">
            <w:r w:rsidRPr="00DE00DE">
              <w:rPr>
                <w:rStyle w:val="Hyperlink"/>
                <w:rFonts w:ascii="Arial" w:hAnsi="Arial" w:cs="Arial"/>
                <w:noProof/>
                <w:lang w:val="en-AU"/>
              </w:rPr>
              <w:t>Pricing</w:t>
            </w:r>
            <w:r>
              <w:rPr>
                <w:noProof/>
                <w:webHidden/>
              </w:rPr>
              <w:tab/>
            </w:r>
            <w:r>
              <w:rPr>
                <w:noProof/>
                <w:webHidden/>
              </w:rPr>
              <w:fldChar w:fldCharType="begin"/>
            </w:r>
            <w:r>
              <w:rPr>
                <w:noProof/>
                <w:webHidden/>
              </w:rPr>
              <w:instrText xml:space="preserve"> PAGEREF _Toc127277088 \h </w:instrText>
            </w:r>
            <w:r>
              <w:rPr>
                <w:noProof/>
                <w:webHidden/>
              </w:rPr>
            </w:r>
            <w:r>
              <w:rPr>
                <w:noProof/>
                <w:webHidden/>
              </w:rPr>
              <w:fldChar w:fldCharType="separate"/>
            </w:r>
            <w:r>
              <w:rPr>
                <w:noProof/>
                <w:webHidden/>
              </w:rPr>
              <w:t>21</w:t>
            </w:r>
            <w:r>
              <w:rPr>
                <w:noProof/>
                <w:webHidden/>
              </w:rPr>
              <w:fldChar w:fldCharType="end"/>
            </w:r>
          </w:hyperlink>
        </w:p>
        <w:p w14:paraId="29895F26" w14:textId="458F1E9B" w:rsidR="007F5D44" w:rsidRDefault="007F5D44">
          <w:pPr>
            <w:pStyle w:val="TOC2"/>
            <w:tabs>
              <w:tab w:val="right" w:leader="dot" w:pos="9350"/>
            </w:tabs>
            <w:rPr>
              <w:rFonts w:eastAsiaTheme="minorEastAsia"/>
              <w:noProof/>
              <w:lang w:val="en-AU" w:eastAsia="en-AU"/>
            </w:rPr>
          </w:pPr>
          <w:hyperlink w:anchor="_Toc127277089" w:history="1">
            <w:r w:rsidRPr="00DE00DE">
              <w:rPr>
                <w:rStyle w:val="Hyperlink"/>
                <w:rFonts w:ascii="Arial" w:hAnsi="Arial" w:cs="Arial"/>
                <w:noProof/>
                <w:lang w:val="en-AU"/>
              </w:rPr>
              <w:t>Working together</w:t>
            </w:r>
            <w:r>
              <w:rPr>
                <w:noProof/>
                <w:webHidden/>
              </w:rPr>
              <w:tab/>
            </w:r>
            <w:r>
              <w:rPr>
                <w:noProof/>
                <w:webHidden/>
              </w:rPr>
              <w:fldChar w:fldCharType="begin"/>
            </w:r>
            <w:r>
              <w:rPr>
                <w:noProof/>
                <w:webHidden/>
              </w:rPr>
              <w:instrText xml:space="preserve"> PAGEREF _Toc127277089 \h </w:instrText>
            </w:r>
            <w:r>
              <w:rPr>
                <w:noProof/>
                <w:webHidden/>
              </w:rPr>
            </w:r>
            <w:r>
              <w:rPr>
                <w:noProof/>
                <w:webHidden/>
              </w:rPr>
              <w:fldChar w:fldCharType="separate"/>
            </w:r>
            <w:r>
              <w:rPr>
                <w:noProof/>
                <w:webHidden/>
              </w:rPr>
              <w:t>23</w:t>
            </w:r>
            <w:r>
              <w:rPr>
                <w:noProof/>
                <w:webHidden/>
              </w:rPr>
              <w:fldChar w:fldCharType="end"/>
            </w:r>
          </w:hyperlink>
        </w:p>
        <w:p w14:paraId="161405A8" w14:textId="4DE69B1B" w:rsidR="007F5D44" w:rsidRDefault="007F5D44">
          <w:pPr>
            <w:pStyle w:val="TOC1"/>
            <w:rPr>
              <w:rFonts w:eastAsiaTheme="minorEastAsia"/>
              <w:noProof/>
              <w:lang w:val="en-AU" w:eastAsia="en-AU"/>
            </w:rPr>
          </w:pPr>
          <w:hyperlink w:anchor="_Toc127277090" w:history="1">
            <w:r w:rsidRPr="00DE00DE">
              <w:rPr>
                <w:rStyle w:val="Hyperlink"/>
                <w:rFonts w:cs="Arial"/>
                <w:noProof/>
              </w:rPr>
              <w:t>Conclusion</w:t>
            </w:r>
            <w:r>
              <w:rPr>
                <w:noProof/>
                <w:webHidden/>
              </w:rPr>
              <w:tab/>
            </w:r>
            <w:r>
              <w:rPr>
                <w:noProof/>
                <w:webHidden/>
              </w:rPr>
              <w:fldChar w:fldCharType="begin"/>
            </w:r>
            <w:r>
              <w:rPr>
                <w:noProof/>
                <w:webHidden/>
              </w:rPr>
              <w:instrText xml:space="preserve"> PAGEREF _Toc127277090 \h </w:instrText>
            </w:r>
            <w:r>
              <w:rPr>
                <w:noProof/>
                <w:webHidden/>
              </w:rPr>
            </w:r>
            <w:r>
              <w:rPr>
                <w:noProof/>
                <w:webHidden/>
              </w:rPr>
              <w:fldChar w:fldCharType="separate"/>
            </w:r>
            <w:r>
              <w:rPr>
                <w:noProof/>
                <w:webHidden/>
              </w:rPr>
              <w:t>26</w:t>
            </w:r>
            <w:r>
              <w:rPr>
                <w:noProof/>
                <w:webHidden/>
              </w:rPr>
              <w:fldChar w:fldCharType="end"/>
            </w:r>
          </w:hyperlink>
        </w:p>
        <w:p w14:paraId="1929B123" w14:textId="629959E7" w:rsidR="007F5D44" w:rsidRDefault="007F5D44">
          <w:pPr>
            <w:pStyle w:val="TOC1"/>
            <w:rPr>
              <w:rFonts w:eastAsiaTheme="minorEastAsia"/>
              <w:noProof/>
              <w:lang w:val="en-AU" w:eastAsia="en-AU"/>
            </w:rPr>
          </w:pPr>
          <w:hyperlink w:anchor="_Toc127277091" w:history="1">
            <w:r w:rsidRPr="00DE00DE">
              <w:rPr>
                <w:rStyle w:val="Hyperlink"/>
                <w:noProof/>
              </w:rPr>
              <w:t>Attached</w:t>
            </w:r>
            <w:r>
              <w:rPr>
                <w:noProof/>
                <w:webHidden/>
              </w:rPr>
              <w:tab/>
            </w:r>
            <w:r>
              <w:rPr>
                <w:noProof/>
                <w:webHidden/>
              </w:rPr>
              <w:fldChar w:fldCharType="begin"/>
            </w:r>
            <w:r>
              <w:rPr>
                <w:noProof/>
                <w:webHidden/>
              </w:rPr>
              <w:instrText xml:space="preserve"> PAGEREF _Toc127277091 \h </w:instrText>
            </w:r>
            <w:r>
              <w:rPr>
                <w:noProof/>
                <w:webHidden/>
              </w:rPr>
            </w:r>
            <w:r>
              <w:rPr>
                <w:noProof/>
                <w:webHidden/>
              </w:rPr>
              <w:fldChar w:fldCharType="separate"/>
            </w:r>
            <w:r>
              <w:rPr>
                <w:noProof/>
                <w:webHidden/>
              </w:rPr>
              <w:t>28</w:t>
            </w:r>
            <w:r>
              <w:rPr>
                <w:noProof/>
                <w:webHidden/>
              </w:rPr>
              <w:fldChar w:fldCharType="end"/>
            </w:r>
          </w:hyperlink>
        </w:p>
        <w:p w14:paraId="69023538" w14:textId="6F7D3A8B" w:rsidR="0076570E" w:rsidRPr="00CA7D07" w:rsidRDefault="0076570E" w:rsidP="002F3BF5">
          <w:pPr>
            <w:spacing w:before="240" w:after="240" w:line="360" w:lineRule="auto"/>
            <w:rPr>
              <w:rFonts w:ascii="Arial" w:hAnsi="Arial" w:cs="Arial"/>
              <w:sz w:val="24"/>
              <w:szCs w:val="24"/>
              <w:lang w:val="en-AU"/>
            </w:rPr>
          </w:pPr>
          <w:r w:rsidRPr="002F3BF5">
            <w:rPr>
              <w:rFonts w:ascii="Arial" w:hAnsi="Arial" w:cs="Arial"/>
              <w:b/>
              <w:bCs/>
              <w:noProof/>
              <w:sz w:val="24"/>
              <w:szCs w:val="24"/>
              <w:lang w:val="en-AU"/>
            </w:rPr>
            <w:fldChar w:fldCharType="end"/>
          </w:r>
        </w:p>
      </w:sdtContent>
    </w:sdt>
    <w:p w14:paraId="50C882A5" w14:textId="2CB3DA85" w:rsidR="00A60D0C" w:rsidRPr="00CA7D07" w:rsidRDefault="00006616" w:rsidP="00E4060E">
      <w:pPr>
        <w:pStyle w:val="Heading1"/>
        <w:spacing w:before="100" w:line="276" w:lineRule="auto"/>
        <w:rPr>
          <w:rFonts w:cs="Arial"/>
        </w:rPr>
      </w:pPr>
      <w:bookmarkStart w:id="3" w:name="_Toc127277078"/>
      <w:r w:rsidRPr="00CA7D07">
        <w:rPr>
          <w:rFonts w:cs="Arial"/>
        </w:rPr>
        <w:t>About this submission</w:t>
      </w:r>
      <w:bookmarkEnd w:id="3"/>
    </w:p>
    <w:p w14:paraId="3CB47BEB" w14:textId="7AF178D9" w:rsidR="00124574" w:rsidRPr="00B41200" w:rsidRDefault="002F3D42" w:rsidP="001A74B6">
      <w:pPr>
        <w:spacing w:before="100" w:beforeAutospacing="1" w:after="240" w:line="360" w:lineRule="auto"/>
        <w:rPr>
          <w:rFonts w:ascii="Arial" w:hAnsi="Arial" w:cs="Arial"/>
          <w:sz w:val="24"/>
          <w:szCs w:val="24"/>
          <w:lang w:val="en-AU"/>
        </w:rPr>
      </w:pPr>
      <w:r w:rsidRPr="00B41200">
        <w:rPr>
          <w:rFonts w:ascii="Arial" w:hAnsi="Arial" w:cs="Arial"/>
          <w:sz w:val="24"/>
          <w:szCs w:val="24"/>
          <w:lang w:val="en-AU"/>
        </w:rPr>
        <w:t xml:space="preserve">NDS welcomes the opportunity to provide this early submission to </w:t>
      </w:r>
      <w:r w:rsidR="00F9072A" w:rsidRPr="009C209E">
        <w:rPr>
          <w:rFonts w:ascii="Arial" w:hAnsi="Arial" w:cs="Arial"/>
          <w:sz w:val="24"/>
          <w:szCs w:val="24"/>
          <w:lang w:val="en-AU"/>
        </w:rPr>
        <w:t>the National Disability Insurance Scheme (NDIS</w:t>
      </w:r>
      <w:r w:rsidR="008523E1">
        <w:rPr>
          <w:rFonts w:ascii="Arial" w:hAnsi="Arial" w:cs="Arial"/>
          <w:sz w:val="24"/>
          <w:szCs w:val="24"/>
          <w:lang w:val="en-AU"/>
        </w:rPr>
        <w:t>)</w:t>
      </w:r>
      <w:r w:rsidR="00F9072A" w:rsidRPr="009C209E">
        <w:rPr>
          <w:rFonts w:ascii="Arial" w:hAnsi="Arial" w:cs="Arial"/>
          <w:sz w:val="24"/>
          <w:szCs w:val="24"/>
          <w:lang w:val="en-AU"/>
        </w:rPr>
        <w:t xml:space="preserve"> Review. </w:t>
      </w:r>
      <w:r w:rsidR="004E2CCB" w:rsidRPr="00EE5C24">
        <w:rPr>
          <w:rFonts w:ascii="Arial" w:hAnsi="Arial" w:cs="Arial"/>
          <w:sz w:val="24"/>
          <w:szCs w:val="24"/>
          <w:lang w:val="en-AU"/>
        </w:rPr>
        <w:t xml:space="preserve">The Independent Review Panel </w:t>
      </w:r>
      <w:r w:rsidR="00D966BF" w:rsidRPr="00EE5C24">
        <w:rPr>
          <w:rFonts w:ascii="Arial" w:hAnsi="Arial" w:cs="Arial"/>
          <w:sz w:val="24"/>
          <w:szCs w:val="24"/>
          <w:lang w:val="en-AU"/>
        </w:rPr>
        <w:t>is</w:t>
      </w:r>
      <w:r w:rsidR="004E2CCB" w:rsidRPr="00EE5C24">
        <w:rPr>
          <w:rFonts w:ascii="Arial" w:hAnsi="Arial" w:cs="Arial"/>
          <w:sz w:val="24"/>
          <w:szCs w:val="24"/>
          <w:lang w:val="en-AU"/>
        </w:rPr>
        <w:t xml:space="preserve"> seeking </w:t>
      </w:r>
      <w:r w:rsidR="006B5B3C" w:rsidRPr="00EE5C24">
        <w:rPr>
          <w:rFonts w:ascii="Arial" w:hAnsi="Arial" w:cs="Arial"/>
          <w:sz w:val="24"/>
          <w:szCs w:val="24"/>
          <w:lang w:val="en-AU"/>
        </w:rPr>
        <w:t xml:space="preserve">feedback </w:t>
      </w:r>
      <w:r w:rsidR="00B6262F" w:rsidRPr="00EE5C24">
        <w:rPr>
          <w:rFonts w:ascii="Arial" w:hAnsi="Arial" w:cs="Arial"/>
          <w:sz w:val="24"/>
          <w:szCs w:val="24"/>
          <w:lang w:val="en-AU"/>
        </w:rPr>
        <w:t xml:space="preserve">to inform the findings of the </w:t>
      </w:r>
      <w:r w:rsidR="008523E1">
        <w:rPr>
          <w:rFonts w:ascii="Arial" w:hAnsi="Arial" w:cs="Arial"/>
          <w:sz w:val="24"/>
          <w:szCs w:val="24"/>
          <w:lang w:val="en-AU"/>
        </w:rPr>
        <w:t xml:space="preserve">NDIS </w:t>
      </w:r>
      <w:r w:rsidR="00B6262F" w:rsidRPr="00EE5C24">
        <w:rPr>
          <w:rFonts w:ascii="Arial" w:hAnsi="Arial" w:cs="Arial"/>
          <w:sz w:val="24"/>
          <w:szCs w:val="24"/>
          <w:lang w:val="en-AU"/>
        </w:rPr>
        <w:t xml:space="preserve">Review </w:t>
      </w:r>
      <w:r w:rsidR="00C30D24">
        <w:rPr>
          <w:rFonts w:ascii="Arial" w:hAnsi="Arial" w:cs="Arial"/>
          <w:sz w:val="24"/>
          <w:szCs w:val="24"/>
          <w:lang w:val="en-AU"/>
        </w:rPr>
        <w:t xml:space="preserve">and </w:t>
      </w:r>
      <w:r w:rsidR="00696AE8">
        <w:rPr>
          <w:rFonts w:ascii="Arial" w:hAnsi="Arial" w:cs="Arial"/>
          <w:sz w:val="24"/>
          <w:szCs w:val="24"/>
          <w:lang w:val="en-AU"/>
        </w:rPr>
        <w:t>t</w:t>
      </w:r>
      <w:r w:rsidR="00B6262F" w:rsidRPr="00EE5C24">
        <w:rPr>
          <w:rFonts w:ascii="Arial" w:hAnsi="Arial" w:cs="Arial"/>
          <w:sz w:val="24"/>
          <w:szCs w:val="24"/>
          <w:lang w:val="en-AU"/>
        </w:rPr>
        <w:t xml:space="preserve">his submission will explore the </w:t>
      </w:r>
      <w:r w:rsidR="005262B3" w:rsidRPr="00EE5C24">
        <w:rPr>
          <w:rFonts w:ascii="Arial" w:hAnsi="Arial" w:cs="Arial"/>
          <w:sz w:val="24"/>
          <w:szCs w:val="24"/>
          <w:lang w:val="en-AU"/>
        </w:rPr>
        <w:t xml:space="preserve">questions </w:t>
      </w:r>
      <w:r w:rsidR="00132607" w:rsidRPr="00EE5C24">
        <w:rPr>
          <w:rFonts w:ascii="Arial" w:hAnsi="Arial" w:cs="Arial"/>
          <w:sz w:val="24"/>
          <w:szCs w:val="24"/>
          <w:lang w:val="en-AU"/>
        </w:rPr>
        <w:t xml:space="preserve">outlined in the ‘Have your say’ </w:t>
      </w:r>
      <w:r w:rsidR="00A67D9D" w:rsidRPr="00EE5C24">
        <w:rPr>
          <w:rFonts w:ascii="Arial" w:hAnsi="Arial" w:cs="Arial"/>
          <w:sz w:val="24"/>
          <w:szCs w:val="24"/>
          <w:lang w:val="en-AU"/>
        </w:rPr>
        <w:t>survey</w:t>
      </w:r>
      <w:r w:rsidR="00F30498" w:rsidRPr="00EE5C24">
        <w:rPr>
          <w:rFonts w:ascii="Arial" w:hAnsi="Arial" w:cs="Arial"/>
          <w:sz w:val="24"/>
          <w:szCs w:val="24"/>
          <w:lang w:val="en-AU"/>
        </w:rPr>
        <w:t>:</w:t>
      </w:r>
    </w:p>
    <w:p w14:paraId="1C6E1C51" w14:textId="77777777" w:rsidR="00FB7A4A" w:rsidRPr="00EE5C24" w:rsidRDefault="00FB7A4A" w:rsidP="001A74B6">
      <w:pPr>
        <w:pStyle w:val="ListParagraph"/>
        <w:numPr>
          <w:ilvl w:val="0"/>
          <w:numId w:val="15"/>
        </w:numPr>
        <w:spacing w:before="100" w:beforeAutospacing="1" w:after="240" w:line="360" w:lineRule="auto"/>
        <w:rPr>
          <w:rFonts w:ascii="Arial" w:hAnsi="Arial" w:cs="Arial"/>
          <w:sz w:val="24"/>
          <w:szCs w:val="24"/>
          <w:lang w:val="en-AU"/>
        </w:rPr>
      </w:pPr>
      <w:r w:rsidRPr="00EE5C24">
        <w:rPr>
          <w:rFonts w:ascii="Arial" w:hAnsi="Arial" w:cs="Arial"/>
          <w:sz w:val="24"/>
          <w:szCs w:val="24"/>
          <w:lang w:val="en-AU"/>
        </w:rPr>
        <w:t>What are your three main problems or concerns with the NDIS?</w:t>
      </w:r>
    </w:p>
    <w:p w14:paraId="47410ED1" w14:textId="77777777" w:rsidR="00FB7A4A" w:rsidRPr="00EE5C24" w:rsidRDefault="00FB7A4A" w:rsidP="001A74B6">
      <w:pPr>
        <w:pStyle w:val="ListParagraph"/>
        <w:numPr>
          <w:ilvl w:val="0"/>
          <w:numId w:val="15"/>
        </w:numPr>
        <w:spacing w:before="100" w:beforeAutospacing="1" w:after="240" w:line="360" w:lineRule="auto"/>
        <w:rPr>
          <w:rFonts w:ascii="Arial" w:hAnsi="Arial" w:cs="Arial"/>
          <w:sz w:val="24"/>
          <w:szCs w:val="24"/>
          <w:lang w:val="en-AU"/>
        </w:rPr>
      </w:pPr>
      <w:r w:rsidRPr="00EE5C24">
        <w:rPr>
          <w:rFonts w:ascii="Arial" w:hAnsi="Arial" w:cs="Arial"/>
          <w:sz w:val="24"/>
          <w:szCs w:val="24"/>
          <w:lang w:val="en-AU"/>
        </w:rPr>
        <w:t>How do these three main problems affect you and/or others?</w:t>
      </w:r>
    </w:p>
    <w:p w14:paraId="25E23507" w14:textId="77777777" w:rsidR="00FB7A4A" w:rsidRPr="00EE5C24" w:rsidRDefault="00FB7A4A" w:rsidP="001A74B6">
      <w:pPr>
        <w:pStyle w:val="ListParagraph"/>
        <w:numPr>
          <w:ilvl w:val="0"/>
          <w:numId w:val="15"/>
        </w:numPr>
        <w:spacing w:before="100" w:beforeAutospacing="1" w:after="240" w:line="360" w:lineRule="auto"/>
        <w:rPr>
          <w:rFonts w:ascii="Arial" w:hAnsi="Arial" w:cs="Arial"/>
          <w:sz w:val="24"/>
          <w:szCs w:val="24"/>
          <w:lang w:val="en-AU"/>
        </w:rPr>
      </w:pPr>
      <w:r w:rsidRPr="00EE5C24">
        <w:rPr>
          <w:rFonts w:ascii="Arial" w:hAnsi="Arial" w:cs="Arial"/>
          <w:sz w:val="24"/>
          <w:szCs w:val="24"/>
          <w:lang w:val="en-AU"/>
        </w:rPr>
        <w:t>What do you think are possible solutions to those problems?</w:t>
      </w:r>
    </w:p>
    <w:p w14:paraId="0E5AF791" w14:textId="721923DC" w:rsidR="00F30498" w:rsidRPr="00EE5C24" w:rsidRDefault="00FB7A4A" w:rsidP="001A74B6">
      <w:pPr>
        <w:pStyle w:val="ListParagraph"/>
        <w:numPr>
          <w:ilvl w:val="0"/>
          <w:numId w:val="15"/>
        </w:numPr>
        <w:spacing w:before="100" w:beforeAutospacing="1" w:after="240" w:line="360" w:lineRule="auto"/>
        <w:rPr>
          <w:rFonts w:ascii="Arial" w:hAnsi="Arial" w:cs="Arial"/>
          <w:sz w:val="24"/>
          <w:szCs w:val="24"/>
          <w:lang w:val="en-AU"/>
        </w:rPr>
      </w:pPr>
      <w:r w:rsidRPr="00EE5C24">
        <w:rPr>
          <w:rFonts w:ascii="Arial" w:hAnsi="Arial" w:cs="Arial"/>
          <w:sz w:val="24"/>
          <w:szCs w:val="24"/>
          <w:lang w:val="en-AU"/>
        </w:rPr>
        <w:t>What parts of the NDIS are working well for you?</w:t>
      </w:r>
    </w:p>
    <w:p w14:paraId="24EB81A3" w14:textId="01F1556E" w:rsidR="00D16C17" w:rsidRPr="00CA7D07" w:rsidRDefault="00B356DA" w:rsidP="00E4060E">
      <w:pPr>
        <w:pStyle w:val="Heading1"/>
        <w:spacing w:before="100" w:line="276" w:lineRule="auto"/>
        <w:rPr>
          <w:rFonts w:cs="Arial"/>
        </w:rPr>
      </w:pPr>
      <w:bookmarkStart w:id="4" w:name="_Toc127277079"/>
      <w:r>
        <w:rPr>
          <w:rFonts w:cs="Arial"/>
        </w:rPr>
        <w:t xml:space="preserve">NDS’s </w:t>
      </w:r>
      <w:r w:rsidR="00CF46FC" w:rsidRPr="00CA7D07">
        <w:rPr>
          <w:rFonts w:cs="Arial"/>
        </w:rPr>
        <w:t>State of the Disability Sector Report</w:t>
      </w:r>
      <w:bookmarkEnd w:id="4"/>
      <w:r w:rsidR="00CF46FC" w:rsidRPr="00CA7D07">
        <w:rPr>
          <w:rFonts w:cs="Arial"/>
        </w:rPr>
        <w:t xml:space="preserve"> </w:t>
      </w:r>
    </w:p>
    <w:p w14:paraId="3CAAEEEB" w14:textId="7AC9AAE0" w:rsidR="00B356DA" w:rsidRDefault="00B356DA" w:rsidP="001A74B6">
      <w:pPr>
        <w:spacing w:before="100" w:beforeAutospacing="1" w:after="240" w:line="360" w:lineRule="auto"/>
        <w:rPr>
          <w:rFonts w:ascii="Arial" w:hAnsi="Arial" w:cs="Arial"/>
          <w:sz w:val="24"/>
          <w:szCs w:val="24"/>
          <w:lang w:val="en-AU"/>
        </w:rPr>
      </w:pPr>
      <w:r>
        <w:rPr>
          <w:rFonts w:ascii="Arial" w:hAnsi="Arial" w:cs="Arial"/>
          <w:sz w:val="24"/>
          <w:szCs w:val="24"/>
          <w:lang w:val="en-AU"/>
        </w:rPr>
        <w:t xml:space="preserve">NDS’s State of the Disability Sector report is </w:t>
      </w:r>
      <w:r w:rsidR="00896FBD">
        <w:rPr>
          <w:rFonts w:ascii="Arial" w:hAnsi="Arial" w:cs="Arial"/>
          <w:sz w:val="24"/>
          <w:szCs w:val="24"/>
          <w:lang w:val="en-AU"/>
        </w:rPr>
        <w:t xml:space="preserve">based </w:t>
      </w:r>
      <w:r w:rsidR="009F04A1">
        <w:rPr>
          <w:rFonts w:ascii="Arial" w:hAnsi="Arial" w:cs="Arial"/>
          <w:sz w:val="24"/>
          <w:szCs w:val="24"/>
          <w:lang w:val="en-AU"/>
        </w:rPr>
        <w:t>on data collected from disability service providers</w:t>
      </w:r>
      <w:r w:rsidR="008E74D6">
        <w:rPr>
          <w:rFonts w:ascii="Arial" w:hAnsi="Arial" w:cs="Arial"/>
          <w:sz w:val="24"/>
          <w:szCs w:val="24"/>
          <w:lang w:val="en-AU"/>
        </w:rPr>
        <w:t xml:space="preserve"> and has been running for 9 years. </w:t>
      </w:r>
      <w:r w:rsidR="001814B7">
        <w:rPr>
          <w:rFonts w:ascii="Arial" w:hAnsi="Arial" w:cs="Arial"/>
          <w:sz w:val="24"/>
          <w:szCs w:val="24"/>
          <w:lang w:val="en-AU"/>
        </w:rPr>
        <w:t>Conducted in partnership with the Centre for Disability Research and Policy at the University of Sydney, t</w:t>
      </w:r>
      <w:r w:rsidR="008E74D6">
        <w:rPr>
          <w:rFonts w:ascii="Arial" w:hAnsi="Arial" w:cs="Arial"/>
          <w:sz w:val="24"/>
          <w:szCs w:val="24"/>
          <w:lang w:val="en-AU"/>
        </w:rPr>
        <w:t xml:space="preserve">he 2022 report </w:t>
      </w:r>
      <w:r w:rsidR="00D14D44">
        <w:rPr>
          <w:rFonts w:ascii="Arial" w:hAnsi="Arial" w:cs="Arial"/>
          <w:sz w:val="24"/>
          <w:szCs w:val="24"/>
          <w:lang w:val="en-AU"/>
        </w:rPr>
        <w:t>is based on responses from 364 providers from every state and territory</w:t>
      </w:r>
      <w:r w:rsidR="00C06DBD">
        <w:rPr>
          <w:rFonts w:ascii="Arial" w:hAnsi="Arial" w:cs="Arial"/>
          <w:sz w:val="24"/>
          <w:szCs w:val="24"/>
          <w:lang w:val="en-AU"/>
        </w:rPr>
        <w:t>,</w:t>
      </w:r>
      <w:r w:rsidR="00565BC1">
        <w:rPr>
          <w:rFonts w:ascii="Arial" w:hAnsi="Arial" w:cs="Arial"/>
          <w:sz w:val="24"/>
          <w:szCs w:val="24"/>
          <w:lang w:val="en-AU"/>
        </w:rPr>
        <w:t xml:space="preserve"> from sole traders to large multi-state organisations, delivering a wide range of services</w:t>
      </w:r>
      <w:r w:rsidR="00C06DBD">
        <w:rPr>
          <w:rFonts w:ascii="Arial" w:hAnsi="Arial" w:cs="Arial"/>
          <w:sz w:val="24"/>
          <w:szCs w:val="24"/>
          <w:lang w:val="en-AU"/>
        </w:rPr>
        <w:t xml:space="preserve">. </w:t>
      </w:r>
      <w:r w:rsidR="00E43ED3">
        <w:rPr>
          <w:rFonts w:ascii="Arial" w:hAnsi="Arial" w:cs="Arial"/>
          <w:sz w:val="24"/>
          <w:szCs w:val="24"/>
          <w:lang w:val="en-AU"/>
        </w:rPr>
        <w:t xml:space="preserve">The </w:t>
      </w:r>
      <w:r w:rsidR="00782FF4">
        <w:rPr>
          <w:rFonts w:ascii="Arial" w:hAnsi="Arial" w:cs="Arial"/>
          <w:sz w:val="24"/>
          <w:szCs w:val="24"/>
          <w:lang w:val="en-AU"/>
        </w:rPr>
        <w:t xml:space="preserve">latest </w:t>
      </w:r>
      <w:r w:rsidR="00E43ED3">
        <w:rPr>
          <w:rFonts w:ascii="Arial" w:hAnsi="Arial" w:cs="Arial"/>
          <w:sz w:val="24"/>
          <w:szCs w:val="24"/>
          <w:lang w:val="en-AU"/>
        </w:rPr>
        <w:t xml:space="preserve">data was collected in </w:t>
      </w:r>
      <w:r w:rsidR="001C4FB4">
        <w:rPr>
          <w:rFonts w:ascii="Arial" w:hAnsi="Arial" w:cs="Arial"/>
          <w:sz w:val="24"/>
          <w:szCs w:val="24"/>
          <w:lang w:val="en-AU"/>
        </w:rPr>
        <w:t xml:space="preserve">across August and September </w:t>
      </w:r>
      <w:r w:rsidR="00E43ED3">
        <w:rPr>
          <w:rFonts w:ascii="Arial" w:hAnsi="Arial" w:cs="Arial"/>
          <w:sz w:val="24"/>
          <w:szCs w:val="24"/>
          <w:lang w:val="en-AU"/>
        </w:rPr>
        <w:t>2022 (shortly before the NDIS Rev</w:t>
      </w:r>
      <w:r w:rsidR="003320FD">
        <w:rPr>
          <w:rFonts w:ascii="Arial" w:hAnsi="Arial" w:cs="Arial"/>
          <w:sz w:val="24"/>
          <w:szCs w:val="24"/>
          <w:lang w:val="en-AU"/>
        </w:rPr>
        <w:t>iew was officially launched</w:t>
      </w:r>
      <w:r w:rsidR="00AD1798">
        <w:rPr>
          <w:rFonts w:ascii="Arial" w:hAnsi="Arial" w:cs="Arial"/>
          <w:sz w:val="24"/>
          <w:szCs w:val="24"/>
          <w:lang w:val="en-AU"/>
        </w:rPr>
        <w:t>).</w:t>
      </w:r>
    </w:p>
    <w:p w14:paraId="04B34A06" w14:textId="1FF9E013" w:rsidR="0085726A" w:rsidRPr="00CA7D07" w:rsidRDefault="0066002F" w:rsidP="001A74B6">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lastRenderedPageBreak/>
        <w:t>The 2022 Report</w:t>
      </w:r>
      <w:r w:rsidRPr="00CA7D07">
        <w:rPr>
          <w:rStyle w:val="cf01"/>
          <w:rFonts w:ascii="Arial" w:hAnsi="Arial" w:cs="Arial"/>
          <w:sz w:val="24"/>
          <w:szCs w:val="24"/>
          <w:lang w:val="en-AU"/>
        </w:rPr>
        <w:t xml:space="preserve"> </w:t>
      </w:r>
      <w:r w:rsidRPr="00CA7D07">
        <w:rPr>
          <w:rFonts w:ascii="Arial" w:hAnsi="Arial" w:cs="Arial"/>
          <w:sz w:val="24"/>
          <w:szCs w:val="24"/>
          <w:lang w:val="en-AU"/>
        </w:rPr>
        <w:t xml:space="preserve">identifies </w:t>
      </w:r>
      <w:proofErr w:type="gramStart"/>
      <w:r w:rsidR="005A056C">
        <w:rPr>
          <w:rFonts w:ascii="Arial" w:hAnsi="Arial" w:cs="Arial"/>
          <w:sz w:val="24"/>
          <w:szCs w:val="24"/>
          <w:lang w:val="en-AU"/>
        </w:rPr>
        <w:t>a number of</w:t>
      </w:r>
      <w:proofErr w:type="gramEnd"/>
      <w:r w:rsidR="005A056C">
        <w:rPr>
          <w:rFonts w:ascii="Arial" w:hAnsi="Arial" w:cs="Arial"/>
          <w:sz w:val="24"/>
          <w:szCs w:val="24"/>
          <w:lang w:val="en-AU"/>
        </w:rPr>
        <w:t xml:space="preserve"> issues</w:t>
      </w:r>
      <w:r w:rsidR="005A056C" w:rsidRPr="00580EAC">
        <w:rPr>
          <w:rFonts w:ascii="Arial" w:hAnsi="Arial" w:cs="Arial"/>
          <w:sz w:val="24"/>
          <w:szCs w:val="24"/>
          <w:lang w:val="en-AU"/>
        </w:rPr>
        <w:t xml:space="preserve"> </w:t>
      </w:r>
      <w:r w:rsidRPr="00CA7D07">
        <w:rPr>
          <w:rFonts w:ascii="Arial" w:hAnsi="Arial" w:cs="Arial"/>
          <w:sz w:val="24"/>
          <w:szCs w:val="24"/>
          <w:lang w:val="en-AU"/>
        </w:rPr>
        <w:t xml:space="preserve">that </w:t>
      </w:r>
      <w:r w:rsidR="002F6B01">
        <w:rPr>
          <w:rFonts w:ascii="Arial" w:hAnsi="Arial" w:cs="Arial"/>
          <w:sz w:val="24"/>
          <w:szCs w:val="24"/>
          <w:lang w:val="en-AU"/>
        </w:rPr>
        <w:t>are</w:t>
      </w:r>
      <w:r w:rsidR="00103667">
        <w:rPr>
          <w:rFonts w:ascii="Arial" w:hAnsi="Arial" w:cs="Arial"/>
          <w:sz w:val="24"/>
          <w:szCs w:val="24"/>
          <w:lang w:val="en-AU"/>
        </w:rPr>
        <w:t xml:space="preserve"> useful </w:t>
      </w:r>
      <w:r w:rsidR="002F6B01">
        <w:rPr>
          <w:rFonts w:ascii="Arial" w:hAnsi="Arial" w:cs="Arial"/>
          <w:sz w:val="24"/>
          <w:szCs w:val="24"/>
          <w:lang w:val="en-AU"/>
        </w:rPr>
        <w:t xml:space="preserve">to consider </w:t>
      </w:r>
      <w:r w:rsidR="00103667">
        <w:rPr>
          <w:rFonts w:ascii="Arial" w:hAnsi="Arial" w:cs="Arial"/>
          <w:sz w:val="24"/>
          <w:szCs w:val="24"/>
          <w:lang w:val="en-AU"/>
        </w:rPr>
        <w:t xml:space="preserve">in the context of the NDIS Review. </w:t>
      </w:r>
      <w:r w:rsidR="00200810">
        <w:rPr>
          <w:rFonts w:ascii="Arial" w:hAnsi="Arial" w:cs="Arial"/>
          <w:sz w:val="24"/>
          <w:szCs w:val="24"/>
          <w:lang w:val="en-AU"/>
        </w:rPr>
        <w:t xml:space="preserve">A key theme </w:t>
      </w:r>
      <w:r w:rsidR="004743A6">
        <w:rPr>
          <w:rFonts w:ascii="Arial" w:hAnsi="Arial" w:cs="Arial"/>
          <w:sz w:val="24"/>
          <w:szCs w:val="24"/>
          <w:lang w:val="en-AU"/>
        </w:rPr>
        <w:t>from t</w:t>
      </w:r>
      <w:r w:rsidRPr="00580EAC">
        <w:rPr>
          <w:rFonts w:ascii="Arial" w:hAnsi="Arial" w:cs="Arial"/>
          <w:sz w:val="24"/>
          <w:szCs w:val="24"/>
          <w:lang w:val="en-AU"/>
        </w:rPr>
        <w:t xml:space="preserve">he </w:t>
      </w:r>
      <w:r w:rsidR="00105A82">
        <w:rPr>
          <w:rFonts w:ascii="Arial" w:hAnsi="Arial" w:cs="Arial"/>
          <w:sz w:val="24"/>
          <w:szCs w:val="24"/>
          <w:lang w:val="en-AU"/>
        </w:rPr>
        <w:t xml:space="preserve">2022 </w:t>
      </w:r>
      <w:r w:rsidRPr="00580EAC">
        <w:rPr>
          <w:rFonts w:ascii="Arial" w:hAnsi="Arial" w:cs="Arial"/>
          <w:sz w:val="24"/>
          <w:szCs w:val="24"/>
          <w:lang w:val="en-AU"/>
        </w:rPr>
        <w:t xml:space="preserve">Report </w:t>
      </w:r>
      <w:r w:rsidR="004F2C76">
        <w:rPr>
          <w:rFonts w:ascii="Arial" w:hAnsi="Arial" w:cs="Arial"/>
          <w:sz w:val="24"/>
          <w:szCs w:val="24"/>
          <w:lang w:val="en-AU"/>
        </w:rPr>
        <w:t>that characterises the experience of providers delivering NDIS services is</w:t>
      </w:r>
      <w:r w:rsidRPr="00CA7D07">
        <w:rPr>
          <w:rFonts w:ascii="Arial" w:hAnsi="Arial" w:cs="Arial"/>
          <w:sz w:val="24"/>
          <w:szCs w:val="24"/>
          <w:lang w:val="en-AU"/>
        </w:rPr>
        <w:t xml:space="preserve"> the impact that unclear and constantly evolving operational processes and procedures have on the capacity of the sector to provide high quality supports that meet the needs of NDIS participants.</w:t>
      </w:r>
      <w:r w:rsidR="0085726A" w:rsidRPr="0085726A">
        <w:rPr>
          <w:rStyle w:val="EndnoteReference"/>
          <w:rFonts w:ascii="Arial" w:hAnsi="Arial" w:cs="Arial"/>
          <w:sz w:val="24"/>
          <w:szCs w:val="24"/>
          <w:vertAlign w:val="baseline"/>
          <w:lang w:val="en-AU"/>
        </w:rPr>
        <w:endnoteReference w:id="2"/>
      </w:r>
      <w:r w:rsidR="0085726A" w:rsidRPr="0085726A">
        <w:rPr>
          <w:rFonts w:ascii="Arial" w:hAnsi="Arial" w:cs="Arial"/>
          <w:sz w:val="24"/>
          <w:szCs w:val="24"/>
          <w:lang w:val="en-AU"/>
        </w:rPr>
        <w:t xml:space="preserve"> </w:t>
      </w:r>
    </w:p>
    <w:p w14:paraId="07730E64" w14:textId="42904CD1" w:rsidR="0085726A" w:rsidRDefault="0085726A" w:rsidP="001A74B6">
      <w:pPr>
        <w:spacing w:before="100" w:beforeAutospacing="1" w:after="240" w:line="360" w:lineRule="auto"/>
        <w:rPr>
          <w:rStyle w:val="normaltextrun"/>
          <w:rFonts w:ascii="Arial" w:hAnsi="Arial" w:cs="Arial"/>
          <w:sz w:val="24"/>
          <w:szCs w:val="24"/>
          <w:lang w:val="en-AU"/>
        </w:rPr>
      </w:pPr>
      <w:r w:rsidRPr="00CA7D07">
        <w:rPr>
          <w:rFonts w:ascii="Arial" w:hAnsi="Arial" w:cs="Arial"/>
          <w:sz w:val="24"/>
          <w:szCs w:val="24"/>
          <w:lang w:val="en-AU"/>
        </w:rPr>
        <w:t xml:space="preserve">As with previous years, the effectiveness of the </w:t>
      </w:r>
      <w:r>
        <w:rPr>
          <w:rFonts w:ascii="Arial" w:hAnsi="Arial" w:cs="Arial"/>
          <w:sz w:val="24"/>
          <w:szCs w:val="24"/>
          <w:lang w:val="en-AU"/>
        </w:rPr>
        <w:t>National Disability Insurance Agency’s (</w:t>
      </w:r>
      <w:r w:rsidRPr="00580EAC">
        <w:rPr>
          <w:rFonts w:ascii="Arial" w:hAnsi="Arial" w:cs="Arial"/>
          <w:sz w:val="24"/>
          <w:szCs w:val="24"/>
          <w:lang w:val="en-AU"/>
        </w:rPr>
        <w:t>NDIA</w:t>
      </w:r>
      <w:r>
        <w:rPr>
          <w:rFonts w:ascii="Arial" w:hAnsi="Arial" w:cs="Arial"/>
          <w:sz w:val="24"/>
          <w:szCs w:val="24"/>
          <w:lang w:val="en-AU"/>
        </w:rPr>
        <w:t>’s)</w:t>
      </w:r>
      <w:r w:rsidRPr="00CA7D07">
        <w:rPr>
          <w:rFonts w:ascii="Arial" w:hAnsi="Arial" w:cs="Arial"/>
          <w:sz w:val="24"/>
          <w:szCs w:val="24"/>
          <w:lang w:val="en-AU"/>
        </w:rPr>
        <w:t xml:space="preserve"> approach to working with providers continues to be an issue. While this has improved compared to previous years, the working relationship between providers and the NDIA is poor. </w:t>
      </w:r>
      <w:r w:rsidRPr="00CA7D07">
        <w:rPr>
          <w:rStyle w:val="normaltextrun"/>
          <w:rFonts w:ascii="Arial" w:hAnsi="Arial" w:cs="Arial"/>
          <w:sz w:val="24"/>
          <w:szCs w:val="24"/>
          <w:lang w:val="en-AU"/>
        </w:rPr>
        <w:t>Two thirds of respondents (64 per cent) disagreed or strongly disagreed that the NDIA is working well with providers (</w:t>
      </w:r>
      <w:r>
        <w:rPr>
          <w:rStyle w:val="normaltextrun"/>
          <w:rFonts w:ascii="Arial" w:hAnsi="Arial" w:cs="Arial"/>
          <w:sz w:val="24"/>
          <w:szCs w:val="24"/>
          <w:lang w:val="en-AU"/>
        </w:rPr>
        <w:t xml:space="preserve">and </w:t>
      </w:r>
      <w:r w:rsidRPr="00CA7D07">
        <w:rPr>
          <w:rStyle w:val="normaltextrun"/>
          <w:rFonts w:ascii="Arial" w:hAnsi="Arial" w:cs="Arial"/>
          <w:sz w:val="24"/>
          <w:szCs w:val="24"/>
          <w:lang w:val="en-AU"/>
        </w:rPr>
        <w:t>only 11 per cent believe that they are working well).</w:t>
      </w:r>
    </w:p>
    <w:p w14:paraId="117C037A" w14:textId="77777777" w:rsidR="0085726A" w:rsidRDefault="0085726A">
      <w:pPr>
        <w:rPr>
          <w:rStyle w:val="normaltextrun"/>
          <w:rFonts w:ascii="Arial" w:hAnsi="Arial" w:cs="Arial"/>
          <w:sz w:val="24"/>
          <w:szCs w:val="24"/>
          <w:lang w:val="en-AU"/>
        </w:rPr>
      </w:pPr>
      <w:r>
        <w:rPr>
          <w:rStyle w:val="normaltextrun"/>
          <w:rFonts w:ascii="Arial" w:hAnsi="Arial" w:cs="Arial"/>
          <w:sz w:val="24"/>
          <w:szCs w:val="24"/>
          <w:lang w:val="en-AU"/>
        </w:rPr>
        <w:br w:type="page"/>
      </w:r>
    </w:p>
    <w:p w14:paraId="07F27C02" w14:textId="77777777" w:rsidR="00557FB9" w:rsidRDefault="0085726A" w:rsidP="00E4060E">
      <w:pPr>
        <w:spacing w:before="100" w:beforeAutospacing="1" w:line="276" w:lineRule="auto"/>
        <w:rPr>
          <w:rFonts w:ascii="Arial" w:hAnsi="Arial" w:cs="Arial"/>
          <w:noProof/>
          <w:sz w:val="24"/>
          <w:szCs w:val="24"/>
          <w:lang w:val="en-AU"/>
        </w:rPr>
      </w:pPr>
      <w:r w:rsidRPr="00CA7D07">
        <w:rPr>
          <w:rStyle w:val="normaltextrun"/>
          <w:rFonts w:ascii="Arial" w:hAnsi="Arial" w:cs="Arial"/>
          <w:sz w:val="24"/>
          <w:szCs w:val="24"/>
          <w:lang w:val="en-AU"/>
        </w:rPr>
        <w:lastRenderedPageBreak/>
        <w:t xml:space="preserve">Figure 1: Perception of the NDIS environment - the NDIA is working well with </w:t>
      </w:r>
      <w:proofErr w:type="gramStart"/>
      <w:r w:rsidRPr="00CA7D07">
        <w:rPr>
          <w:rStyle w:val="normaltextrun"/>
          <w:rFonts w:ascii="Arial" w:hAnsi="Arial" w:cs="Arial"/>
          <w:sz w:val="24"/>
          <w:szCs w:val="24"/>
          <w:lang w:val="en-AU"/>
        </w:rPr>
        <w:t>providers</w:t>
      </w:r>
      <w:proofErr w:type="gramEnd"/>
    </w:p>
    <w:p w14:paraId="365E77B2" w14:textId="3CD66521" w:rsidR="0085726A" w:rsidRDefault="0085726A" w:rsidP="00E4060E">
      <w:pPr>
        <w:spacing w:before="100" w:beforeAutospacing="1" w:line="276" w:lineRule="auto"/>
        <w:rPr>
          <w:rFonts w:ascii="Arial" w:hAnsi="Arial" w:cs="Arial"/>
          <w:sz w:val="24"/>
          <w:szCs w:val="24"/>
          <w:lang w:val="en-AU"/>
        </w:rPr>
      </w:pPr>
      <w:r w:rsidRPr="00CA7D07">
        <w:rPr>
          <w:rFonts w:ascii="Arial" w:hAnsi="Arial" w:cs="Arial"/>
          <w:noProof/>
          <w:sz w:val="24"/>
          <w:szCs w:val="24"/>
          <w:lang w:val="en-AU"/>
        </w:rPr>
        <w:drawing>
          <wp:inline distT="0" distB="0" distL="0" distR="0" wp14:anchorId="4DF6865D" wp14:editId="6892706C">
            <wp:extent cx="5940935" cy="2786400"/>
            <wp:effectExtent l="0" t="0" r="3175" b="0"/>
            <wp:docPr id="1" name="Picture 1" descr="Bar chart showing perceptions of the NDIS Environment related to how well the NDIA is working with providers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showing perceptions of the NDIS Environment related to how well the NDIA is working with providers over time. Read below for a full data table."/>
                    <pic:cNvPicPr/>
                  </pic:nvPicPr>
                  <pic:blipFill>
                    <a:blip r:embed="rId11">
                      <a:extLst>
                        <a:ext uri="{28A0092B-C50C-407E-A947-70E740481C1C}">
                          <a14:useLocalDpi xmlns:a14="http://schemas.microsoft.com/office/drawing/2010/main" val="0"/>
                        </a:ext>
                      </a:extLst>
                    </a:blip>
                    <a:stretch>
                      <a:fillRect/>
                    </a:stretch>
                  </pic:blipFill>
                  <pic:spPr>
                    <a:xfrm>
                      <a:off x="0" y="0"/>
                      <a:ext cx="5940935" cy="2786400"/>
                    </a:xfrm>
                    <a:prstGeom prst="rect">
                      <a:avLst/>
                    </a:prstGeom>
                  </pic:spPr>
                </pic:pic>
              </a:graphicData>
            </a:graphic>
          </wp:inline>
        </w:drawing>
      </w:r>
    </w:p>
    <w:tbl>
      <w:tblPr>
        <w:tblStyle w:val="TableGrid"/>
        <w:tblW w:w="0" w:type="auto"/>
        <w:tblLook w:val="04A0" w:firstRow="1" w:lastRow="0" w:firstColumn="1" w:lastColumn="0" w:noHBand="0" w:noVBand="1"/>
        <w:tblCaption w:val="Figure 1: Perception of the NDIS environment - the NDIA is working well with providers"/>
      </w:tblPr>
      <w:tblGrid>
        <w:gridCol w:w="1231"/>
        <w:gridCol w:w="1159"/>
        <w:gridCol w:w="1160"/>
        <w:gridCol w:w="1160"/>
        <w:gridCol w:w="1160"/>
        <w:gridCol w:w="1160"/>
        <w:gridCol w:w="1160"/>
        <w:gridCol w:w="1160"/>
      </w:tblGrid>
      <w:tr w:rsidR="00793C72" w:rsidRPr="00793C72" w14:paraId="65985345" w14:textId="77777777" w:rsidTr="00793C72">
        <w:tc>
          <w:tcPr>
            <w:tcW w:w="1168" w:type="dxa"/>
          </w:tcPr>
          <w:p w14:paraId="795E72FF" w14:textId="2F9171C2" w:rsidR="00793C72" w:rsidRPr="00793C72" w:rsidRDefault="00793C72" w:rsidP="00793C72">
            <w:pPr>
              <w:spacing w:after="100"/>
              <w:rPr>
                <w:rFonts w:ascii="Arial" w:hAnsi="Arial" w:cs="Arial"/>
                <w:sz w:val="24"/>
                <w:szCs w:val="24"/>
              </w:rPr>
            </w:pPr>
            <w:bookmarkStart w:id="5" w:name="_Hlk127275341"/>
          </w:p>
        </w:tc>
        <w:tc>
          <w:tcPr>
            <w:tcW w:w="1168" w:type="dxa"/>
          </w:tcPr>
          <w:p w14:paraId="376E99F2"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2016</w:t>
            </w:r>
          </w:p>
        </w:tc>
        <w:tc>
          <w:tcPr>
            <w:tcW w:w="1169" w:type="dxa"/>
          </w:tcPr>
          <w:p w14:paraId="2914B5C0"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2017</w:t>
            </w:r>
          </w:p>
        </w:tc>
        <w:tc>
          <w:tcPr>
            <w:tcW w:w="1169" w:type="dxa"/>
          </w:tcPr>
          <w:p w14:paraId="1A8D629D"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2018</w:t>
            </w:r>
          </w:p>
        </w:tc>
        <w:tc>
          <w:tcPr>
            <w:tcW w:w="1169" w:type="dxa"/>
          </w:tcPr>
          <w:p w14:paraId="3D0CEF09"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2019</w:t>
            </w:r>
          </w:p>
        </w:tc>
        <w:tc>
          <w:tcPr>
            <w:tcW w:w="1169" w:type="dxa"/>
          </w:tcPr>
          <w:p w14:paraId="343B097B"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2020</w:t>
            </w:r>
          </w:p>
        </w:tc>
        <w:tc>
          <w:tcPr>
            <w:tcW w:w="1169" w:type="dxa"/>
          </w:tcPr>
          <w:p w14:paraId="57E78C06"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2021</w:t>
            </w:r>
          </w:p>
        </w:tc>
        <w:tc>
          <w:tcPr>
            <w:tcW w:w="1169" w:type="dxa"/>
          </w:tcPr>
          <w:p w14:paraId="68F3A1F0"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2022</w:t>
            </w:r>
          </w:p>
        </w:tc>
      </w:tr>
      <w:tr w:rsidR="00793C72" w:rsidRPr="00793C72" w14:paraId="74777F5F" w14:textId="77777777" w:rsidTr="00793C72">
        <w:tc>
          <w:tcPr>
            <w:tcW w:w="1168" w:type="dxa"/>
          </w:tcPr>
          <w:p w14:paraId="1FBF6B2A"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Don’t know</w:t>
            </w:r>
          </w:p>
        </w:tc>
        <w:tc>
          <w:tcPr>
            <w:tcW w:w="1168" w:type="dxa"/>
          </w:tcPr>
          <w:p w14:paraId="0D7EEFB8"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Less than 10 per cent</w:t>
            </w:r>
          </w:p>
        </w:tc>
        <w:tc>
          <w:tcPr>
            <w:tcW w:w="1169" w:type="dxa"/>
          </w:tcPr>
          <w:p w14:paraId="59BF27EE"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Less than 10 per cent</w:t>
            </w:r>
          </w:p>
        </w:tc>
        <w:tc>
          <w:tcPr>
            <w:tcW w:w="1169" w:type="dxa"/>
          </w:tcPr>
          <w:p w14:paraId="156BB73F"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Less than 5 per cent</w:t>
            </w:r>
          </w:p>
        </w:tc>
        <w:tc>
          <w:tcPr>
            <w:tcW w:w="1169" w:type="dxa"/>
          </w:tcPr>
          <w:p w14:paraId="6061A0EF"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Less than 5 per cent</w:t>
            </w:r>
          </w:p>
        </w:tc>
        <w:tc>
          <w:tcPr>
            <w:tcW w:w="1169" w:type="dxa"/>
          </w:tcPr>
          <w:p w14:paraId="1C67E1BE"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0 per cent</w:t>
            </w:r>
          </w:p>
        </w:tc>
        <w:tc>
          <w:tcPr>
            <w:tcW w:w="1169" w:type="dxa"/>
          </w:tcPr>
          <w:p w14:paraId="584C0599"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0 per cent</w:t>
            </w:r>
          </w:p>
        </w:tc>
        <w:tc>
          <w:tcPr>
            <w:tcW w:w="1169" w:type="dxa"/>
          </w:tcPr>
          <w:p w14:paraId="777F94AC"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0 per cent</w:t>
            </w:r>
          </w:p>
        </w:tc>
      </w:tr>
      <w:tr w:rsidR="00793C72" w:rsidRPr="00793C72" w14:paraId="13409A30" w14:textId="77777777" w:rsidTr="00793C72">
        <w:tc>
          <w:tcPr>
            <w:tcW w:w="1168" w:type="dxa"/>
          </w:tcPr>
          <w:p w14:paraId="275E4724"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Agree or strongly agree</w:t>
            </w:r>
          </w:p>
        </w:tc>
        <w:tc>
          <w:tcPr>
            <w:tcW w:w="1168" w:type="dxa"/>
          </w:tcPr>
          <w:p w14:paraId="66DBEBA5"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13 per cent</w:t>
            </w:r>
          </w:p>
        </w:tc>
        <w:tc>
          <w:tcPr>
            <w:tcW w:w="1169" w:type="dxa"/>
          </w:tcPr>
          <w:p w14:paraId="1DEC024B"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8 per cent</w:t>
            </w:r>
          </w:p>
        </w:tc>
        <w:tc>
          <w:tcPr>
            <w:tcW w:w="1169" w:type="dxa"/>
          </w:tcPr>
          <w:p w14:paraId="0220B990"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15 per cent</w:t>
            </w:r>
          </w:p>
        </w:tc>
        <w:tc>
          <w:tcPr>
            <w:tcW w:w="1169" w:type="dxa"/>
          </w:tcPr>
          <w:p w14:paraId="3C7B7346"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19 per cent</w:t>
            </w:r>
          </w:p>
        </w:tc>
        <w:tc>
          <w:tcPr>
            <w:tcW w:w="1169" w:type="dxa"/>
          </w:tcPr>
          <w:p w14:paraId="6702137B"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26 per cent</w:t>
            </w:r>
          </w:p>
        </w:tc>
        <w:tc>
          <w:tcPr>
            <w:tcW w:w="1169" w:type="dxa"/>
          </w:tcPr>
          <w:p w14:paraId="55B2385D"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12 per cent</w:t>
            </w:r>
          </w:p>
        </w:tc>
        <w:tc>
          <w:tcPr>
            <w:tcW w:w="1169" w:type="dxa"/>
          </w:tcPr>
          <w:p w14:paraId="31292A18"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11 per cent</w:t>
            </w:r>
          </w:p>
        </w:tc>
      </w:tr>
      <w:tr w:rsidR="00793C72" w:rsidRPr="00793C72" w14:paraId="36173F28" w14:textId="77777777" w:rsidTr="00793C72">
        <w:tc>
          <w:tcPr>
            <w:tcW w:w="1168" w:type="dxa"/>
          </w:tcPr>
          <w:p w14:paraId="3067D125"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Neither agree nor disagree</w:t>
            </w:r>
          </w:p>
        </w:tc>
        <w:tc>
          <w:tcPr>
            <w:tcW w:w="1168" w:type="dxa"/>
          </w:tcPr>
          <w:p w14:paraId="19CF4AA4"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24 per cent</w:t>
            </w:r>
          </w:p>
        </w:tc>
        <w:tc>
          <w:tcPr>
            <w:tcW w:w="1169" w:type="dxa"/>
          </w:tcPr>
          <w:p w14:paraId="406F3305"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21 per cent</w:t>
            </w:r>
          </w:p>
        </w:tc>
        <w:tc>
          <w:tcPr>
            <w:tcW w:w="1169" w:type="dxa"/>
          </w:tcPr>
          <w:p w14:paraId="05051E90"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22 per cent</w:t>
            </w:r>
          </w:p>
        </w:tc>
        <w:tc>
          <w:tcPr>
            <w:tcW w:w="1169" w:type="dxa"/>
          </w:tcPr>
          <w:p w14:paraId="30722253"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25 per cent</w:t>
            </w:r>
          </w:p>
        </w:tc>
        <w:tc>
          <w:tcPr>
            <w:tcW w:w="1169" w:type="dxa"/>
          </w:tcPr>
          <w:p w14:paraId="259BA3D8"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20 per cent</w:t>
            </w:r>
          </w:p>
        </w:tc>
        <w:tc>
          <w:tcPr>
            <w:tcW w:w="1169" w:type="dxa"/>
          </w:tcPr>
          <w:p w14:paraId="5EE95934"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27 per cent</w:t>
            </w:r>
          </w:p>
        </w:tc>
        <w:tc>
          <w:tcPr>
            <w:tcW w:w="1169" w:type="dxa"/>
          </w:tcPr>
          <w:p w14:paraId="39100186"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25 per cent</w:t>
            </w:r>
          </w:p>
        </w:tc>
      </w:tr>
      <w:tr w:rsidR="00793C72" w:rsidRPr="00793C72" w14:paraId="38EFE4B2" w14:textId="77777777" w:rsidTr="00793C72">
        <w:tc>
          <w:tcPr>
            <w:tcW w:w="1168" w:type="dxa"/>
          </w:tcPr>
          <w:p w14:paraId="34DEB454" w14:textId="77777777" w:rsidR="00793C72" w:rsidRPr="00793C72" w:rsidRDefault="00793C72" w:rsidP="00793C72">
            <w:pPr>
              <w:spacing w:after="100"/>
              <w:rPr>
                <w:rFonts w:ascii="Arial" w:hAnsi="Arial" w:cs="Arial"/>
                <w:b/>
                <w:bCs/>
                <w:sz w:val="24"/>
                <w:szCs w:val="24"/>
              </w:rPr>
            </w:pPr>
            <w:r w:rsidRPr="00793C72">
              <w:rPr>
                <w:rFonts w:ascii="Arial" w:hAnsi="Arial" w:cs="Arial"/>
                <w:b/>
                <w:bCs/>
                <w:sz w:val="24"/>
                <w:szCs w:val="24"/>
              </w:rPr>
              <w:t>Disagree or strongly disagree</w:t>
            </w:r>
          </w:p>
        </w:tc>
        <w:tc>
          <w:tcPr>
            <w:tcW w:w="1168" w:type="dxa"/>
          </w:tcPr>
          <w:p w14:paraId="5EB8C957"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57 per cent</w:t>
            </w:r>
          </w:p>
        </w:tc>
        <w:tc>
          <w:tcPr>
            <w:tcW w:w="1169" w:type="dxa"/>
          </w:tcPr>
          <w:p w14:paraId="7210EBBD"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67 per cent</w:t>
            </w:r>
          </w:p>
        </w:tc>
        <w:tc>
          <w:tcPr>
            <w:tcW w:w="1169" w:type="dxa"/>
          </w:tcPr>
          <w:p w14:paraId="0E30A966"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62 per cent</w:t>
            </w:r>
          </w:p>
        </w:tc>
        <w:tc>
          <w:tcPr>
            <w:tcW w:w="1169" w:type="dxa"/>
          </w:tcPr>
          <w:p w14:paraId="7BDF6BB8"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56 per cent</w:t>
            </w:r>
          </w:p>
        </w:tc>
        <w:tc>
          <w:tcPr>
            <w:tcW w:w="1169" w:type="dxa"/>
          </w:tcPr>
          <w:p w14:paraId="45345E7D"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54 per cent</w:t>
            </w:r>
          </w:p>
        </w:tc>
        <w:tc>
          <w:tcPr>
            <w:tcW w:w="1169" w:type="dxa"/>
          </w:tcPr>
          <w:p w14:paraId="0519C9F0"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61 per cent</w:t>
            </w:r>
          </w:p>
        </w:tc>
        <w:tc>
          <w:tcPr>
            <w:tcW w:w="1169" w:type="dxa"/>
          </w:tcPr>
          <w:p w14:paraId="4964BE93" w14:textId="77777777" w:rsidR="00793C72" w:rsidRPr="00793C72" w:rsidRDefault="00793C72" w:rsidP="00793C72">
            <w:pPr>
              <w:spacing w:after="100"/>
              <w:rPr>
                <w:rFonts w:ascii="Arial" w:hAnsi="Arial" w:cs="Arial"/>
                <w:sz w:val="24"/>
                <w:szCs w:val="24"/>
              </w:rPr>
            </w:pPr>
            <w:r w:rsidRPr="00793C72">
              <w:rPr>
                <w:rFonts w:ascii="Arial" w:hAnsi="Arial" w:cs="Arial"/>
                <w:sz w:val="24"/>
                <w:szCs w:val="24"/>
              </w:rPr>
              <w:t>64 per cent</w:t>
            </w:r>
          </w:p>
        </w:tc>
      </w:tr>
    </w:tbl>
    <w:bookmarkEnd w:id="5"/>
    <w:p w14:paraId="6268798B" w14:textId="5D0EB0DD" w:rsidR="0085726A" w:rsidRPr="00CA7D07" w:rsidRDefault="0085726A" w:rsidP="002F3BF5">
      <w:pPr>
        <w:spacing w:before="100" w:beforeAutospacing="1" w:after="1200" w:line="360" w:lineRule="auto"/>
        <w:rPr>
          <w:rFonts w:ascii="Arial" w:hAnsi="Arial" w:cs="Arial"/>
          <w:sz w:val="24"/>
          <w:szCs w:val="24"/>
          <w:lang w:val="en-AU"/>
        </w:rPr>
      </w:pPr>
      <w:r w:rsidRPr="00CA7D07">
        <w:rPr>
          <w:rFonts w:ascii="Arial" w:hAnsi="Arial" w:cs="Arial"/>
          <w:sz w:val="24"/>
          <w:szCs w:val="24"/>
          <w:lang w:val="en-AU"/>
        </w:rPr>
        <w:t xml:space="preserve">Providers continue to be concerned about the policy environment with some improvement compared to previous years. In 2022, 79 per cent thought that the NDIS policy environment was uncertain. </w:t>
      </w:r>
    </w:p>
    <w:p w14:paraId="5D0BAA4D" w14:textId="77777777" w:rsidR="0085726A" w:rsidRPr="00CA7D07" w:rsidRDefault="0085726A" w:rsidP="00793C72">
      <w:pPr>
        <w:spacing w:before="100" w:beforeAutospacing="1" w:after="240" w:line="360" w:lineRule="auto"/>
        <w:rPr>
          <w:rFonts w:ascii="Arial" w:hAnsi="Arial" w:cs="Arial"/>
          <w:sz w:val="24"/>
          <w:szCs w:val="24"/>
          <w:lang w:val="en-AU"/>
        </w:rPr>
      </w:pPr>
      <w:r w:rsidRPr="00CA7D07">
        <w:rPr>
          <w:rStyle w:val="normaltextrun"/>
          <w:rFonts w:ascii="Arial" w:hAnsi="Arial" w:cs="Arial"/>
          <w:sz w:val="24"/>
          <w:szCs w:val="24"/>
          <w:lang w:val="en-AU"/>
        </w:rPr>
        <w:lastRenderedPageBreak/>
        <w:t xml:space="preserve">Figure 2: Perception of the NDIS environment - the NDIS policy environment is </w:t>
      </w:r>
      <w:proofErr w:type="gramStart"/>
      <w:r w:rsidRPr="00CA7D07">
        <w:rPr>
          <w:rStyle w:val="normaltextrun"/>
          <w:rFonts w:ascii="Arial" w:hAnsi="Arial" w:cs="Arial"/>
          <w:sz w:val="24"/>
          <w:szCs w:val="24"/>
          <w:lang w:val="en-AU"/>
        </w:rPr>
        <w:t>uncertain</w:t>
      </w:r>
      <w:proofErr w:type="gramEnd"/>
    </w:p>
    <w:p w14:paraId="23913FE4" w14:textId="77777777" w:rsidR="0085726A" w:rsidRPr="00CA7D07" w:rsidRDefault="0085726A" w:rsidP="00E4060E">
      <w:pPr>
        <w:spacing w:before="100" w:beforeAutospacing="1" w:after="100" w:afterAutospacing="1" w:line="276" w:lineRule="auto"/>
        <w:rPr>
          <w:rFonts w:ascii="Arial" w:hAnsi="Arial" w:cs="Arial"/>
          <w:sz w:val="24"/>
          <w:szCs w:val="24"/>
          <w:lang w:val="en-AU"/>
        </w:rPr>
      </w:pPr>
      <w:r w:rsidRPr="00CA7D07">
        <w:rPr>
          <w:rFonts w:ascii="Arial" w:hAnsi="Arial" w:cs="Arial"/>
          <w:noProof/>
          <w:sz w:val="24"/>
          <w:szCs w:val="24"/>
          <w:lang w:val="en-AU"/>
        </w:rPr>
        <w:drawing>
          <wp:inline distT="0" distB="0" distL="0" distR="0" wp14:anchorId="1EFD70A6" wp14:editId="0A92E9EC">
            <wp:extent cx="5943600" cy="2683510"/>
            <wp:effectExtent l="0" t="0" r="0" b="2540"/>
            <wp:docPr id="6" name="Picture 6" descr="Bar chart showing perceptions of the NDIS Environment related to the uncertainty of the NDIS policy environment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showing perceptions of the NDIS Environment related to the uncertainty of the NDIS policy environment over time. Read below for a full data table."/>
                    <pic:cNvPicPr/>
                  </pic:nvPicPr>
                  <pic:blipFill>
                    <a:blip r:embed="rId12"/>
                    <a:stretch>
                      <a:fillRect/>
                    </a:stretch>
                  </pic:blipFill>
                  <pic:spPr>
                    <a:xfrm>
                      <a:off x="0" y="0"/>
                      <a:ext cx="5943600" cy="2683510"/>
                    </a:xfrm>
                    <a:prstGeom prst="rect">
                      <a:avLst/>
                    </a:prstGeom>
                  </pic:spPr>
                </pic:pic>
              </a:graphicData>
            </a:graphic>
          </wp:inline>
        </w:drawing>
      </w:r>
    </w:p>
    <w:tbl>
      <w:tblPr>
        <w:tblStyle w:val="TableGrid"/>
        <w:tblW w:w="0" w:type="auto"/>
        <w:tblLook w:val="04A0" w:firstRow="1" w:lastRow="0" w:firstColumn="1" w:lastColumn="0" w:noHBand="0" w:noVBand="1"/>
        <w:tblCaption w:val="Figure 2: Perception of the NDIS environment - the NDIS policy environment is uncertain"/>
      </w:tblPr>
      <w:tblGrid>
        <w:gridCol w:w="1231"/>
        <w:gridCol w:w="1159"/>
        <w:gridCol w:w="1160"/>
        <w:gridCol w:w="1160"/>
        <w:gridCol w:w="1160"/>
        <w:gridCol w:w="1160"/>
        <w:gridCol w:w="1160"/>
        <w:gridCol w:w="1160"/>
      </w:tblGrid>
      <w:tr w:rsidR="00242CDA" w:rsidRPr="00242CDA" w14:paraId="4D1732E7" w14:textId="77777777" w:rsidTr="00D93582">
        <w:tc>
          <w:tcPr>
            <w:tcW w:w="1168" w:type="dxa"/>
          </w:tcPr>
          <w:p w14:paraId="2CC5E217" w14:textId="5AD0F298" w:rsidR="00242CDA" w:rsidRPr="00242CDA" w:rsidRDefault="00242CDA" w:rsidP="00D93582">
            <w:pPr>
              <w:spacing w:after="100"/>
              <w:rPr>
                <w:rFonts w:ascii="Arial" w:hAnsi="Arial" w:cs="Arial"/>
                <w:sz w:val="24"/>
                <w:szCs w:val="24"/>
              </w:rPr>
            </w:pPr>
          </w:p>
        </w:tc>
        <w:tc>
          <w:tcPr>
            <w:tcW w:w="1168" w:type="dxa"/>
          </w:tcPr>
          <w:p w14:paraId="3E7F4BF8"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2016</w:t>
            </w:r>
          </w:p>
        </w:tc>
        <w:tc>
          <w:tcPr>
            <w:tcW w:w="1169" w:type="dxa"/>
          </w:tcPr>
          <w:p w14:paraId="34924B1A"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2017</w:t>
            </w:r>
          </w:p>
        </w:tc>
        <w:tc>
          <w:tcPr>
            <w:tcW w:w="1169" w:type="dxa"/>
          </w:tcPr>
          <w:p w14:paraId="6B57EE66"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2018</w:t>
            </w:r>
          </w:p>
        </w:tc>
        <w:tc>
          <w:tcPr>
            <w:tcW w:w="1169" w:type="dxa"/>
          </w:tcPr>
          <w:p w14:paraId="2761A39C"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2019</w:t>
            </w:r>
          </w:p>
        </w:tc>
        <w:tc>
          <w:tcPr>
            <w:tcW w:w="1169" w:type="dxa"/>
          </w:tcPr>
          <w:p w14:paraId="67CE6884"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2020</w:t>
            </w:r>
          </w:p>
        </w:tc>
        <w:tc>
          <w:tcPr>
            <w:tcW w:w="1169" w:type="dxa"/>
          </w:tcPr>
          <w:p w14:paraId="748C8FC7"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2021</w:t>
            </w:r>
          </w:p>
        </w:tc>
        <w:tc>
          <w:tcPr>
            <w:tcW w:w="1169" w:type="dxa"/>
          </w:tcPr>
          <w:p w14:paraId="4F74C0D9"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2022</w:t>
            </w:r>
          </w:p>
        </w:tc>
      </w:tr>
      <w:tr w:rsidR="00242CDA" w:rsidRPr="00242CDA" w14:paraId="0DA09CD6" w14:textId="77777777" w:rsidTr="00D93582">
        <w:tc>
          <w:tcPr>
            <w:tcW w:w="1168" w:type="dxa"/>
          </w:tcPr>
          <w:p w14:paraId="0E089B3E"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Don’t know</w:t>
            </w:r>
          </w:p>
        </w:tc>
        <w:tc>
          <w:tcPr>
            <w:tcW w:w="1168" w:type="dxa"/>
          </w:tcPr>
          <w:p w14:paraId="7B384C65"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Less than 10 per cent</w:t>
            </w:r>
          </w:p>
        </w:tc>
        <w:tc>
          <w:tcPr>
            <w:tcW w:w="1169" w:type="dxa"/>
          </w:tcPr>
          <w:p w14:paraId="39D7CBB5"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Less than 10 per cent</w:t>
            </w:r>
          </w:p>
        </w:tc>
        <w:tc>
          <w:tcPr>
            <w:tcW w:w="1169" w:type="dxa"/>
          </w:tcPr>
          <w:p w14:paraId="26AEB2E6"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Less than 5 per cent</w:t>
            </w:r>
          </w:p>
        </w:tc>
        <w:tc>
          <w:tcPr>
            <w:tcW w:w="1169" w:type="dxa"/>
          </w:tcPr>
          <w:p w14:paraId="1711FAB9"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Less than 5 per cent</w:t>
            </w:r>
          </w:p>
        </w:tc>
        <w:tc>
          <w:tcPr>
            <w:tcW w:w="1169" w:type="dxa"/>
          </w:tcPr>
          <w:p w14:paraId="27CC448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Less than 5 per cent</w:t>
            </w:r>
          </w:p>
        </w:tc>
        <w:tc>
          <w:tcPr>
            <w:tcW w:w="1169" w:type="dxa"/>
          </w:tcPr>
          <w:p w14:paraId="626DC728"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0 per cent</w:t>
            </w:r>
          </w:p>
        </w:tc>
        <w:tc>
          <w:tcPr>
            <w:tcW w:w="1169" w:type="dxa"/>
          </w:tcPr>
          <w:p w14:paraId="287E3AC0"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0 per cent</w:t>
            </w:r>
          </w:p>
        </w:tc>
      </w:tr>
      <w:tr w:rsidR="00242CDA" w:rsidRPr="00242CDA" w14:paraId="63F25396" w14:textId="77777777" w:rsidTr="00D93582">
        <w:tc>
          <w:tcPr>
            <w:tcW w:w="1168" w:type="dxa"/>
          </w:tcPr>
          <w:p w14:paraId="65AD8359"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Agree or strongly agree</w:t>
            </w:r>
          </w:p>
        </w:tc>
        <w:tc>
          <w:tcPr>
            <w:tcW w:w="1168" w:type="dxa"/>
          </w:tcPr>
          <w:p w14:paraId="4C94E3B8"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75 per cent</w:t>
            </w:r>
          </w:p>
        </w:tc>
        <w:tc>
          <w:tcPr>
            <w:tcW w:w="1169" w:type="dxa"/>
          </w:tcPr>
          <w:p w14:paraId="06F0E363"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75 per cent</w:t>
            </w:r>
          </w:p>
        </w:tc>
        <w:tc>
          <w:tcPr>
            <w:tcW w:w="1169" w:type="dxa"/>
          </w:tcPr>
          <w:p w14:paraId="625002C3"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80 per cent</w:t>
            </w:r>
          </w:p>
        </w:tc>
        <w:tc>
          <w:tcPr>
            <w:tcW w:w="1169" w:type="dxa"/>
          </w:tcPr>
          <w:p w14:paraId="3286DCB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75 per cent</w:t>
            </w:r>
          </w:p>
        </w:tc>
        <w:tc>
          <w:tcPr>
            <w:tcW w:w="1169" w:type="dxa"/>
          </w:tcPr>
          <w:p w14:paraId="7ACE2534"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69 per cent</w:t>
            </w:r>
          </w:p>
        </w:tc>
        <w:tc>
          <w:tcPr>
            <w:tcW w:w="1169" w:type="dxa"/>
          </w:tcPr>
          <w:p w14:paraId="51763C18"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81 per cent</w:t>
            </w:r>
          </w:p>
        </w:tc>
        <w:tc>
          <w:tcPr>
            <w:tcW w:w="1169" w:type="dxa"/>
          </w:tcPr>
          <w:p w14:paraId="3FEC367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79 per cent</w:t>
            </w:r>
          </w:p>
        </w:tc>
      </w:tr>
      <w:tr w:rsidR="00242CDA" w:rsidRPr="00242CDA" w14:paraId="282923D4" w14:textId="77777777" w:rsidTr="00D93582">
        <w:tc>
          <w:tcPr>
            <w:tcW w:w="1168" w:type="dxa"/>
          </w:tcPr>
          <w:p w14:paraId="627D91F5"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Neither agree nor disagree</w:t>
            </w:r>
          </w:p>
        </w:tc>
        <w:tc>
          <w:tcPr>
            <w:tcW w:w="1168" w:type="dxa"/>
          </w:tcPr>
          <w:p w14:paraId="06555680"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15 per cent</w:t>
            </w:r>
          </w:p>
        </w:tc>
        <w:tc>
          <w:tcPr>
            <w:tcW w:w="1169" w:type="dxa"/>
          </w:tcPr>
          <w:p w14:paraId="12E40E98"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12 per cent</w:t>
            </w:r>
          </w:p>
        </w:tc>
        <w:tc>
          <w:tcPr>
            <w:tcW w:w="1169" w:type="dxa"/>
          </w:tcPr>
          <w:p w14:paraId="5210A97F"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13 per cent</w:t>
            </w:r>
          </w:p>
        </w:tc>
        <w:tc>
          <w:tcPr>
            <w:tcW w:w="1169" w:type="dxa"/>
          </w:tcPr>
          <w:p w14:paraId="6443438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15 per cent</w:t>
            </w:r>
          </w:p>
        </w:tc>
        <w:tc>
          <w:tcPr>
            <w:tcW w:w="1169" w:type="dxa"/>
          </w:tcPr>
          <w:p w14:paraId="03827C72"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18 per cent</w:t>
            </w:r>
          </w:p>
        </w:tc>
        <w:tc>
          <w:tcPr>
            <w:tcW w:w="1169" w:type="dxa"/>
          </w:tcPr>
          <w:p w14:paraId="3FECD231"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14 per cent</w:t>
            </w:r>
          </w:p>
        </w:tc>
        <w:tc>
          <w:tcPr>
            <w:tcW w:w="1169" w:type="dxa"/>
          </w:tcPr>
          <w:p w14:paraId="7B48852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15 per cent</w:t>
            </w:r>
          </w:p>
        </w:tc>
      </w:tr>
      <w:tr w:rsidR="00242CDA" w:rsidRPr="00242CDA" w14:paraId="6AF39A8C" w14:textId="77777777" w:rsidTr="00D93582">
        <w:tc>
          <w:tcPr>
            <w:tcW w:w="1168" w:type="dxa"/>
          </w:tcPr>
          <w:p w14:paraId="4D503CD4" w14:textId="77777777" w:rsidR="00242CDA" w:rsidRPr="00242CDA" w:rsidRDefault="00242CDA" w:rsidP="00D93582">
            <w:pPr>
              <w:spacing w:after="100"/>
              <w:rPr>
                <w:rFonts w:ascii="Arial" w:hAnsi="Arial" w:cs="Arial"/>
                <w:b/>
                <w:bCs/>
                <w:sz w:val="24"/>
                <w:szCs w:val="24"/>
              </w:rPr>
            </w:pPr>
            <w:r w:rsidRPr="00242CDA">
              <w:rPr>
                <w:rFonts w:ascii="Arial" w:hAnsi="Arial" w:cs="Arial"/>
                <w:b/>
                <w:bCs/>
                <w:sz w:val="24"/>
                <w:szCs w:val="24"/>
              </w:rPr>
              <w:t>Disagree or strongly disagree</w:t>
            </w:r>
          </w:p>
        </w:tc>
        <w:tc>
          <w:tcPr>
            <w:tcW w:w="1168" w:type="dxa"/>
          </w:tcPr>
          <w:p w14:paraId="1A3A6F6E"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7 per cent</w:t>
            </w:r>
          </w:p>
        </w:tc>
        <w:tc>
          <w:tcPr>
            <w:tcW w:w="1169" w:type="dxa"/>
          </w:tcPr>
          <w:p w14:paraId="4ED17D5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6 per cent</w:t>
            </w:r>
          </w:p>
        </w:tc>
        <w:tc>
          <w:tcPr>
            <w:tcW w:w="1169" w:type="dxa"/>
          </w:tcPr>
          <w:p w14:paraId="55C25D27"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6 per cent</w:t>
            </w:r>
          </w:p>
        </w:tc>
        <w:tc>
          <w:tcPr>
            <w:tcW w:w="1169" w:type="dxa"/>
          </w:tcPr>
          <w:p w14:paraId="1C7C8640"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8 per cent</w:t>
            </w:r>
          </w:p>
        </w:tc>
        <w:tc>
          <w:tcPr>
            <w:tcW w:w="1169" w:type="dxa"/>
          </w:tcPr>
          <w:p w14:paraId="7036F9FF"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12 per cent</w:t>
            </w:r>
          </w:p>
        </w:tc>
        <w:tc>
          <w:tcPr>
            <w:tcW w:w="1169" w:type="dxa"/>
          </w:tcPr>
          <w:p w14:paraId="0821A70C"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Less than 10 per cent</w:t>
            </w:r>
          </w:p>
        </w:tc>
        <w:tc>
          <w:tcPr>
            <w:tcW w:w="1169" w:type="dxa"/>
          </w:tcPr>
          <w:p w14:paraId="0E123122" w14:textId="77777777" w:rsidR="00242CDA" w:rsidRPr="00242CDA" w:rsidRDefault="00242CDA" w:rsidP="00D93582">
            <w:pPr>
              <w:spacing w:after="100"/>
              <w:rPr>
                <w:rFonts w:ascii="Arial" w:hAnsi="Arial" w:cs="Arial"/>
                <w:sz w:val="24"/>
                <w:szCs w:val="24"/>
              </w:rPr>
            </w:pPr>
            <w:r w:rsidRPr="00242CDA">
              <w:rPr>
                <w:rFonts w:ascii="Arial" w:hAnsi="Arial" w:cs="Arial"/>
                <w:sz w:val="24"/>
                <w:szCs w:val="24"/>
              </w:rPr>
              <w:t>7 per cent</w:t>
            </w:r>
          </w:p>
        </w:tc>
      </w:tr>
    </w:tbl>
    <w:p w14:paraId="164CC13B" w14:textId="7A5D541C" w:rsidR="0085726A" w:rsidRPr="00B50241" w:rsidRDefault="0085726A" w:rsidP="00C62C21">
      <w:pPr>
        <w:spacing w:before="100" w:beforeAutospacing="1" w:line="276" w:lineRule="auto"/>
        <w:rPr>
          <w:rFonts w:ascii="Arial" w:hAnsi="Arial" w:cs="Arial"/>
          <w:i/>
          <w:iCs/>
          <w:sz w:val="24"/>
          <w:szCs w:val="24"/>
          <w:lang w:val="en-AU"/>
        </w:rPr>
      </w:pPr>
      <w:r w:rsidRPr="00B50241">
        <w:rPr>
          <w:rFonts w:ascii="Arial" w:hAnsi="Arial" w:cs="Arial"/>
          <w:i/>
          <w:iCs/>
          <w:sz w:val="24"/>
          <w:szCs w:val="24"/>
          <w:lang w:val="en-AU"/>
        </w:rPr>
        <w:t>‘The lack of consistency from the NDIA when we call about issues for clarification is poor. The rules change and the lack of information or reasoning is not clear for many of the participants we support. It is felt that NDIA has made changes and informed providers and expected us to communicate the changes to participants and families, leaving us open to the backlash when the changes are not our decision.’</w:t>
      </w:r>
    </w:p>
    <w:p w14:paraId="53BA7F39" w14:textId="06BB9ACD" w:rsidR="0085726A" w:rsidRPr="00B50241" w:rsidRDefault="0085726A" w:rsidP="00242CDA">
      <w:pPr>
        <w:spacing w:before="240" w:after="240" w:line="360" w:lineRule="auto"/>
        <w:jc w:val="right"/>
        <w:rPr>
          <w:rStyle w:val="normaltextrun"/>
          <w:rFonts w:ascii="Arial" w:hAnsi="Arial" w:cs="Arial"/>
          <w:i/>
          <w:iCs/>
          <w:sz w:val="24"/>
          <w:szCs w:val="24"/>
          <w:lang w:val="en-AU"/>
        </w:rPr>
      </w:pPr>
      <w:r w:rsidRPr="00B50241">
        <w:rPr>
          <w:rFonts w:ascii="Arial" w:hAnsi="Arial" w:cs="Arial"/>
          <w:i/>
          <w:iCs/>
          <w:sz w:val="24"/>
          <w:szCs w:val="24"/>
          <w:lang w:val="en-AU"/>
        </w:rPr>
        <w:t xml:space="preserve">Vic small not-for-profit, </w:t>
      </w:r>
      <w:r w:rsidRPr="00B50241">
        <w:rPr>
          <w:rStyle w:val="normaltextrun"/>
          <w:rFonts w:ascii="Arial" w:hAnsi="Arial" w:cs="Arial"/>
          <w:i/>
          <w:iCs/>
          <w:sz w:val="24"/>
          <w:szCs w:val="24"/>
          <w:lang w:val="en-AU"/>
        </w:rPr>
        <w:t>2022 NDS State of the Disability Sector Report</w:t>
      </w:r>
      <w:r w:rsidR="00B50241">
        <w:rPr>
          <w:rStyle w:val="normaltextrun"/>
          <w:rFonts w:ascii="Arial" w:hAnsi="Arial" w:cs="Arial"/>
          <w:i/>
          <w:iCs/>
          <w:sz w:val="24"/>
          <w:szCs w:val="24"/>
          <w:lang w:val="en-AU"/>
        </w:rPr>
        <w:t xml:space="preserve"> </w:t>
      </w:r>
      <w:r w:rsidRPr="00B50241">
        <w:rPr>
          <w:rStyle w:val="EndnoteReference"/>
          <w:rFonts w:ascii="Arial" w:hAnsi="Arial" w:cs="Arial"/>
          <w:i/>
          <w:iCs/>
          <w:sz w:val="24"/>
          <w:szCs w:val="24"/>
          <w:vertAlign w:val="baseline"/>
          <w:lang w:val="en-AU"/>
        </w:rPr>
        <w:endnoteReference w:id="3"/>
      </w:r>
    </w:p>
    <w:p w14:paraId="34AFA1EC" w14:textId="77777777" w:rsidR="0085726A" w:rsidRPr="00CA7D07" w:rsidRDefault="0085726A" w:rsidP="00242CDA">
      <w:pPr>
        <w:spacing w:before="240" w:after="240" w:line="360" w:lineRule="auto"/>
        <w:rPr>
          <w:rFonts w:ascii="Arial" w:hAnsi="Arial" w:cs="Arial"/>
          <w:sz w:val="24"/>
          <w:szCs w:val="24"/>
          <w:lang w:val="en-AU"/>
        </w:rPr>
      </w:pPr>
      <w:r w:rsidRPr="00CA7D07">
        <w:rPr>
          <w:rFonts w:ascii="Arial" w:hAnsi="Arial" w:cs="Arial"/>
          <w:sz w:val="24"/>
          <w:szCs w:val="24"/>
          <w:lang w:val="en-AU"/>
        </w:rPr>
        <w:lastRenderedPageBreak/>
        <w:t>Overall, the number of respondents who ‘agreed’ or ‘strongly agreed’ that ‘the risks that the NDIS presents to my organisation outweigh the opportunities’ sat at 30 per cent (roughly the same as the previous three years). Alarmingly few organisations plan to deliver new types of services in the year to come, even though many were unable to meet the demand for services over the course of the last 12 months, often due to a shortage of workers.</w:t>
      </w:r>
    </w:p>
    <w:p w14:paraId="168BCB62" w14:textId="066FEDDB" w:rsidR="0085726A" w:rsidRPr="00CA7D07" w:rsidRDefault="0085726A" w:rsidP="00242CDA">
      <w:pPr>
        <w:spacing w:before="240" w:after="240" w:line="360" w:lineRule="auto"/>
        <w:rPr>
          <w:rStyle w:val="normaltextrun"/>
          <w:rFonts w:ascii="Arial" w:hAnsi="Arial" w:cs="Arial"/>
          <w:sz w:val="24"/>
          <w:szCs w:val="24"/>
          <w:lang w:val="en-AU"/>
        </w:rPr>
      </w:pPr>
      <w:r w:rsidRPr="00CA7D07">
        <w:rPr>
          <w:rStyle w:val="normaltextrun"/>
          <w:rFonts w:ascii="Arial" w:hAnsi="Arial" w:cs="Arial"/>
          <w:sz w:val="24"/>
          <w:szCs w:val="24"/>
          <w:lang w:val="en-AU"/>
        </w:rPr>
        <w:t xml:space="preserve">Providers reported that unfunded activity, such as helping people understand and navigate the </w:t>
      </w:r>
      <w:r>
        <w:rPr>
          <w:rStyle w:val="normaltextrun"/>
          <w:rFonts w:ascii="Arial" w:hAnsi="Arial" w:cs="Arial"/>
          <w:sz w:val="24"/>
          <w:szCs w:val="24"/>
          <w:lang w:val="en-AU"/>
        </w:rPr>
        <w:t>S</w:t>
      </w:r>
      <w:r w:rsidRPr="00CA7D07">
        <w:rPr>
          <w:rStyle w:val="normaltextrun"/>
          <w:rFonts w:ascii="Arial" w:hAnsi="Arial" w:cs="Arial"/>
          <w:sz w:val="24"/>
          <w:szCs w:val="24"/>
          <w:lang w:val="en-AU"/>
        </w:rPr>
        <w:t xml:space="preserve">cheme, was distracting from direct service provision (together with a related concern that there was insufficient advocacy for NDIS participants). 73 per cent thought that there is not sufficient advocacy for the people they support; only 14 per cent agreed. Respondents agree that helping people understand and navigate the </w:t>
      </w:r>
      <w:r>
        <w:rPr>
          <w:rStyle w:val="normaltextrun"/>
          <w:rFonts w:ascii="Arial" w:hAnsi="Arial" w:cs="Arial"/>
          <w:sz w:val="24"/>
          <w:szCs w:val="24"/>
          <w:lang w:val="en-AU"/>
        </w:rPr>
        <w:t>S</w:t>
      </w:r>
      <w:r w:rsidRPr="00CA7D07">
        <w:rPr>
          <w:rStyle w:val="normaltextrun"/>
          <w:rFonts w:ascii="Arial" w:hAnsi="Arial" w:cs="Arial"/>
          <w:sz w:val="24"/>
          <w:szCs w:val="24"/>
          <w:lang w:val="en-AU"/>
        </w:rPr>
        <w:t>cheme is taking them away from service delivery.</w:t>
      </w:r>
    </w:p>
    <w:p w14:paraId="0C06296C" w14:textId="1276B6BA" w:rsidR="0085726A" w:rsidRPr="00CA7D07" w:rsidRDefault="0085726A" w:rsidP="00C62C21">
      <w:pPr>
        <w:spacing w:before="240" w:after="240" w:line="360" w:lineRule="auto"/>
        <w:rPr>
          <w:rStyle w:val="normaltextrun"/>
          <w:rFonts w:ascii="Arial" w:hAnsi="Arial" w:cs="Arial"/>
          <w:sz w:val="24"/>
          <w:szCs w:val="24"/>
          <w:lang w:val="en-AU"/>
        </w:rPr>
      </w:pPr>
      <w:r w:rsidRPr="00CA7D07">
        <w:rPr>
          <w:rStyle w:val="normaltextrun"/>
          <w:rFonts w:ascii="Arial" w:hAnsi="Arial" w:cs="Arial"/>
          <w:sz w:val="24"/>
          <w:szCs w:val="24"/>
          <w:lang w:val="en-AU"/>
        </w:rPr>
        <w:t xml:space="preserve">Figure 3: Perception of the NDIS environment – helping people understand and navigate the </w:t>
      </w:r>
      <w:r>
        <w:rPr>
          <w:rStyle w:val="normaltextrun"/>
          <w:rFonts w:ascii="Arial" w:hAnsi="Arial" w:cs="Arial"/>
          <w:sz w:val="24"/>
          <w:szCs w:val="24"/>
          <w:lang w:val="en-AU"/>
        </w:rPr>
        <w:t>S</w:t>
      </w:r>
      <w:r w:rsidRPr="00CA7D07">
        <w:rPr>
          <w:rStyle w:val="normaltextrun"/>
          <w:rFonts w:ascii="Arial" w:hAnsi="Arial" w:cs="Arial"/>
          <w:sz w:val="24"/>
          <w:szCs w:val="24"/>
          <w:lang w:val="en-AU"/>
        </w:rPr>
        <w:t xml:space="preserve">cheme is taking us away from service </w:t>
      </w:r>
      <w:proofErr w:type="gramStart"/>
      <w:r w:rsidRPr="00CA7D07">
        <w:rPr>
          <w:rStyle w:val="normaltextrun"/>
          <w:rFonts w:ascii="Arial" w:hAnsi="Arial" w:cs="Arial"/>
          <w:sz w:val="24"/>
          <w:szCs w:val="24"/>
          <w:lang w:val="en-AU"/>
        </w:rPr>
        <w:t>provision</w:t>
      </w:r>
      <w:proofErr w:type="gramEnd"/>
    </w:p>
    <w:p w14:paraId="636FDE43" w14:textId="77777777" w:rsidR="0085726A" w:rsidRPr="00CA7D07" w:rsidRDefault="0085726A" w:rsidP="00C62C21">
      <w:pPr>
        <w:spacing w:before="100" w:beforeAutospacing="1" w:after="1800" w:line="276" w:lineRule="auto"/>
        <w:rPr>
          <w:rFonts w:ascii="Arial" w:hAnsi="Arial" w:cs="Arial"/>
          <w:sz w:val="24"/>
          <w:szCs w:val="24"/>
          <w:lang w:val="en-AU"/>
        </w:rPr>
      </w:pPr>
      <w:r w:rsidRPr="00CA7D07">
        <w:rPr>
          <w:rFonts w:ascii="Arial" w:hAnsi="Arial" w:cs="Arial"/>
          <w:noProof/>
          <w:sz w:val="24"/>
          <w:szCs w:val="24"/>
          <w:lang w:val="en-AU"/>
        </w:rPr>
        <w:drawing>
          <wp:inline distT="0" distB="0" distL="0" distR="0" wp14:anchorId="103E3411" wp14:editId="62F1D84C">
            <wp:extent cx="5942043" cy="2919600"/>
            <wp:effectExtent l="0" t="0" r="1905" b="0"/>
            <wp:docPr id="10" name="Picture 10" descr="Bar chart showing perceptions of the NDIS Environment illustrating the extent to which helping people understand the NDIS is taking respondents away from service provision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r chart showing perceptions of the NDIS Environment illustrating the extent to which helping people understand the NDIS is taking respondents away from service provision over time. Read below for a full data table."/>
                    <pic:cNvPicPr/>
                  </pic:nvPicPr>
                  <pic:blipFill>
                    <a:blip r:embed="rId13"/>
                    <a:stretch>
                      <a:fillRect/>
                    </a:stretch>
                  </pic:blipFill>
                  <pic:spPr>
                    <a:xfrm>
                      <a:off x="0" y="0"/>
                      <a:ext cx="5942043" cy="2919600"/>
                    </a:xfrm>
                    <a:prstGeom prst="rect">
                      <a:avLst/>
                    </a:prstGeom>
                  </pic:spPr>
                </pic:pic>
              </a:graphicData>
            </a:graphic>
          </wp:inline>
        </w:drawing>
      </w:r>
    </w:p>
    <w:tbl>
      <w:tblPr>
        <w:tblStyle w:val="TableGrid"/>
        <w:tblW w:w="0" w:type="auto"/>
        <w:tblLook w:val="04A0" w:firstRow="1" w:lastRow="0" w:firstColumn="1" w:lastColumn="0" w:noHBand="0" w:noVBand="1"/>
        <w:tblCaption w:val="Figure 3: Perception of the NDIS environment – helping people understand and navigate the scheme is taking us away from service provision"/>
      </w:tblPr>
      <w:tblGrid>
        <w:gridCol w:w="2547"/>
        <w:gridCol w:w="1559"/>
        <w:gridCol w:w="1418"/>
        <w:gridCol w:w="1701"/>
        <w:gridCol w:w="1559"/>
      </w:tblGrid>
      <w:tr w:rsidR="00920128" w:rsidRPr="00920128" w14:paraId="07975FE6" w14:textId="77777777" w:rsidTr="002F3BF5">
        <w:tc>
          <w:tcPr>
            <w:tcW w:w="2547" w:type="dxa"/>
          </w:tcPr>
          <w:p w14:paraId="1BF56D90" w14:textId="03203059" w:rsidR="00920128" w:rsidRPr="00920128" w:rsidRDefault="00920128" w:rsidP="002F3BF5">
            <w:pPr>
              <w:spacing w:after="100"/>
              <w:rPr>
                <w:rFonts w:ascii="Arial" w:hAnsi="Arial" w:cs="Arial"/>
                <w:sz w:val="24"/>
                <w:szCs w:val="24"/>
              </w:rPr>
            </w:pPr>
          </w:p>
        </w:tc>
        <w:tc>
          <w:tcPr>
            <w:tcW w:w="1559" w:type="dxa"/>
          </w:tcPr>
          <w:p w14:paraId="3178F7CB"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2019</w:t>
            </w:r>
          </w:p>
        </w:tc>
        <w:tc>
          <w:tcPr>
            <w:tcW w:w="1418" w:type="dxa"/>
          </w:tcPr>
          <w:p w14:paraId="08C6EF5B"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2020</w:t>
            </w:r>
          </w:p>
        </w:tc>
        <w:tc>
          <w:tcPr>
            <w:tcW w:w="1701" w:type="dxa"/>
          </w:tcPr>
          <w:p w14:paraId="52D929E8"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2021</w:t>
            </w:r>
          </w:p>
        </w:tc>
        <w:tc>
          <w:tcPr>
            <w:tcW w:w="1559" w:type="dxa"/>
          </w:tcPr>
          <w:p w14:paraId="70299DCB"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2022</w:t>
            </w:r>
          </w:p>
        </w:tc>
      </w:tr>
      <w:tr w:rsidR="00920128" w:rsidRPr="00920128" w14:paraId="55E77E63" w14:textId="77777777" w:rsidTr="002F3BF5">
        <w:tc>
          <w:tcPr>
            <w:tcW w:w="2547" w:type="dxa"/>
          </w:tcPr>
          <w:p w14:paraId="5546A470"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Don’t know</w:t>
            </w:r>
          </w:p>
        </w:tc>
        <w:tc>
          <w:tcPr>
            <w:tcW w:w="1559" w:type="dxa"/>
          </w:tcPr>
          <w:p w14:paraId="121F4B23"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Less than 10 per cent</w:t>
            </w:r>
          </w:p>
        </w:tc>
        <w:tc>
          <w:tcPr>
            <w:tcW w:w="1418" w:type="dxa"/>
          </w:tcPr>
          <w:p w14:paraId="55922726"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Less than 5 per cent</w:t>
            </w:r>
          </w:p>
        </w:tc>
        <w:tc>
          <w:tcPr>
            <w:tcW w:w="1701" w:type="dxa"/>
          </w:tcPr>
          <w:p w14:paraId="62F4C7CD"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0 per cent</w:t>
            </w:r>
          </w:p>
        </w:tc>
        <w:tc>
          <w:tcPr>
            <w:tcW w:w="1559" w:type="dxa"/>
          </w:tcPr>
          <w:p w14:paraId="63A1EBFF"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0 per cent</w:t>
            </w:r>
          </w:p>
        </w:tc>
      </w:tr>
      <w:tr w:rsidR="00920128" w:rsidRPr="00920128" w14:paraId="57CCB3A8" w14:textId="77777777" w:rsidTr="002F3BF5">
        <w:tc>
          <w:tcPr>
            <w:tcW w:w="2547" w:type="dxa"/>
          </w:tcPr>
          <w:p w14:paraId="2CE87342"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Agree or strongly agree</w:t>
            </w:r>
          </w:p>
        </w:tc>
        <w:tc>
          <w:tcPr>
            <w:tcW w:w="1559" w:type="dxa"/>
          </w:tcPr>
          <w:p w14:paraId="6C9A75E7"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75 per cent</w:t>
            </w:r>
          </w:p>
        </w:tc>
        <w:tc>
          <w:tcPr>
            <w:tcW w:w="1418" w:type="dxa"/>
          </w:tcPr>
          <w:p w14:paraId="7CAA1155"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78 per cent</w:t>
            </w:r>
          </w:p>
        </w:tc>
        <w:tc>
          <w:tcPr>
            <w:tcW w:w="1701" w:type="dxa"/>
          </w:tcPr>
          <w:p w14:paraId="2367D1CE"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74 per cent</w:t>
            </w:r>
          </w:p>
        </w:tc>
        <w:tc>
          <w:tcPr>
            <w:tcW w:w="1559" w:type="dxa"/>
          </w:tcPr>
          <w:p w14:paraId="60E8A347"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75 per cent</w:t>
            </w:r>
          </w:p>
        </w:tc>
      </w:tr>
      <w:tr w:rsidR="00920128" w:rsidRPr="00920128" w14:paraId="41B08A0F" w14:textId="77777777" w:rsidTr="002F3BF5">
        <w:tc>
          <w:tcPr>
            <w:tcW w:w="2547" w:type="dxa"/>
          </w:tcPr>
          <w:p w14:paraId="63151E34"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Neither agree nor disagree</w:t>
            </w:r>
          </w:p>
        </w:tc>
        <w:tc>
          <w:tcPr>
            <w:tcW w:w="1559" w:type="dxa"/>
          </w:tcPr>
          <w:p w14:paraId="3C34997E"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12 per cent</w:t>
            </w:r>
          </w:p>
        </w:tc>
        <w:tc>
          <w:tcPr>
            <w:tcW w:w="1418" w:type="dxa"/>
          </w:tcPr>
          <w:p w14:paraId="48F14021"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9 per cent</w:t>
            </w:r>
          </w:p>
        </w:tc>
        <w:tc>
          <w:tcPr>
            <w:tcW w:w="1701" w:type="dxa"/>
          </w:tcPr>
          <w:p w14:paraId="6A360528"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17 per cent</w:t>
            </w:r>
          </w:p>
        </w:tc>
        <w:tc>
          <w:tcPr>
            <w:tcW w:w="1559" w:type="dxa"/>
          </w:tcPr>
          <w:p w14:paraId="3570C133"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16 per cent</w:t>
            </w:r>
          </w:p>
        </w:tc>
      </w:tr>
      <w:tr w:rsidR="00920128" w:rsidRPr="00920128" w14:paraId="246B30BF" w14:textId="77777777" w:rsidTr="002F3BF5">
        <w:tc>
          <w:tcPr>
            <w:tcW w:w="2547" w:type="dxa"/>
          </w:tcPr>
          <w:p w14:paraId="2CAD34B2" w14:textId="77777777" w:rsidR="00920128" w:rsidRPr="00920128" w:rsidRDefault="00920128" w:rsidP="002F3BF5">
            <w:pPr>
              <w:spacing w:after="100"/>
              <w:rPr>
                <w:rFonts w:ascii="Arial" w:hAnsi="Arial" w:cs="Arial"/>
                <w:b/>
                <w:bCs/>
                <w:sz w:val="24"/>
                <w:szCs w:val="24"/>
              </w:rPr>
            </w:pPr>
            <w:r w:rsidRPr="00920128">
              <w:rPr>
                <w:rFonts w:ascii="Arial" w:hAnsi="Arial" w:cs="Arial"/>
                <w:b/>
                <w:bCs/>
                <w:sz w:val="24"/>
                <w:szCs w:val="24"/>
              </w:rPr>
              <w:t>Disagree or strongly disagree</w:t>
            </w:r>
          </w:p>
        </w:tc>
        <w:tc>
          <w:tcPr>
            <w:tcW w:w="1559" w:type="dxa"/>
          </w:tcPr>
          <w:p w14:paraId="0BCB62F0"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11 per cent</w:t>
            </w:r>
          </w:p>
        </w:tc>
        <w:tc>
          <w:tcPr>
            <w:tcW w:w="1418" w:type="dxa"/>
          </w:tcPr>
          <w:p w14:paraId="149F559A"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11 per cent</w:t>
            </w:r>
          </w:p>
        </w:tc>
        <w:tc>
          <w:tcPr>
            <w:tcW w:w="1701" w:type="dxa"/>
          </w:tcPr>
          <w:p w14:paraId="3FA3A234"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9 per cent</w:t>
            </w:r>
          </w:p>
        </w:tc>
        <w:tc>
          <w:tcPr>
            <w:tcW w:w="1559" w:type="dxa"/>
          </w:tcPr>
          <w:p w14:paraId="039273A5" w14:textId="77777777" w:rsidR="00920128" w:rsidRPr="00920128" w:rsidRDefault="00920128" w:rsidP="002F3BF5">
            <w:pPr>
              <w:spacing w:after="100"/>
              <w:rPr>
                <w:rFonts w:ascii="Arial" w:hAnsi="Arial" w:cs="Arial"/>
                <w:sz w:val="24"/>
                <w:szCs w:val="24"/>
              </w:rPr>
            </w:pPr>
            <w:r w:rsidRPr="00920128">
              <w:rPr>
                <w:rFonts w:ascii="Arial" w:hAnsi="Arial" w:cs="Arial"/>
                <w:sz w:val="24"/>
                <w:szCs w:val="24"/>
              </w:rPr>
              <w:t>9 per cent</w:t>
            </w:r>
          </w:p>
        </w:tc>
      </w:tr>
    </w:tbl>
    <w:p w14:paraId="55AE9BDC" w14:textId="123E6DBD" w:rsidR="0085726A" w:rsidRPr="00CA7D07" w:rsidRDefault="0085726A" w:rsidP="0099163C">
      <w:pPr>
        <w:spacing w:before="240" w:after="240" w:line="360" w:lineRule="auto"/>
        <w:rPr>
          <w:rFonts w:ascii="Arial" w:hAnsi="Arial" w:cs="Arial"/>
          <w:sz w:val="24"/>
          <w:szCs w:val="24"/>
          <w:lang w:val="en-AU"/>
        </w:rPr>
      </w:pPr>
      <w:r>
        <w:rPr>
          <w:rFonts w:ascii="Arial" w:hAnsi="Arial" w:cs="Arial"/>
          <w:sz w:val="24"/>
          <w:szCs w:val="24"/>
          <w:lang w:val="en-AU"/>
        </w:rPr>
        <w:t xml:space="preserve">As indicated providers are willing to assist people to understand and engage with the NDIS however this comes at a cost which is unfunded and places addition pressure on providers already struggling to meet demand and deeply concerned about the ongoing viability. </w:t>
      </w:r>
    </w:p>
    <w:p w14:paraId="412DD73E" w14:textId="20A4EE89" w:rsidR="0085726A" w:rsidRPr="00CA7D07" w:rsidRDefault="0085726A" w:rsidP="0099163C">
      <w:pPr>
        <w:spacing w:before="240" w:after="240" w:line="360" w:lineRule="auto"/>
        <w:rPr>
          <w:rStyle w:val="normaltextrun"/>
          <w:rFonts w:ascii="Arial" w:hAnsi="Arial" w:cs="Arial"/>
          <w:sz w:val="24"/>
          <w:szCs w:val="24"/>
          <w:lang w:val="en-AU"/>
        </w:rPr>
      </w:pPr>
      <w:r w:rsidRPr="00CA7D07">
        <w:rPr>
          <w:rFonts w:ascii="Arial" w:hAnsi="Arial" w:cs="Arial"/>
          <w:sz w:val="24"/>
          <w:szCs w:val="24"/>
          <w:lang w:val="en-AU"/>
        </w:rPr>
        <w:t xml:space="preserve">More generally the report indicates that there is a sense of real and growing optimism about the new federal government’s NDIS reforms. </w:t>
      </w:r>
      <w:r w:rsidRPr="00CA7D07">
        <w:rPr>
          <w:rStyle w:val="normaltextrun"/>
          <w:rFonts w:ascii="Arial" w:hAnsi="Arial" w:cs="Arial"/>
          <w:sz w:val="24"/>
          <w:szCs w:val="24"/>
          <w:lang w:val="en-AU"/>
        </w:rPr>
        <w:t>High levels of pessimism in 2021 have turned into greater optimism that NDIS policy reforms are heading in the right direction in 2022. Up from 25 per cent last year (the lowest level ever recorded), 43 per cent of respondents agreed or strongly agreed that NDIS policy reforms were heading in the right direction. However, seen over a longer period, the 2022 results are returning to pre-pandemic levels, which have not been higher than 55 per cent between 2016 and 2021.</w:t>
      </w:r>
      <w:r>
        <w:rPr>
          <w:rStyle w:val="normaltextrun"/>
          <w:rFonts w:ascii="Arial" w:hAnsi="Arial" w:cs="Arial"/>
          <w:sz w:val="24"/>
          <w:szCs w:val="24"/>
          <w:lang w:val="en-AU"/>
        </w:rPr>
        <w:t xml:space="preserve"> </w:t>
      </w:r>
    </w:p>
    <w:p w14:paraId="1F1E9F31" w14:textId="77777777" w:rsidR="0085726A" w:rsidRPr="00B50241" w:rsidRDefault="0085726A" w:rsidP="0099163C">
      <w:pPr>
        <w:spacing w:before="240" w:after="240" w:line="360" w:lineRule="auto"/>
        <w:jc w:val="right"/>
        <w:rPr>
          <w:rFonts w:ascii="Arial" w:hAnsi="Arial" w:cs="Arial"/>
          <w:i/>
          <w:iCs/>
          <w:sz w:val="24"/>
          <w:szCs w:val="24"/>
          <w:lang w:val="en-AU"/>
        </w:rPr>
      </w:pPr>
      <w:r w:rsidRPr="00B50241">
        <w:rPr>
          <w:rFonts w:ascii="Arial" w:hAnsi="Arial" w:cs="Arial"/>
          <w:i/>
          <w:iCs/>
          <w:sz w:val="24"/>
          <w:szCs w:val="24"/>
          <w:lang w:val="en-AU"/>
        </w:rPr>
        <w:t>‘We are looking forward to a change in direction from Minister Shorten – however, it is still early days.’</w:t>
      </w:r>
    </w:p>
    <w:p w14:paraId="7593CA27" w14:textId="662E58B4" w:rsidR="0085726A" w:rsidRPr="00B50241" w:rsidRDefault="0085726A" w:rsidP="00920128">
      <w:pPr>
        <w:spacing w:before="240" w:after="240" w:line="360" w:lineRule="auto"/>
        <w:jc w:val="right"/>
        <w:rPr>
          <w:rStyle w:val="normaltextrun"/>
          <w:rFonts w:ascii="Arial" w:hAnsi="Arial" w:cs="Arial"/>
          <w:i/>
          <w:iCs/>
          <w:sz w:val="24"/>
          <w:szCs w:val="24"/>
          <w:lang w:val="en-AU"/>
        </w:rPr>
      </w:pPr>
      <w:r w:rsidRPr="00B50241">
        <w:rPr>
          <w:rFonts w:ascii="Arial" w:hAnsi="Arial" w:cs="Arial"/>
          <w:i/>
          <w:iCs/>
          <w:sz w:val="24"/>
          <w:szCs w:val="24"/>
          <w:lang w:val="en-AU"/>
        </w:rPr>
        <w:t xml:space="preserve">Tas large not-for-profit, </w:t>
      </w:r>
      <w:r w:rsidRPr="00B50241">
        <w:rPr>
          <w:rStyle w:val="normaltextrun"/>
          <w:rFonts w:ascii="Arial" w:hAnsi="Arial" w:cs="Arial"/>
          <w:i/>
          <w:iCs/>
          <w:sz w:val="24"/>
          <w:szCs w:val="24"/>
          <w:lang w:val="en-AU"/>
        </w:rPr>
        <w:t>2022 NDS State of the Disability Sector Report</w:t>
      </w:r>
      <w:r w:rsidR="00B50241">
        <w:rPr>
          <w:rStyle w:val="normaltextrun"/>
          <w:rFonts w:ascii="Arial" w:hAnsi="Arial" w:cs="Arial"/>
          <w:i/>
          <w:iCs/>
          <w:sz w:val="24"/>
          <w:szCs w:val="24"/>
          <w:lang w:val="en-AU"/>
        </w:rPr>
        <w:t xml:space="preserve"> </w:t>
      </w:r>
      <w:r w:rsidRPr="00B50241">
        <w:rPr>
          <w:rStyle w:val="EndnoteReference"/>
          <w:rFonts w:ascii="Arial" w:hAnsi="Arial" w:cs="Arial"/>
          <w:i/>
          <w:iCs/>
          <w:sz w:val="24"/>
          <w:szCs w:val="24"/>
          <w:vertAlign w:val="baseline"/>
          <w:lang w:val="en-AU"/>
        </w:rPr>
        <w:endnoteReference w:id="4"/>
      </w:r>
    </w:p>
    <w:p w14:paraId="432DEB0F" w14:textId="7E7F52AE" w:rsidR="0085726A" w:rsidRPr="00B50241" w:rsidRDefault="0085726A" w:rsidP="0099163C">
      <w:pPr>
        <w:spacing w:before="240" w:after="240" w:line="360" w:lineRule="auto"/>
        <w:jc w:val="right"/>
        <w:rPr>
          <w:rStyle w:val="normaltextrun"/>
          <w:rFonts w:ascii="Arial" w:hAnsi="Arial" w:cs="Arial"/>
          <w:i/>
          <w:iCs/>
          <w:sz w:val="24"/>
          <w:szCs w:val="24"/>
          <w:lang w:val="en-AU"/>
        </w:rPr>
      </w:pPr>
      <w:r w:rsidRPr="00B50241">
        <w:rPr>
          <w:rStyle w:val="normaltextrun"/>
          <w:rFonts w:ascii="Arial" w:hAnsi="Arial" w:cs="Arial"/>
          <w:i/>
          <w:iCs/>
          <w:sz w:val="24"/>
          <w:szCs w:val="24"/>
          <w:lang w:val="en-AU"/>
        </w:rPr>
        <w:t>‘I am hopeful things will improve under the new government – early indications are positive, but I fear operationalising good intent will take time.’</w:t>
      </w:r>
    </w:p>
    <w:p w14:paraId="2A54A3D9" w14:textId="1B0DCE01" w:rsidR="0085726A" w:rsidRPr="00B50241" w:rsidRDefault="0085726A" w:rsidP="00B50241">
      <w:pPr>
        <w:spacing w:before="240" w:after="720" w:line="360" w:lineRule="auto"/>
        <w:jc w:val="right"/>
        <w:rPr>
          <w:rStyle w:val="normaltextrun"/>
          <w:rFonts w:ascii="Arial" w:hAnsi="Arial" w:cs="Arial"/>
          <w:i/>
          <w:iCs/>
          <w:sz w:val="24"/>
          <w:szCs w:val="24"/>
          <w:lang w:val="en-AU"/>
        </w:rPr>
      </w:pPr>
      <w:r w:rsidRPr="00B50241">
        <w:rPr>
          <w:rStyle w:val="normaltextrun"/>
          <w:rFonts w:ascii="Arial" w:hAnsi="Arial" w:cs="Arial"/>
          <w:i/>
          <w:iCs/>
          <w:sz w:val="24"/>
          <w:szCs w:val="24"/>
          <w:lang w:val="en-AU"/>
        </w:rPr>
        <w:t>Vic large not-for-profit, 2022 NDS State of the Disability Sector Report</w:t>
      </w:r>
      <w:r w:rsidR="00B50241">
        <w:rPr>
          <w:rStyle w:val="normaltextrun"/>
          <w:rFonts w:ascii="Arial" w:hAnsi="Arial" w:cs="Arial"/>
          <w:i/>
          <w:iCs/>
          <w:sz w:val="24"/>
          <w:szCs w:val="24"/>
          <w:lang w:val="en-AU"/>
        </w:rPr>
        <w:t xml:space="preserve"> </w:t>
      </w:r>
      <w:r w:rsidRPr="00B50241">
        <w:rPr>
          <w:rStyle w:val="EndnoteReference"/>
          <w:rFonts w:ascii="Arial" w:hAnsi="Arial" w:cs="Arial"/>
          <w:i/>
          <w:iCs/>
          <w:sz w:val="24"/>
          <w:szCs w:val="24"/>
          <w:vertAlign w:val="baseline"/>
          <w:lang w:val="en-AU"/>
        </w:rPr>
        <w:endnoteReference w:id="5"/>
      </w:r>
    </w:p>
    <w:p w14:paraId="0C1E74B5" w14:textId="77777777" w:rsidR="0085726A" w:rsidRPr="00CA7D07" w:rsidRDefault="0085726A" w:rsidP="00E4060E">
      <w:pPr>
        <w:spacing w:before="100" w:beforeAutospacing="1" w:line="276" w:lineRule="auto"/>
        <w:rPr>
          <w:rStyle w:val="normaltextrun"/>
          <w:rFonts w:ascii="Arial" w:hAnsi="Arial" w:cs="Arial"/>
          <w:sz w:val="24"/>
          <w:szCs w:val="24"/>
          <w:lang w:val="en-AU"/>
        </w:rPr>
      </w:pPr>
      <w:r w:rsidRPr="00CA7D07">
        <w:rPr>
          <w:rStyle w:val="normaltextrun"/>
          <w:rFonts w:ascii="Arial" w:hAnsi="Arial" w:cs="Arial"/>
          <w:sz w:val="24"/>
          <w:szCs w:val="24"/>
          <w:lang w:val="en-AU"/>
        </w:rPr>
        <w:lastRenderedPageBreak/>
        <w:t xml:space="preserve">Figure 4: Perception of the NDIS environment – NDIS policy reforms are heading in the right </w:t>
      </w:r>
      <w:proofErr w:type="gramStart"/>
      <w:r w:rsidRPr="00CA7D07">
        <w:rPr>
          <w:rStyle w:val="normaltextrun"/>
          <w:rFonts w:ascii="Arial" w:hAnsi="Arial" w:cs="Arial"/>
          <w:sz w:val="24"/>
          <w:szCs w:val="24"/>
          <w:lang w:val="en-AU"/>
        </w:rPr>
        <w:t>direction</w:t>
      </w:r>
      <w:proofErr w:type="gramEnd"/>
    </w:p>
    <w:p w14:paraId="1DB5044D" w14:textId="5504316F" w:rsidR="00D70524" w:rsidRDefault="0085726A" w:rsidP="00E4060E">
      <w:pPr>
        <w:spacing w:before="100" w:beforeAutospacing="1" w:after="100" w:afterAutospacing="1" w:line="276" w:lineRule="auto"/>
        <w:rPr>
          <w:rFonts w:ascii="Arial" w:hAnsi="Arial" w:cs="Arial"/>
          <w:sz w:val="24"/>
          <w:szCs w:val="24"/>
          <w:lang w:val="en-AU"/>
        </w:rPr>
      </w:pPr>
      <w:r w:rsidRPr="00CA7D07">
        <w:rPr>
          <w:rFonts w:ascii="Arial" w:hAnsi="Arial" w:cs="Arial"/>
          <w:noProof/>
          <w:sz w:val="24"/>
          <w:szCs w:val="24"/>
          <w:lang w:val="en-AU"/>
        </w:rPr>
        <w:drawing>
          <wp:inline distT="0" distB="0" distL="0" distR="0" wp14:anchorId="2E83757A" wp14:editId="0ABCBE12">
            <wp:extent cx="5943600" cy="2749550"/>
            <wp:effectExtent l="0" t="0" r="0" b="0"/>
            <wp:docPr id="11" name="Picture 11" descr="Bar chart showing perceptions of the NDIS Environment related to whether NDIS reforms are heading in the right direction over time. Read below for a full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r chart showing perceptions of the NDIS Environment related to whether NDIS reforms are heading in the right direction over time. Read below for a full data table."/>
                    <pic:cNvPicPr/>
                  </pic:nvPicPr>
                  <pic:blipFill>
                    <a:blip r:embed="rId14"/>
                    <a:stretch>
                      <a:fillRect/>
                    </a:stretch>
                  </pic:blipFill>
                  <pic:spPr>
                    <a:xfrm>
                      <a:off x="0" y="0"/>
                      <a:ext cx="5943600" cy="2749550"/>
                    </a:xfrm>
                    <a:prstGeom prst="rect">
                      <a:avLst/>
                    </a:prstGeom>
                  </pic:spPr>
                </pic:pic>
              </a:graphicData>
            </a:graphic>
          </wp:inline>
        </w:drawing>
      </w:r>
    </w:p>
    <w:tbl>
      <w:tblPr>
        <w:tblStyle w:val="TableGrid"/>
        <w:tblW w:w="0" w:type="auto"/>
        <w:tblLook w:val="04A0" w:firstRow="1" w:lastRow="0" w:firstColumn="1" w:lastColumn="0" w:noHBand="0" w:noVBand="1"/>
        <w:tblCaption w:val="Figure 4: Perception of the NDIS environment – NDIS policy reforms are heading in the right direction"/>
      </w:tblPr>
      <w:tblGrid>
        <w:gridCol w:w="1231"/>
        <w:gridCol w:w="1159"/>
        <w:gridCol w:w="1160"/>
        <w:gridCol w:w="1160"/>
        <w:gridCol w:w="1160"/>
        <w:gridCol w:w="1160"/>
        <w:gridCol w:w="1160"/>
        <w:gridCol w:w="1160"/>
      </w:tblGrid>
      <w:tr w:rsidR="000806ED" w:rsidRPr="000806ED" w14:paraId="19B1322D" w14:textId="77777777" w:rsidTr="00D93582">
        <w:tc>
          <w:tcPr>
            <w:tcW w:w="1168" w:type="dxa"/>
          </w:tcPr>
          <w:p w14:paraId="19056977" w14:textId="56CB1AE6" w:rsidR="000806ED" w:rsidRPr="000806ED" w:rsidRDefault="000806ED" w:rsidP="00D93582">
            <w:pPr>
              <w:spacing w:after="100"/>
              <w:rPr>
                <w:rFonts w:ascii="Arial" w:hAnsi="Arial" w:cs="Arial"/>
                <w:sz w:val="24"/>
                <w:szCs w:val="24"/>
              </w:rPr>
            </w:pPr>
          </w:p>
        </w:tc>
        <w:tc>
          <w:tcPr>
            <w:tcW w:w="1168" w:type="dxa"/>
          </w:tcPr>
          <w:p w14:paraId="7FABACF4"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2016</w:t>
            </w:r>
          </w:p>
        </w:tc>
        <w:tc>
          <w:tcPr>
            <w:tcW w:w="1169" w:type="dxa"/>
          </w:tcPr>
          <w:p w14:paraId="78170BB7"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2017</w:t>
            </w:r>
          </w:p>
        </w:tc>
        <w:tc>
          <w:tcPr>
            <w:tcW w:w="1169" w:type="dxa"/>
          </w:tcPr>
          <w:p w14:paraId="27296E15"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2018</w:t>
            </w:r>
          </w:p>
        </w:tc>
        <w:tc>
          <w:tcPr>
            <w:tcW w:w="1169" w:type="dxa"/>
          </w:tcPr>
          <w:p w14:paraId="7B70E62E"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2019</w:t>
            </w:r>
          </w:p>
        </w:tc>
        <w:tc>
          <w:tcPr>
            <w:tcW w:w="1169" w:type="dxa"/>
          </w:tcPr>
          <w:p w14:paraId="353B68A6"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2020</w:t>
            </w:r>
          </w:p>
        </w:tc>
        <w:tc>
          <w:tcPr>
            <w:tcW w:w="1169" w:type="dxa"/>
          </w:tcPr>
          <w:p w14:paraId="432A7E8C"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2021</w:t>
            </w:r>
          </w:p>
        </w:tc>
        <w:tc>
          <w:tcPr>
            <w:tcW w:w="1169" w:type="dxa"/>
          </w:tcPr>
          <w:p w14:paraId="50459D52"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2022</w:t>
            </w:r>
          </w:p>
        </w:tc>
      </w:tr>
      <w:tr w:rsidR="000806ED" w:rsidRPr="000806ED" w14:paraId="0654D28C" w14:textId="77777777" w:rsidTr="00D93582">
        <w:tc>
          <w:tcPr>
            <w:tcW w:w="1168" w:type="dxa"/>
          </w:tcPr>
          <w:p w14:paraId="3DDEA497"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Don’t know</w:t>
            </w:r>
          </w:p>
        </w:tc>
        <w:tc>
          <w:tcPr>
            <w:tcW w:w="1168" w:type="dxa"/>
          </w:tcPr>
          <w:p w14:paraId="215D1032"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6 per cent</w:t>
            </w:r>
          </w:p>
        </w:tc>
        <w:tc>
          <w:tcPr>
            <w:tcW w:w="1169" w:type="dxa"/>
          </w:tcPr>
          <w:p w14:paraId="0A4311C1"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8 per cent</w:t>
            </w:r>
          </w:p>
        </w:tc>
        <w:tc>
          <w:tcPr>
            <w:tcW w:w="1169" w:type="dxa"/>
          </w:tcPr>
          <w:p w14:paraId="4A0CC672"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Less than 5 per cent</w:t>
            </w:r>
          </w:p>
        </w:tc>
        <w:tc>
          <w:tcPr>
            <w:tcW w:w="1169" w:type="dxa"/>
          </w:tcPr>
          <w:p w14:paraId="6725D921"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Less than 5 per cent</w:t>
            </w:r>
          </w:p>
        </w:tc>
        <w:tc>
          <w:tcPr>
            <w:tcW w:w="1169" w:type="dxa"/>
          </w:tcPr>
          <w:p w14:paraId="3207BF66"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0 per cent</w:t>
            </w:r>
          </w:p>
        </w:tc>
        <w:tc>
          <w:tcPr>
            <w:tcW w:w="1169" w:type="dxa"/>
          </w:tcPr>
          <w:p w14:paraId="6E4681EC"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0 per cent</w:t>
            </w:r>
          </w:p>
        </w:tc>
        <w:tc>
          <w:tcPr>
            <w:tcW w:w="1169" w:type="dxa"/>
          </w:tcPr>
          <w:p w14:paraId="21F31AB8"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0 per cent</w:t>
            </w:r>
          </w:p>
        </w:tc>
      </w:tr>
      <w:tr w:rsidR="000806ED" w:rsidRPr="000806ED" w14:paraId="6957D5C8" w14:textId="77777777" w:rsidTr="00D93582">
        <w:tc>
          <w:tcPr>
            <w:tcW w:w="1168" w:type="dxa"/>
          </w:tcPr>
          <w:p w14:paraId="7F1E0631"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Agree or strongly agree</w:t>
            </w:r>
          </w:p>
        </w:tc>
        <w:tc>
          <w:tcPr>
            <w:tcW w:w="1168" w:type="dxa"/>
          </w:tcPr>
          <w:p w14:paraId="3DE094FD"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46 per cent</w:t>
            </w:r>
          </w:p>
        </w:tc>
        <w:tc>
          <w:tcPr>
            <w:tcW w:w="1169" w:type="dxa"/>
          </w:tcPr>
          <w:p w14:paraId="6BC08C3E"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36 per cent</w:t>
            </w:r>
          </w:p>
        </w:tc>
        <w:tc>
          <w:tcPr>
            <w:tcW w:w="1169" w:type="dxa"/>
          </w:tcPr>
          <w:p w14:paraId="54D11AA9"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47 per cent</w:t>
            </w:r>
          </w:p>
        </w:tc>
        <w:tc>
          <w:tcPr>
            <w:tcW w:w="1169" w:type="dxa"/>
          </w:tcPr>
          <w:p w14:paraId="74F8B436"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55 per cent</w:t>
            </w:r>
          </w:p>
        </w:tc>
        <w:tc>
          <w:tcPr>
            <w:tcW w:w="1169" w:type="dxa"/>
          </w:tcPr>
          <w:p w14:paraId="04266E43"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51 per cent</w:t>
            </w:r>
          </w:p>
        </w:tc>
        <w:tc>
          <w:tcPr>
            <w:tcW w:w="1169" w:type="dxa"/>
          </w:tcPr>
          <w:p w14:paraId="5160B085"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25 per cent</w:t>
            </w:r>
          </w:p>
        </w:tc>
        <w:tc>
          <w:tcPr>
            <w:tcW w:w="1169" w:type="dxa"/>
          </w:tcPr>
          <w:p w14:paraId="0560B04B"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43 per cent</w:t>
            </w:r>
          </w:p>
        </w:tc>
      </w:tr>
      <w:tr w:rsidR="000806ED" w:rsidRPr="000806ED" w14:paraId="709CB49A" w14:textId="77777777" w:rsidTr="00D93582">
        <w:tc>
          <w:tcPr>
            <w:tcW w:w="1168" w:type="dxa"/>
          </w:tcPr>
          <w:p w14:paraId="69B13DC2"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Neither agree nor disagree</w:t>
            </w:r>
          </w:p>
        </w:tc>
        <w:tc>
          <w:tcPr>
            <w:tcW w:w="1168" w:type="dxa"/>
          </w:tcPr>
          <w:p w14:paraId="4F9B2F17"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30 per cent</w:t>
            </w:r>
          </w:p>
        </w:tc>
        <w:tc>
          <w:tcPr>
            <w:tcW w:w="1169" w:type="dxa"/>
          </w:tcPr>
          <w:p w14:paraId="0F6A699D"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29 per cent</w:t>
            </w:r>
          </w:p>
        </w:tc>
        <w:tc>
          <w:tcPr>
            <w:tcW w:w="1169" w:type="dxa"/>
          </w:tcPr>
          <w:p w14:paraId="006260DD"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25 per cent</w:t>
            </w:r>
          </w:p>
        </w:tc>
        <w:tc>
          <w:tcPr>
            <w:tcW w:w="1169" w:type="dxa"/>
          </w:tcPr>
          <w:p w14:paraId="592AB3EF"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23 per cent</w:t>
            </w:r>
          </w:p>
        </w:tc>
        <w:tc>
          <w:tcPr>
            <w:tcW w:w="1169" w:type="dxa"/>
          </w:tcPr>
          <w:p w14:paraId="5645B3C3"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23 per cent</w:t>
            </w:r>
          </w:p>
        </w:tc>
        <w:tc>
          <w:tcPr>
            <w:tcW w:w="1169" w:type="dxa"/>
          </w:tcPr>
          <w:p w14:paraId="4B0E2332"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27 per cent</w:t>
            </w:r>
          </w:p>
        </w:tc>
        <w:tc>
          <w:tcPr>
            <w:tcW w:w="1169" w:type="dxa"/>
          </w:tcPr>
          <w:p w14:paraId="78690975"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38 per cent</w:t>
            </w:r>
          </w:p>
        </w:tc>
      </w:tr>
      <w:tr w:rsidR="000806ED" w:rsidRPr="000806ED" w14:paraId="0EC857B8" w14:textId="77777777" w:rsidTr="00D93582">
        <w:tc>
          <w:tcPr>
            <w:tcW w:w="1168" w:type="dxa"/>
          </w:tcPr>
          <w:p w14:paraId="46C975C0" w14:textId="77777777" w:rsidR="000806ED" w:rsidRPr="000806ED" w:rsidRDefault="000806ED" w:rsidP="00D93582">
            <w:pPr>
              <w:spacing w:after="100"/>
              <w:rPr>
                <w:rFonts w:ascii="Arial" w:hAnsi="Arial" w:cs="Arial"/>
                <w:b/>
                <w:bCs/>
                <w:sz w:val="24"/>
                <w:szCs w:val="24"/>
              </w:rPr>
            </w:pPr>
            <w:r w:rsidRPr="000806ED">
              <w:rPr>
                <w:rFonts w:ascii="Arial" w:hAnsi="Arial" w:cs="Arial"/>
                <w:b/>
                <w:bCs/>
                <w:sz w:val="24"/>
                <w:szCs w:val="24"/>
              </w:rPr>
              <w:t>Disagree or strongly disagree</w:t>
            </w:r>
          </w:p>
        </w:tc>
        <w:tc>
          <w:tcPr>
            <w:tcW w:w="1168" w:type="dxa"/>
          </w:tcPr>
          <w:p w14:paraId="39B71FB1"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19 per cent</w:t>
            </w:r>
          </w:p>
        </w:tc>
        <w:tc>
          <w:tcPr>
            <w:tcW w:w="1169" w:type="dxa"/>
          </w:tcPr>
          <w:p w14:paraId="41479414"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27 per cent</w:t>
            </w:r>
          </w:p>
        </w:tc>
        <w:tc>
          <w:tcPr>
            <w:tcW w:w="1169" w:type="dxa"/>
          </w:tcPr>
          <w:p w14:paraId="7208A7BE"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27 per cent</w:t>
            </w:r>
          </w:p>
        </w:tc>
        <w:tc>
          <w:tcPr>
            <w:tcW w:w="1169" w:type="dxa"/>
          </w:tcPr>
          <w:p w14:paraId="5118141E"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21 per cent</w:t>
            </w:r>
          </w:p>
        </w:tc>
        <w:tc>
          <w:tcPr>
            <w:tcW w:w="1169" w:type="dxa"/>
          </w:tcPr>
          <w:p w14:paraId="23C8928D"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26 per cent</w:t>
            </w:r>
          </w:p>
        </w:tc>
        <w:tc>
          <w:tcPr>
            <w:tcW w:w="1169" w:type="dxa"/>
          </w:tcPr>
          <w:p w14:paraId="60AAE1EB"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47 per cent</w:t>
            </w:r>
          </w:p>
        </w:tc>
        <w:tc>
          <w:tcPr>
            <w:tcW w:w="1169" w:type="dxa"/>
          </w:tcPr>
          <w:p w14:paraId="16A9E524" w14:textId="77777777" w:rsidR="000806ED" w:rsidRPr="000806ED" w:rsidRDefault="000806ED" w:rsidP="00D93582">
            <w:pPr>
              <w:spacing w:after="100"/>
              <w:rPr>
                <w:rFonts w:ascii="Arial" w:hAnsi="Arial" w:cs="Arial"/>
                <w:sz w:val="24"/>
                <w:szCs w:val="24"/>
              </w:rPr>
            </w:pPr>
            <w:r w:rsidRPr="000806ED">
              <w:rPr>
                <w:rFonts w:ascii="Arial" w:hAnsi="Arial" w:cs="Arial"/>
                <w:sz w:val="24"/>
                <w:szCs w:val="24"/>
              </w:rPr>
              <w:t>20 per cent</w:t>
            </w:r>
          </w:p>
        </w:tc>
      </w:tr>
    </w:tbl>
    <w:p w14:paraId="7B1D2214" w14:textId="03BA99BA" w:rsidR="0085726A" w:rsidRDefault="0085726A" w:rsidP="00AE5296">
      <w:pPr>
        <w:spacing w:before="100" w:beforeAutospacing="1" w:after="100" w:afterAutospacing="1" w:line="360" w:lineRule="auto"/>
        <w:rPr>
          <w:rFonts w:ascii="Arial" w:hAnsi="Arial" w:cs="Arial"/>
          <w:sz w:val="24"/>
          <w:szCs w:val="24"/>
          <w:lang w:val="en-AU"/>
        </w:rPr>
      </w:pPr>
      <w:r w:rsidRPr="00CA7D07">
        <w:rPr>
          <w:rFonts w:ascii="Arial" w:hAnsi="Arial" w:cs="Arial"/>
          <w:sz w:val="24"/>
          <w:szCs w:val="24"/>
          <w:lang w:val="en-AU"/>
        </w:rPr>
        <w:t>Finally, this year the report identified that while the disability sector wants and needs more reform, it is also suffering from change fatigue. Far too many leaders have spent far too much time dealing with never-ending NDIS changes. And far too many disability workers feel exhausted by the challenge of constantly learning new systems and the complex administrative sagas that each tend to involve.</w:t>
      </w:r>
    </w:p>
    <w:p w14:paraId="7BB9F900" w14:textId="4B4E1E0C" w:rsidR="0085726A" w:rsidRPr="00CA7D07" w:rsidRDefault="0085726A" w:rsidP="00AE5296">
      <w:pPr>
        <w:spacing w:before="100" w:beforeAutospacing="1" w:after="100" w:afterAutospacing="1" w:line="360" w:lineRule="auto"/>
        <w:rPr>
          <w:rFonts w:ascii="Arial" w:hAnsi="Arial" w:cs="Arial"/>
          <w:sz w:val="24"/>
          <w:szCs w:val="24"/>
          <w:lang w:val="en-AU"/>
        </w:rPr>
      </w:pPr>
      <w:r>
        <w:rPr>
          <w:rFonts w:ascii="Arial" w:hAnsi="Arial" w:cs="Arial"/>
          <w:sz w:val="24"/>
          <w:szCs w:val="24"/>
          <w:lang w:val="en-AU"/>
        </w:rPr>
        <w:lastRenderedPageBreak/>
        <w:t xml:space="preserve">In the context of the current NDIS Review these results present both challenges but also opportunities. The survey points to clear areas where improvements can be made, in processes, communication and establishing a more positive relationship with the NDIA. Providers are facing the future with a sense of optimism about changes to come however at the same time are ‘change fatigued.’ Implementation of outcomes from the NDIS Review will need to be both incremental and considered. </w:t>
      </w:r>
    </w:p>
    <w:p w14:paraId="1C0005A9" w14:textId="1AB33435" w:rsidR="0085726A" w:rsidRPr="00CA7D07" w:rsidRDefault="0085726A" w:rsidP="00E4060E">
      <w:pPr>
        <w:pStyle w:val="Heading1"/>
        <w:spacing w:before="100" w:line="276" w:lineRule="auto"/>
        <w:rPr>
          <w:rFonts w:cs="Arial"/>
        </w:rPr>
      </w:pPr>
      <w:bookmarkStart w:id="6" w:name="_Toc127277080"/>
      <w:r w:rsidRPr="00CA7D07">
        <w:rPr>
          <w:rFonts w:cs="Arial"/>
        </w:rPr>
        <w:t>The Pulse Survey</w:t>
      </w:r>
      <w:bookmarkEnd w:id="6"/>
      <w:r w:rsidRPr="00CA7D07">
        <w:rPr>
          <w:rFonts w:cs="Arial"/>
        </w:rPr>
        <w:t xml:space="preserve"> </w:t>
      </w:r>
    </w:p>
    <w:p w14:paraId="037C8B3B" w14:textId="0FC9F211" w:rsidR="0085726A" w:rsidRPr="009C209E" w:rsidRDefault="0085726A" w:rsidP="00AE5296">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To </w:t>
      </w:r>
      <w:r>
        <w:rPr>
          <w:rFonts w:ascii="Arial" w:hAnsi="Arial" w:cs="Arial"/>
          <w:sz w:val="24"/>
          <w:szCs w:val="24"/>
          <w:lang w:val="en-AU"/>
        </w:rPr>
        <w:t>inform NDS’s preliminary work on the NDIS Review</w:t>
      </w:r>
      <w:r w:rsidRPr="00CA7D07" w:rsidDel="00E35C3C">
        <w:rPr>
          <w:rFonts w:ascii="Arial" w:hAnsi="Arial" w:cs="Arial"/>
          <w:sz w:val="24"/>
          <w:szCs w:val="24"/>
          <w:lang w:val="en-AU"/>
        </w:rPr>
        <w:t>,</w:t>
      </w:r>
      <w:r w:rsidRPr="00CA7D07" w:rsidDel="00656184">
        <w:rPr>
          <w:rFonts w:ascii="Arial" w:hAnsi="Arial" w:cs="Arial"/>
          <w:sz w:val="24"/>
          <w:szCs w:val="24"/>
          <w:lang w:val="en-AU"/>
        </w:rPr>
        <w:t xml:space="preserve"> </w:t>
      </w:r>
      <w:r w:rsidRPr="00CA7D07">
        <w:rPr>
          <w:rFonts w:ascii="Arial" w:hAnsi="Arial" w:cs="Arial"/>
          <w:sz w:val="24"/>
          <w:szCs w:val="24"/>
          <w:lang w:val="en-AU"/>
        </w:rPr>
        <w:t xml:space="preserve">NDS released a Pulse Survey </w:t>
      </w:r>
      <w:r>
        <w:rPr>
          <w:rFonts w:ascii="Arial" w:hAnsi="Arial" w:cs="Arial"/>
          <w:sz w:val="24"/>
          <w:szCs w:val="24"/>
          <w:lang w:val="en-AU"/>
        </w:rPr>
        <w:t xml:space="preserve">to gather the early views of members. The Survey was released </w:t>
      </w:r>
      <w:r w:rsidRPr="00CA7D07">
        <w:rPr>
          <w:rFonts w:ascii="Arial" w:hAnsi="Arial" w:cs="Arial"/>
          <w:sz w:val="24"/>
          <w:szCs w:val="24"/>
          <w:lang w:val="en-AU"/>
        </w:rPr>
        <w:t xml:space="preserve">into the field for a 10-day period from 9 November to 20 November 2022. </w:t>
      </w:r>
    </w:p>
    <w:p w14:paraId="4CA8FC92" w14:textId="0EA7682C" w:rsidR="0085726A" w:rsidRPr="00CA7D07" w:rsidRDefault="0085726A" w:rsidP="00AE5296">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137 validated responses were received. </w:t>
      </w:r>
    </w:p>
    <w:p w14:paraId="753B12AA" w14:textId="194F751F" w:rsidR="0085726A" w:rsidRPr="00CA7D07" w:rsidRDefault="0085726A" w:rsidP="00AE5296">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The following tables provide an overview of who responded to the survey. </w:t>
      </w:r>
    </w:p>
    <w:tbl>
      <w:tblPr>
        <w:tblStyle w:val="PlainTable3"/>
        <w:tblW w:w="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tblGrid>
      <w:tr w:rsidR="0085726A" w:rsidRPr="00CA7D07" w14:paraId="1DBE7DD0" w14:textId="77777777" w:rsidTr="00172A0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969" w:type="dxa"/>
            <w:tcBorders>
              <w:bottom w:val="none" w:sz="0" w:space="0" w:color="auto"/>
              <w:right w:val="none" w:sz="0" w:space="0" w:color="auto"/>
            </w:tcBorders>
            <w:noWrap/>
            <w:hideMark/>
          </w:tcPr>
          <w:p w14:paraId="4812B8D2" w14:textId="433287F7" w:rsidR="0085726A" w:rsidRPr="00CA7D07" w:rsidRDefault="0085726A" w:rsidP="00AE5296">
            <w:pPr>
              <w:spacing w:before="100" w:beforeAutospacing="1" w:after="240" w:line="360" w:lineRule="auto"/>
              <w:rPr>
                <w:rFonts w:ascii="Arial" w:eastAsia="Times New Roman" w:hAnsi="Arial" w:cs="Arial"/>
                <w:sz w:val="24"/>
                <w:szCs w:val="24"/>
                <w:lang w:val="en-AU" w:eastAsia="en-AU"/>
              </w:rPr>
            </w:pPr>
            <w:r w:rsidRPr="00CA7D07">
              <w:rPr>
                <w:rFonts w:ascii="Arial" w:eastAsia="Times New Roman" w:hAnsi="Arial" w:cs="Arial"/>
                <w:color w:val="000000"/>
                <w:sz w:val="24"/>
                <w:szCs w:val="24"/>
                <w:lang w:val="en-AU" w:eastAsia="en-AU"/>
              </w:rPr>
              <w:t>Type of organisation</w:t>
            </w:r>
          </w:p>
        </w:tc>
        <w:tc>
          <w:tcPr>
            <w:tcW w:w="1701" w:type="dxa"/>
            <w:tcBorders>
              <w:bottom w:val="none" w:sz="0" w:space="0" w:color="auto"/>
            </w:tcBorders>
            <w:noWrap/>
            <w:hideMark/>
          </w:tcPr>
          <w:p w14:paraId="114921E4" w14:textId="5AFAF66A" w:rsidR="0085726A" w:rsidRPr="00CA7D07" w:rsidRDefault="0085726A" w:rsidP="00AE5296">
            <w:pPr>
              <w:spacing w:before="100" w:beforeAutospacing="1" w:after="24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c>
          <w:tcPr>
            <w:tcW w:w="1701" w:type="dxa"/>
            <w:tcBorders>
              <w:bottom w:val="none" w:sz="0" w:space="0" w:color="auto"/>
            </w:tcBorders>
            <w:noWrap/>
            <w:hideMark/>
          </w:tcPr>
          <w:p w14:paraId="3DA5D3E3" w14:textId="77777777" w:rsidR="0085726A" w:rsidRPr="00CA7D07" w:rsidRDefault="0085726A" w:rsidP="00AE5296">
            <w:pPr>
              <w:spacing w:before="100" w:beforeAutospacing="1" w:after="240"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r>
      <w:tr w:rsidR="0085726A" w:rsidRPr="00CA7D07" w14:paraId="1A6D647B" w14:textId="77777777" w:rsidTr="00172A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FED5FF1" w14:textId="30BD64FC" w:rsidR="0085726A" w:rsidRPr="00CA7D07" w:rsidRDefault="0085726A" w:rsidP="00AE5296">
            <w:pPr>
              <w:spacing w:before="100" w:beforeAutospacing="1" w:after="240"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For Profit</w:t>
            </w:r>
          </w:p>
        </w:tc>
        <w:tc>
          <w:tcPr>
            <w:tcW w:w="1701" w:type="dxa"/>
            <w:noWrap/>
            <w:hideMark/>
          </w:tcPr>
          <w:p w14:paraId="4086700D" w14:textId="77777777" w:rsidR="0085726A" w:rsidRPr="00CA7D07" w:rsidRDefault="0085726A" w:rsidP="00AE5296">
            <w:pPr>
              <w:spacing w:before="100" w:beforeAutospacing="1" w:after="24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31</w:t>
            </w:r>
          </w:p>
        </w:tc>
        <w:tc>
          <w:tcPr>
            <w:tcW w:w="1701" w:type="dxa"/>
            <w:noWrap/>
            <w:hideMark/>
          </w:tcPr>
          <w:p w14:paraId="008571DA" w14:textId="77777777" w:rsidR="0085726A" w:rsidRPr="00CA7D07" w:rsidRDefault="0085726A" w:rsidP="00AE5296">
            <w:pPr>
              <w:spacing w:before="100" w:beforeAutospacing="1" w:after="24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23%</w:t>
            </w:r>
          </w:p>
        </w:tc>
      </w:tr>
      <w:tr w:rsidR="0085726A" w:rsidRPr="00CA7D07" w14:paraId="486774B8" w14:textId="77777777" w:rsidTr="00172A0F">
        <w:trPr>
          <w:trHeight w:val="30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noWrap/>
            <w:hideMark/>
          </w:tcPr>
          <w:p w14:paraId="71B48392" w14:textId="2A55A8C1" w:rsidR="0085726A" w:rsidRPr="00CA7D07" w:rsidRDefault="0085726A" w:rsidP="00AE5296">
            <w:pPr>
              <w:spacing w:before="100" w:beforeAutospacing="1" w:after="240"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Not for Profit</w:t>
            </w:r>
          </w:p>
        </w:tc>
        <w:tc>
          <w:tcPr>
            <w:tcW w:w="1701" w:type="dxa"/>
            <w:noWrap/>
            <w:hideMark/>
          </w:tcPr>
          <w:p w14:paraId="352868EB" w14:textId="77777777" w:rsidR="0085726A" w:rsidRPr="00CA7D07" w:rsidRDefault="0085726A" w:rsidP="00AE5296">
            <w:pPr>
              <w:spacing w:before="100" w:beforeAutospacing="1" w:after="240"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90</w:t>
            </w:r>
          </w:p>
        </w:tc>
        <w:tc>
          <w:tcPr>
            <w:tcW w:w="1701" w:type="dxa"/>
            <w:noWrap/>
            <w:hideMark/>
          </w:tcPr>
          <w:p w14:paraId="6A4DDEC1" w14:textId="77777777" w:rsidR="0085726A" w:rsidRPr="00CA7D07" w:rsidRDefault="0085726A" w:rsidP="00AE5296">
            <w:pPr>
              <w:spacing w:before="100" w:beforeAutospacing="1" w:after="240"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66%</w:t>
            </w:r>
          </w:p>
        </w:tc>
      </w:tr>
      <w:tr w:rsidR="0085726A" w:rsidRPr="00CA7D07" w14:paraId="39350B13" w14:textId="77777777" w:rsidTr="00172A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3F5922E" w14:textId="0B0CF7D8" w:rsidR="0085726A" w:rsidRPr="00CA7D07" w:rsidRDefault="0085726A" w:rsidP="00AE5296">
            <w:pPr>
              <w:spacing w:before="100" w:beforeAutospacing="1" w:after="240"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Social Enterprise</w:t>
            </w:r>
          </w:p>
        </w:tc>
        <w:tc>
          <w:tcPr>
            <w:tcW w:w="1701" w:type="dxa"/>
            <w:noWrap/>
            <w:hideMark/>
          </w:tcPr>
          <w:p w14:paraId="3EF5D8A9" w14:textId="77777777" w:rsidR="0085726A" w:rsidRPr="00CA7D07" w:rsidRDefault="0085726A" w:rsidP="00AE5296">
            <w:pPr>
              <w:spacing w:before="100" w:beforeAutospacing="1" w:after="24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10</w:t>
            </w:r>
          </w:p>
        </w:tc>
        <w:tc>
          <w:tcPr>
            <w:tcW w:w="1701" w:type="dxa"/>
            <w:noWrap/>
            <w:hideMark/>
          </w:tcPr>
          <w:p w14:paraId="78859F16" w14:textId="77777777" w:rsidR="0085726A" w:rsidRPr="00CA7D07" w:rsidRDefault="0085726A" w:rsidP="00AE5296">
            <w:pPr>
              <w:spacing w:before="100" w:beforeAutospacing="1" w:after="24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7%</w:t>
            </w:r>
          </w:p>
        </w:tc>
      </w:tr>
      <w:tr w:rsidR="0085726A" w:rsidRPr="00CA7D07" w14:paraId="70748F39" w14:textId="77777777" w:rsidTr="00172A0F">
        <w:trPr>
          <w:trHeight w:val="30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noWrap/>
            <w:hideMark/>
          </w:tcPr>
          <w:p w14:paraId="42F6A9F3" w14:textId="7ABD4B29" w:rsidR="0085726A" w:rsidRPr="00CA7D07" w:rsidRDefault="0085726A" w:rsidP="00AE5296">
            <w:pPr>
              <w:spacing w:before="100" w:beforeAutospacing="1" w:after="240"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Not stated</w:t>
            </w:r>
          </w:p>
        </w:tc>
        <w:tc>
          <w:tcPr>
            <w:tcW w:w="1701" w:type="dxa"/>
            <w:noWrap/>
            <w:hideMark/>
          </w:tcPr>
          <w:p w14:paraId="0BE2A526" w14:textId="77777777" w:rsidR="0085726A" w:rsidRPr="00CA7D07" w:rsidRDefault="0085726A" w:rsidP="00AE5296">
            <w:pPr>
              <w:spacing w:before="100" w:beforeAutospacing="1" w:after="240"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6</w:t>
            </w:r>
          </w:p>
        </w:tc>
        <w:tc>
          <w:tcPr>
            <w:tcW w:w="1701" w:type="dxa"/>
            <w:noWrap/>
            <w:hideMark/>
          </w:tcPr>
          <w:p w14:paraId="10E65C6E" w14:textId="77777777" w:rsidR="0085726A" w:rsidRPr="00CA7D07" w:rsidRDefault="0085726A" w:rsidP="00AE5296">
            <w:pPr>
              <w:spacing w:before="100" w:beforeAutospacing="1" w:after="240"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w:t>
            </w:r>
          </w:p>
        </w:tc>
      </w:tr>
      <w:tr w:rsidR="0085726A" w:rsidRPr="00CA7D07" w14:paraId="35EE8DE1" w14:textId="77777777" w:rsidTr="00172A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noWrap/>
            <w:hideMark/>
          </w:tcPr>
          <w:p w14:paraId="42A75E71" w14:textId="77777777" w:rsidR="0085726A" w:rsidRPr="00CA7D07" w:rsidRDefault="0085726A" w:rsidP="00AE5296">
            <w:pPr>
              <w:spacing w:before="100" w:beforeAutospacing="1" w:after="240"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Total</w:t>
            </w:r>
          </w:p>
        </w:tc>
        <w:tc>
          <w:tcPr>
            <w:tcW w:w="1701" w:type="dxa"/>
            <w:noWrap/>
            <w:hideMark/>
          </w:tcPr>
          <w:p w14:paraId="29DEDBB6" w14:textId="77777777" w:rsidR="0085726A" w:rsidRPr="00CA7D07" w:rsidRDefault="0085726A" w:rsidP="00AE5296">
            <w:pPr>
              <w:spacing w:before="100" w:beforeAutospacing="1" w:after="24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137</w:t>
            </w:r>
          </w:p>
        </w:tc>
        <w:tc>
          <w:tcPr>
            <w:tcW w:w="1701" w:type="dxa"/>
            <w:noWrap/>
            <w:hideMark/>
          </w:tcPr>
          <w:p w14:paraId="659F939B" w14:textId="77777777" w:rsidR="0085726A" w:rsidRPr="00CA7D07" w:rsidRDefault="0085726A" w:rsidP="00AE5296">
            <w:pPr>
              <w:spacing w:before="100" w:beforeAutospacing="1" w:after="24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100%</w:t>
            </w:r>
          </w:p>
        </w:tc>
      </w:tr>
    </w:tbl>
    <w:p w14:paraId="5AA20EC5" w14:textId="77777777" w:rsidR="0085726A" w:rsidRPr="00CA7D07" w:rsidRDefault="0085726A" w:rsidP="00E4060E">
      <w:pPr>
        <w:spacing w:before="100" w:beforeAutospacing="1" w:after="0" w:line="276" w:lineRule="auto"/>
        <w:rPr>
          <w:rFonts w:ascii="Arial" w:hAnsi="Arial" w:cs="Arial"/>
          <w:sz w:val="24"/>
          <w:szCs w:val="24"/>
          <w:lang w:val="en-AU"/>
        </w:rPr>
      </w:pPr>
    </w:p>
    <w:tbl>
      <w:tblPr>
        <w:tblStyle w:val="PlainTable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tblGrid>
      <w:tr w:rsidR="0085726A" w:rsidRPr="00CA7D07" w14:paraId="7595117A" w14:textId="77777777" w:rsidTr="00172A0F">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3964" w:type="dxa"/>
            <w:tcBorders>
              <w:bottom w:val="none" w:sz="0" w:space="0" w:color="auto"/>
              <w:right w:val="none" w:sz="0" w:space="0" w:color="auto"/>
            </w:tcBorders>
            <w:noWrap/>
            <w:hideMark/>
          </w:tcPr>
          <w:p w14:paraId="05D8322F" w14:textId="5703A1AF" w:rsidR="0085726A" w:rsidRPr="00CA7D07" w:rsidRDefault="0085726A" w:rsidP="00AE5296">
            <w:pPr>
              <w:spacing w:before="100" w:beforeAutospacing="1" w:line="360" w:lineRule="auto"/>
              <w:rPr>
                <w:rFonts w:ascii="Arial" w:eastAsia="Times New Roman" w:hAnsi="Arial" w:cs="Arial"/>
                <w:sz w:val="24"/>
                <w:szCs w:val="24"/>
                <w:lang w:val="en-AU" w:eastAsia="en-AU"/>
              </w:rPr>
            </w:pPr>
            <w:r w:rsidRPr="00CA7D07">
              <w:rPr>
                <w:rFonts w:ascii="Arial" w:eastAsia="Times New Roman" w:hAnsi="Arial" w:cs="Arial"/>
                <w:color w:val="000000"/>
                <w:sz w:val="24"/>
                <w:szCs w:val="24"/>
                <w:lang w:val="en-AU" w:eastAsia="en-AU"/>
              </w:rPr>
              <w:t>size of ORGANisation</w:t>
            </w:r>
            <w:r w:rsidRPr="00CA7D07">
              <w:rPr>
                <w:rFonts w:ascii="Arial" w:eastAsia="Times New Roman" w:hAnsi="Arial" w:cs="Arial"/>
                <w:sz w:val="24"/>
                <w:szCs w:val="24"/>
                <w:lang w:val="en-AU" w:eastAsia="en-AU"/>
              </w:rPr>
              <w:t xml:space="preserve"> </w:t>
            </w:r>
          </w:p>
        </w:tc>
        <w:tc>
          <w:tcPr>
            <w:tcW w:w="1701" w:type="dxa"/>
            <w:tcBorders>
              <w:bottom w:val="none" w:sz="0" w:space="0" w:color="auto"/>
            </w:tcBorders>
            <w:noWrap/>
            <w:hideMark/>
          </w:tcPr>
          <w:p w14:paraId="5209F703" w14:textId="0853782F" w:rsidR="0085726A" w:rsidRPr="00CA7D07" w:rsidRDefault="0085726A" w:rsidP="00AE529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c>
          <w:tcPr>
            <w:tcW w:w="1701" w:type="dxa"/>
            <w:tcBorders>
              <w:bottom w:val="none" w:sz="0" w:space="0" w:color="auto"/>
            </w:tcBorders>
            <w:noWrap/>
            <w:hideMark/>
          </w:tcPr>
          <w:p w14:paraId="635601EF" w14:textId="77777777" w:rsidR="0085726A" w:rsidRPr="00CA7D07" w:rsidRDefault="0085726A" w:rsidP="00AE529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r>
      <w:tr w:rsidR="0085726A" w:rsidRPr="00CA7D07" w14:paraId="21EC7597" w14:textId="77777777" w:rsidTr="00172A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2CC657C" w14:textId="39E5C43F"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I am a Sole Trader</w:t>
            </w:r>
          </w:p>
        </w:tc>
        <w:tc>
          <w:tcPr>
            <w:tcW w:w="1701" w:type="dxa"/>
            <w:noWrap/>
            <w:hideMark/>
          </w:tcPr>
          <w:p w14:paraId="265E431B"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w:t>
            </w:r>
          </w:p>
        </w:tc>
        <w:tc>
          <w:tcPr>
            <w:tcW w:w="1701" w:type="dxa"/>
            <w:noWrap/>
            <w:hideMark/>
          </w:tcPr>
          <w:p w14:paraId="09411C6F"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w:t>
            </w:r>
          </w:p>
        </w:tc>
      </w:tr>
      <w:tr w:rsidR="0085726A" w:rsidRPr="00CA7D07" w14:paraId="1A5AA0EB" w14:textId="77777777" w:rsidTr="00172A0F">
        <w:trPr>
          <w:trHeight w:val="29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767DC3A" w14:textId="11339B75"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Less than 50 People</w:t>
            </w:r>
          </w:p>
        </w:tc>
        <w:tc>
          <w:tcPr>
            <w:tcW w:w="1701" w:type="dxa"/>
            <w:noWrap/>
            <w:hideMark/>
          </w:tcPr>
          <w:p w14:paraId="367863A7"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40</w:t>
            </w:r>
          </w:p>
        </w:tc>
        <w:tc>
          <w:tcPr>
            <w:tcW w:w="1701" w:type="dxa"/>
            <w:noWrap/>
            <w:hideMark/>
          </w:tcPr>
          <w:p w14:paraId="4393DB8E"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29%</w:t>
            </w:r>
          </w:p>
        </w:tc>
      </w:tr>
      <w:tr w:rsidR="0085726A" w:rsidRPr="00CA7D07" w14:paraId="416C0D4E" w14:textId="77777777" w:rsidTr="00172A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1DC120B" w14:textId="32454C76"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Between 50 - 199 people</w:t>
            </w:r>
          </w:p>
        </w:tc>
        <w:tc>
          <w:tcPr>
            <w:tcW w:w="1701" w:type="dxa"/>
            <w:noWrap/>
            <w:hideMark/>
          </w:tcPr>
          <w:p w14:paraId="12ACEC17"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46</w:t>
            </w:r>
          </w:p>
        </w:tc>
        <w:tc>
          <w:tcPr>
            <w:tcW w:w="1701" w:type="dxa"/>
            <w:noWrap/>
            <w:hideMark/>
          </w:tcPr>
          <w:p w14:paraId="0EE9FBC2"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34%</w:t>
            </w:r>
          </w:p>
        </w:tc>
      </w:tr>
      <w:tr w:rsidR="0085726A" w:rsidRPr="00CA7D07" w14:paraId="5BB6E0E6" w14:textId="77777777" w:rsidTr="00172A0F">
        <w:trPr>
          <w:trHeight w:val="29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9473C48" w14:textId="4F22B165"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lastRenderedPageBreak/>
              <w:t>Between 200 - 999 people</w:t>
            </w:r>
          </w:p>
        </w:tc>
        <w:tc>
          <w:tcPr>
            <w:tcW w:w="1701" w:type="dxa"/>
            <w:noWrap/>
            <w:hideMark/>
          </w:tcPr>
          <w:p w14:paraId="6CE072EA"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37</w:t>
            </w:r>
          </w:p>
        </w:tc>
        <w:tc>
          <w:tcPr>
            <w:tcW w:w="1701" w:type="dxa"/>
            <w:noWrap/>
            <w:hideMark/>
          </w:tcPr>
          <w:p w14:paraId="79A57643"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27%</w:t>
            </w:r>
          </w:p>
        </w:tc>
      </w:tr>
      <w:tr w:rsidR="0085726A" w:rsidRPr="00CA7D07" w14:paraId="564E95BE" w14:textId="77777777" w:rsidTr="00172A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1DEBB70" w14:textId="6C8ED631"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More Than 1,000 people</w:t>
            </w:r>
          </w:p>
        </w:tc>
        <w:tc>
          <w:tcPr>
            <w:tcW w:w="1701" w:type="dxa"/>
            <w:noWrap/>
            <w:hideMark/>
          </w:tcPr>
          <w:p w14:paraId="28C97009"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6</w:t>
            </w:r>
          </w:p>
        </w:tc>
        <w:tc>
          <w:tcPr>
            <w:tcW w:w="1701" w:type="dxa"/>
            <w:noWrap/>
            <w:hideMark/>
          </w:tcPr>
          <w:p w14:paraId="52DBD386"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w:t>
            </w:r>
          </w:p>
        </w:tc>
      </w:tr>
      <w:tr w:rsidR="0085726A" w:rsidRPr="00CA7D07" w14:paraId="33A76963" w14:textId="77777777" w:rsidTr="00172A0F">
        <w:trPr>
          <w:trHeight w:val="29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FD3809A" w14:textId="4FBF0BFF"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Not stated</w:t>
            </w:r>
          </w:p>
        </w:tc>
        <w:tc>
          <w:tcPr>
            <w:tcW w:w="1701" w:type="dxa"/>
            <w:noWrap/>
            <w:hideMark/>
          </w:tcPr>
          <w:p w14:paraId="0FF960FA"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5</w:t>
            </w:r>
          </w:p>
        </w:tc>
        <w:tc>
          <w:tcPr>
            <w:tcW w:w="1701" w:type="dxa"/>
            <w:noWrap/>
            <w:hideMark/>
          </w:tcPr>
          <w:p w14:paraId="6D09FFCE"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w:t>
            </w:r>
          </w:p>
        </w:tc>
      </w:tr>
      <w:tr w:rsidR="0085726A" w:rsidRPr="00CA7D07" w14:paraId="698B56DE" w14:textId="77777777" w:rsidTr="00172A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3882D601"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Total</w:t>
            </w:r>
          </w:p>
        </w:tc>
        <w:tc>
          <w:tcPr>
            <w:tcW w:w="1701" w:type="dxa"/>
            <w:noWrap/>
            <w:hideMark/>
          </w:tcPr>
          <w:p w14:paraId="0E58B271"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137</w:t>
            </w:r>
          </w:p>
        </w:tc>
        <w:tc>
          <w:tcPr>
            <w:tcW w:w="1701" w:type="dxa"/>
            <w:noWrap/>
            <w:hideMark/>
          </w:tcPr>
          <w:p w14:paraId="7BC256DD"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100%</w:t>
            </w:r>
          </w:p>
        </w:tc>
      </w:tr>
    </w:tbl>
    <w:p w14:paraId="64BA0D6E" w14:textId="77777777" w:rsidR="0085726A" w:rsidRPr="00CA7D07" w:rsidRDefault="0085726A" w:rsidP="00E4060E">
      <w:pPr>
        <w:spacing w:before="100" w:beforeAutospacing="1" w:after="0" w:line="276" w:lineRule="auto"/>
        <w:rPr>
          <w:rFonts w:ascii="Arial" w:hAnsi="Arial" w:cs="Arial"/>
          <w:sz w:val="24"/>
          <w:szCs w:val="24"/>
          <w:lang w:val="en-AU"/>
        </w:rPr>
      </w:pPr>
    </w:p>
    <w:tbl>
      <w:tblPr>
        <w:tblStyle w:val="PlainTable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tblGrid>
      <w:tr w:rsidR="0085726A" w:rsidRPr="00CA7D07" w14:paraId="78244472" w14:textId="77777777" w:rsidTr="00172A0F">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3964" w:type="dxa"/>
            <w:tcBorders>
              <w:bottom w:val="none" w:sz="0" w:space="0" w:color="auto"/>
              <w:right w:val="none" w:sz="0" w:space="0" w:color="auto"/>
            </w:tcBorders>
            <w:hideMark/>
          </w:tcPr>
          <w:p w14:paraId="391A8C93" w14:textId="0681B40D" w:rsidR="0085726A" w:rsidRPr="00CA7D07" w:rsidRDefault="0085726A" w:rsidP="00AE5296">
            <w:pPr>
              <w:spacing w:before="100" w:beforeAutospacing="1" w:line="360" w:lineRule="auto"/>
              <w:rPr>
                <w:rFonts w:ascii="Arial" w:eastAsia="Times New Roman" w:hAnsi="Arial" w:cs="Arial"/>
                <w:sz w:val="24"/>
                <w:szCs w:val="24"/>
                <w:lang w:val="en-AU" w:eastAsia="en-AU"/>
              </w:rPr>
            </w:pPr>
            <w:r w:rsidRPr="00CA7D07">
              <w:rPr>
                <w:rFonts w:ascii="Arial" w:eastAsia="Times New Roman" w:hAnsi="Arial" w:cs="Arial"/>
                <w:color w:val="000000"/>
                <w:sz w:val="24"/>
                <w:szCs w:val="24"/>
                <w:lang w:val="en-AU" w:eastAsia="en-AU"/>
              </w:rPr>
              <w:t>Income</w:t>
            </w:r>
            <w:r w:rsidRPr="00CA7D07">
              <w:rPr>
                <w:rFonts w:ascii="Arial" w:eastAsia="Times New Roman" w:hAnsi="Arial" w:cs="Arial"/>
                <w:sz w:val="24"/>
                <w:szCs w:val="24"/>
                <w:lang w:val="en-AU" w:eastAsia="en-AU"/>
              </w:rPr>
              <w:t xml:space="preserve"> </w:t>
            </w:r>
          </w:p>
        </w:tc>
        <w:tc>
          <w:tcPr>
            <w:tcW w:w="1701" w:type="dxa"/>
            <w:tcBorders>
              <w:bottom w:val="none" w:sz="0" w:space="0" w:color="auto"/>
            </w:tcBorders>
            <w:noWrap/>
            <w:hideMark/>
          </w:tcPr>
          <w:p w14:paraId="4A8FC6E8" w14:textId="2A604E56" w:rsidR="0085726A" w:rsidRPr="00CA7D07" w:rsidRDefault="0085726A" w:rsidP="00AE529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c>
          <w:tcPr>
            <w:tcW w:w="1701" w:type="dxa"/>
            <w:tcBorders>
              <w:bottom w:val="none" w:sz="0" w:space="0" w:color="auto"/>
            </w:tcBorders>
            <w:noWrap/>
            <w:hideMark/>
          </w:tcPr>
          <w:p w14:paraId="08CE9484" w14:textId="77777777" w:rsidR="0085726A" w:rsidRPr="00CA7D07" w:rsidRDefault="0085726A" w:rsidP="00AE529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r>
      <w:tr w:rsidR="0085726A" w:rsidRPr="00CA7D07" w14:paraId="6A90211D" w14:textId="77777777" w:rsidTr="00172A0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2262C7F8" w14:textId="05D7D411"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Less than $1 million</w:t>
            </w:r>
          </w:p>
        </w:tc>
        <w:tc>
          <w:tcPr>
            <w:tcW w:w="1701" w:type="dxa"/>
            <w:noWrap/>
            <w:hideMark/>
          </w:tcPr>
          <w:p w14:paraId="429E46FE"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25</w:t>
            </w:r>
          </w:p>
        </w:tc>
        <w:tc>
          <w:tcPr>
            <w:tcW w:w="1701" w:type="dxa"/>
            <w:noWrap/>
            <w:hideMark/>
          </w:tcPr>
          <w:p w14:paraId="4D164634"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18%</w:t>
            </w:r>
          </w:p>
        </w:tc>
      </w:tr>
      <w:tr w:rsidR="0085726A" w:rsidRPr="00CA7D07" w14:paraId="4CFE5D36" w14:textId="77777777" w:rsidTr="00172A0F">
        <w:trPr>
          <w:trHeight w:val="302"/>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365348C7" w14:textId="4B5402BD"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$1 million to less than $5 million</w:t>
            </w:r>
          </w:p>
        </w:tc>
        <w:tc>
          <w:tcPr>
            <w:tcW w:w="1701" w:type="dxa"/>
            <w:noWrap/>
            <w:hideMark/>
          </w:tcPr>
          <w:p w14:paraId="341BBBB5"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29</w:t>
            </w:r>
          </w:p>
        </w:tc>
        <w:tc>
          <w:tcPr>
            <w:tcW w:w="1701" w:type="dxa"/>
            <w:noWrap/>
            <w:hideMark/>
          </w:tcPr>
          <w:p w14:paraId="26FCD82F"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21%</w:t>
            </w:r>
          </w:p>
        </w:tc>
      </w:tr>
      <w:tr w:rsidR="0085726A" w:rsidRPr="00CA7D07" w14:paraId="7023AD36" w14:textId="77777777" w:rsidTr="00172A0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554ACE29" w14:textId="3EA20773"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$5 million to less than $20 million</w:t>
            </w:r>
          </w:p>
        </w:tc>
        <w:tc>
          <w:tcPr>
            <w:tcW w:w="1701" w:type="dxa"/>
            <w:noWrap/>
            <w:hideMark/>
          </w:tcPr>
          <w:p w14:paraId="31D3EA2A"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47</w:t>
            </w:r>
          </w:p>
        </w:tc>
        <w:tc>
          <w:tcPr>
            <w:tcW w:w="1701" w:type="dxa"/>
            <w:noWrap/>
            <w:hideMark/>
          </w:tcPr>
          <w:p w14:paraId="29CB1CFC"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34%</w:t>
            </w:r>
          </w:p>
        </w:tc>
      </w:tr>
      <w:tr w:rsidR="0085726A" w:rsidRPr="00CA7D07" w14:paraId="59C30E8F" w14:textId="77777777" w:rsidTr="00172A0F">
        <w:trPr>
          <w:trHeight w:val="302"/>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23B8DD44" w14:textId="6E28C662"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More than $20 million</w:t>
            </w:r>
          </w:p>
        </w:tc>
        <w:tc>
          <w:tcPr>
            <w:tcW w:w="1701" w:type="dxa"/>
            <w:noWrap/>
            <w:hideMark/>
          </w:tcPr>
          <w:p w14:paraId="060D3BDE"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30</w:t>
            </w:r>
          </w:p>
        </w:tc>
        <w:tc>
          <w:tcPr>
            <w:tcW w:w="1701" w:type="dxa"/>
            <w:noWrap/>
            <w:hideMark/>
          </w:tcPr>
          <w:p w14:paraId="44BE7609"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22%</w:t>
            </w:r>
          </w:p>
        </w:tc>
      </w:tr>
      <w:tr w:rsidR="0085726A" w:rsidRPr="00CA7D07" w14:paraId="549AF029" w14:textId="77777777" w:rsidTr="00172A0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2B12753E" w14:textId="605A911E"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Not stated</w:t>
            </w:r>
          </w:p>
        </w:tc>
        <w:tc>
          <w:tcPr>
            <w:tcW w:w="1701" w:type="dxa"/>
            <w:noWrap/>
            <w:hideMark/>
          </w:tcPr>
          <w:p w14:paraId="7E289792"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6</w:t>
            </w:r>
          </w:p>
        </w:tc>
        <w:tc>
          <w:tcPr>
            <w:tcW w:w="1701" w:type="dxa"/>
            <w:noWrap/>
            <w:hideMark/>
          </w:tcPr>
          <w:p w14:paraId="764BCA40"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w:t>
            </w:r>
          </w:p>
        </w:tc>
      </w:tr>
      <w:tr w:rsidR="0085726A" w:rsidRPr="00CA7D07" w14:paraId="231BA0DA" w14:textId="77777777" w:rsidTr="00172A0F">
        <w:trPr>
          <w:trHeight w:val="302"/>
        </w:trPr>
        <w:tc>
          <w:tcPr>
            <w:cnfStyle w:val="001000000000" w:firstRow="0" w:lastRow="0" w:firstColumn="1" w:lastColumn="0" w:oddVBand="0" w:evenVBand="0" w:oddHBand="0" w:evenHBand="0" w:firstRowFirstColumn="0" w:firstRowLastColumn="0" w:lastRowFirstColumn="0" w:lastRowLastColumn="0"/>
            <w:tcW w:w="3964" w:type="dxa"/>
            <w:tcBorders>
              <w:right w:val="none" w:sz="0" w:space="0" w:color="auto"/>
            </w:tcBorders>
            <w:noWrap/>
            <w:hideMark/>
          </w:tcPr>
          <w:p w14:paraId="56FC38EC"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Total</w:t>
            </w:r>
          </w:p>
        </w:tc>
        <w:tc>
          <w:tcPr>
            <w:tcW w:w="1701" w:type="dxa"/>
            <w:noWrap/>
            <w:hideMark/>
          </w:tcPr>
          <w:p w14:paraId="2520A262"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137</w:t>
            </w:r>
          </w:p>
        </w:tc>
        <w:tc>
          <w:tcPr>
            <w:tcW w:w="1701" w:type="dxa"/>
            <w:noWrap/>
            <w:hideMark/>
          </w:tcPr>
          <w:p w14:paraId="70024B9C"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100%</w:t>
            </w:r>
          </w:p>
        </w:tc>
      </w:tr>
    </w:tbl>
    <w:p w14:paraId="3FA490DB" w14:textId="447654CE" w:rsidR="0085726A" w:rsidRPr="00EE5C24" w:rsidRDefault="0085726A" w:rsidP="00EE5C24">
      <w:pPr>
        <w:spacing w:before="100" w:beforeAutospacing="1" w:line="276" w:lineRule="auto"/>
        <w:rPr>
          <w:rFonts w:ascii="Arial" w:hAnsi="Arial" w:cs="Arial"/>
          <w:sz w:val="24"/>
          <w:szCs w:val="24"/>
          <w:lang w:val="en-AU"/>
        </w:rPr>
      </w:pPr>
    </w:p>
    <w:tbl>
      <w:tblPr>
        <w:tblStyle w:val="PlainTable3"/>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982"/>
        <w:gridCol w:w="1200"/>
      </w:tblGrid>
      <w:tr w:rsidR="0085726A" w:rsidRPr="00CA7D07" w14:paraId="49C33614" w14:textId="77777777" w:rsidTr="00D966B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70" w:type="dxa"/>
            <w:hideMark/>
          </w:tcPr>
          <w:p w14:paraId="6C26E6E1" w14:textId="78109A41" w:rsidR="0085726A" w:rsidRPr="00CA7D07" w:rsidRDefault="0085726A" w:rsidP="00AE5296">
            <w:pPr>
              <w:spacing w:before="100" w:beforeAutospacing="1" w:line="360" w:lineRule="auto"/>
              <w:rPr>
                <w:rFonts w:ascii="Arial" w:eastAsia="Times New Roman" w:hAnsi="Arial" w:cs="Arial"/>
                <w:sz w:val="24"/>
                <w:szCs w:val="24"/>
                <w:lang w:val="en-AU" w:eastAsia="en-AU"/>
              </w:rPr>
            </w:pPr>
            <w:r w:rsidRPr="00CA7D07">
              <w:rPr>
                <w:rFonts w:ascii="Arial" w:eastAsia="Times New Roman" w:hAnsi="Arial" w:cs="Arial"/>
                <w:color w:val="000000"/>
                <w:sz w:val="24"/>
                <w:szCs w:val="24"/>
                <w:lang w:val="en-AU" w:eastAsia="en-AU"/>
              </w:rPr>
              <w:t>Location</w:t>
            </w:r>
            <w:r w:rsidRPr="00CA7D07">
              <w:rPr>
                <w:rFonts w:ascii="Arial" w:eastAsia="Times New Roman" w:hAnsi="Arial" w:cs="Arial"/>
                <w:sz w:val="24"/>
                <w:szCs w:val="24"/>
                <w:lang w:val="en-AU" w:eastAsia="en-AU"/>
              </w:rPr>
              <w:t xml:space="preserve"> </w:t>
            </w:r>
          </w:p>
        </w:tc>
        <w:tc>
          <w:tcPr>
            <w:tcW w:w="982" w:type="dxa"/>
            <w:noWrap/>
            <w:hideMark/>
          </w:tcPr>
          <w:p w14:paraId="2B742E91" w14:textId="6D30AA97" w:rsidR="0085726A" w:rsidRPr="00CA7D07" w:rsidRDefault="0085726A" w:rsidP="00AE529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c>
          <w:tcPr>
            <w:tcW w:w="1200" w:type="dxa"/>
            <w:noWrap/>
            <w:hideMark/>
          </w:tcPr>
          <w:p w14:paraId="232B28A6" w14:textId="77777777" w:rsidR="0085726A" w:rsidRPr="00CA7D07" w:rsidRDefault="0085726A" w:rsidP="00AE5296">
            <w:pPr>
              <w:spacing w:before="100" w:before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w:t>
            </w:r>
          </w:p>
        </w:tc>
      </w:tr>
      <w:tr w:rsidR="0085726A" w:rsidRPr="00CA7D07" w14:paraId="0C52BF80" w14:textId="77777777" w:rsidTr="00D966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60FE8BEF"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ACT</w:t>
            </w:r>
          </w:p>
        </w:tc>
        <w:tc>
          <w:tcPr>
            <w:tcW w:w="982" w:type="dxa"/>
            <w:noWrap/>
            <w:hideMark/>
          </w:tcPr>
          <w:p w14:paraId="204B3488"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5</w:t>
            </w:r>
          </w:p>
        </w:tc>
        <w:tc>
          <w:tcPr>
            <w:tcW w:w="1200" w:type="dxa"/>
            <w:noWrap/>
            <w:hideMark/>
          </w:tcPr>
          <w:p w14:paraId="002AFDAE"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w:t>
            </w:r>
          </w:p>
        </w:tc>
      </w:tr>
      <w:tr w:rsidR="0085726A" w:rsidRPr="00CA7D07" w14:paraId="601C9A23" w14:textId="77777777" w:rsidTr="00D966BF">
        <w:trPr>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5D894952"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NSW</w:t>
            </w:r>
          </w:p>
        </w:tc>
        <w:tc>
          <w:tcPr>
            <w:tcW w:w="982" w:type="dxa"/>
            <w:noWrap/>
            <w:hideMark/>
          </w:tcPr>
          <w:p w14:paraId="76CEC35D"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37</w:t>
            </w:r>
          </w:p>
        </w:tc>
        <w:tc>
          <w:tcPr>
            <w:tcW w:w="1200" w:type="dxa"/>
            <w:noWrap/>
            <w:hideMark/>
          </w:tcPr>
          <w:p w14:paraId="7529CFFA"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27%</w:t>
            </w:r>
          </w:p>
        </w:tc>
      </w:tr>
      <w:tr w:rsidR="0085726A" w:rsidRPr="00CA7D07" w14:paraId="79FD7D92" w14:textId="77777777" w:rsidTr="00D966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44521558"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NT</w:t>
            </w:r>
          </w:p>
        </w:tc>
        <w:tc>
          <w:tcPr>
            <w:tcW w:w="982" w:type="dxa"/>
            <w:noWrap/>
            <w:hideMark/>
          </w:tcPr>
          <w:p w14:paraId="1C09A8A3"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w:t>
            </w:r>
          </w:p>
        </w:tc>
        <w:tc>
          <w:tcPr>
            <w:tcW w:w="1200" w:type="dxa"/>
            <w:noWrap/>
            <w:hideMark/>
          </w:tcPr>
          <w:p w14:paraId="39973C9F"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w:t>
            </w:r>
          </w:p>
        </w:tc>
      </w:tr>
      <w:tr w:rsidR="0085726A" w:rsidRPr="00CA7D07" w14:paraId="72048BDE" w14:textId="77777777" w:rsidTr="00D966BF">
        <w:trPr>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0CC733C4"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QLD</w:t>
            </w:r>
          </w:p>
        </w:tc>
        <w:tc>
          <w:tcPr>
            <w:tcW w:w="982" w:type="dxa"/>
            <w:noWrap/>
            <w:hideMark/>
          </w:tcPr>
          <w:p w14:paraId="5119A511"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12</w:t>
            </w:r>
          </w:p>
        </w:tc>
        <w:tc>
          <w:tcPr>
            <w:tcW w:w="1200" w:type="dxa"/>
            <w:noWrap/>
            <w:hideMark/>
          </w:tcPr>
          <w:p w14:paraId="5FDE6639"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9%</w:t>
            </w:r>
          </w:p>
        </w:tc>
      </w:tr>
      <w:tr w:rsidR="0085726A" w:rsidRPr="00CA7D07" w14:paraId="77E881DD" w14:textId="77777777" w:rsidTr="00D966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3376CAD2"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SA</w:t>
            </w:r>
          </w:p>
        </w:tc>
        <w:tc>
          <w:tcPr>
            <w:tcW w:w="982" w:type="dxa"/>
            <w:noWrap/>
            <w:hideMark/>
          </w:tcPr>
          <w:p w14:paraId="6F4FA7D6"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15</w:t>
            </w:r>
          </w:p>
        </w:tc>
        <w:tc>
          <w:tcPr>
            <w:tcW w:w="1200" w:type="dxa"/>
            <w:noWrap/>
            <w:hideMark/>
          </w:tcPr>
          <w:p w14:paraId="5DE6BCDE"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11%</w:t>
            </w:r>
          </w:p>
        </w:tc>
      </w:tr>
      <w:tr w:rsidR="0085726A" w:rsidRPr="00CA7D07" w14:paraId="3E9ED8A8" w14:textId="77777777" w:rsidTr="00D966BF">
        <w:trPr>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2DCAE6BC"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TAS</w:t>
            </w:r>
          </w:p>
        </w:tc>
        <w:tc>
          <w:tcPr>
            <w:tcW w:w="982" w:type="dxa"/>
            <w:noWrap/>
            <w:hideMark/>
          </w:tcPr>
          <w:p w14:paraId="5C02800E"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w:t>
            </w:r>
          </w:p>
        </w:tc>
        <w:tc>
          <w:tcPr>
            <w:tcW w:w="1200" w:type="dxa"/>
            <w:noWrap/>
            <w:hideMark/>
          </w:tcPr>
          <w:p w14:paraId="66F7770B"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w:t>
            </w:r>
          </w:p>
        </w:tc>
      </w:tr>
      <w:tr w:rsidR="0085726A" w:rsidRPr="00CA7D07" w14:paraId="40E8A624" w14:textId="77777777" w:rsidTr="00D966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6EEA81F1"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VIC</w:t>
            </w:r>
          </w:p>
        </w:tc>
        <w:tc>
          <w:tcPr>
            <w:tcW w:w="982" w:type="dxa"/>
            <w:noWrap/>
            <w:hideMark/>
          </w:tcPr>
          <w:p w14:paraId="3587DD62"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40</w:t>
            </w:r>
          </w:p>
        </w:tc>
        <w:tc>
          <w:tcPr>
            <w:tcW w:w="1200" w:type="dxa"/>
            <w:noWrap/>
            <w:hideMark/>
          </w:tcPr>
          <w:p w14:paraId="3844C28E"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29%</w:t>
            </w:r>
          </w:p>
        </w:tc>
      </w:tr>
      <w:tr w:rsidR="0085726A" w:rsidRPr="00CA7D07" w14:paraId="44BC5B74" w14:textId="77777777" w:rsidTr="00D966BF">
        <w:trPr>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383A83C7"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olor w:val="000000"/>
                <w:sz w:val="24"/>
                <w:szCs w:val="24"/>
                <w:lang w:val="en-AU" w:eastAsia="en-AU"/>
              </w:rPr>
              <w:t>WA</w:t>
            </w:r>
          </w:p>
        </w:tc>
        <w:tc>
          <w:tcPr>
            <w:tcW w:w="982" w:type="dxa"/>
            <w:noWrap/>
            <w:hideMark/>
          </w:tcPr>
          <w:p w14:paraId="37DE34D2"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18</w:t>
            </w:r>
          </w:p>
        </w:tc>
        <w:tc>
          <w:tcPr>
            <w:tcW w:w="1200" w:type="dxa"/>
            <w:noWrap/>
            <w:hideMark/>
          </w:tcPr>
          <w:p w14:paraId="629D39B9"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13%</w:t>
            </w:r>
          </w:p>
        </w:tc>
      </w:tr>
      <w:tr w:rsidR="0085726A" w:rsidRPr="00CA7D07" w14:paraId="5B41D910" w14:textId="77777777" w:rsidTr="00D966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090D448A" w14:textId="20B4B523"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b w:val="0"/>
                <w:bCs w:val="0"/>
                <w:caps w:val="0"/>
                <w:color w:val="000000"/>
                <w:sz w:val="24"/>
                <w:szCs w:val="24"/>
                <w:lang w:val="en-AU" w:eastAsia="en-AU"/>
              </w:rPr>
              <w:t>Not stated</w:t>
            </w:r>
          </w:p>
        </w:tc>
        <w:tc>
          <w:tcPr>
            <w:tcW w:w="982" w:type="dxa"/>
            <w:noWrap/>
            <w:hideMark/>
          </w:tcPr>
          <w:p w14:paraId="5D0B1BFA"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3</w:t>
            </w:r>
          </w:p>
        </w:tc>
        <w:tc>
          <w:tcPr>
            <w:tcW w:w="1200" w:type="dxa"/>
            <w:noWrap/>
            <w:hideMark/>
          </w:tcPr>
          <w:p w14:paraId="0E3D285B" w14:textId="77777777" w:rsidR="0085726A" w:rsidRPr="00CA7D07" w:rsidRDefault="0085726A" w:rsidP="00AE5296">
            <w:pPr>
              <w:spacing w:before="100" w:beforeAutospacing="1"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AU" w:eastAsia="en-AU"/>
              </w:rPr>
            </w:pPr>
            <w:r w:rsidRPr="00CA7D07">
              <w:rPr>
                <w:rFonts w:ascii="Arial" w:eastAsia="Times New Roman" w:hAnsi="Arial" w:cs="Arial"/>
                <w:color w:val="000000"/>
                <w:sz w:val="24"/>
                <w:szCs w:val="24"/>
                <w:lang w:val="en-AU" w:eastAsia="en-AU"/>
              </w:rPr>
              <w:t>2%</w:t>
            </w:r>
          </w:p>
        </w:tc>
      </w:tr>
      <w:tr w:rsidR="0085726A" w:rsidRPr="00CA7D07" w14:paraId="2B66B19C" w14:textId="77777777" w:rsidTr="00D966BF">
        <w:trPr>
          <w:trHeight w:val="300"/>
        </w:trPr>
        <w:tc>
          <w:tcPr>
            <w:cnfStyle w:val="001000000000" w:firstRow="0" w:lastRow="0" w:firstColumn="1" w:lastColumn="0" w:oddVBand="0" w:evenVBand="0" w:oddHBand="0" w:evenHBand="0" w:firstRowFirstColumn="0" w:firstRowLastColumn="0" w:lastRowFirstColumn="0" w:lastRowLastColumn="0"/>
            <w:tcW w:w="1470" w:type="dxa"/>
            <w:noWrap/>
            <w:hideMark/>
          </w:tcPr>
          <w:p w14:paraId="083128E3" w14:textId="77777777" w:rsidR="0085726A" w:rsidRPr="00CA7D07" w:rsidRDefault="0085726A" w:rsidP="00AE5296">
            <w:pPr>
              <w:spacing w:before="100" w:beforeAutospacing="1" w:line="360" w:lineRule="auto"/>
              <w:rPr>
                <w:rFonts w:ascii="Arial" w:eastAsia="Times New Roman" w:hAnsi="Arial" w:cs="Arial"/>
                <w:b w:val="0"/>
                <w:bCs w:val="0"/>
                <w:color w:val="000000"/>
                <w:sz w:val="24"/>
                <w:szCs w:val="24"/>
                <w:lang w:val="en-AU" w:eastAsia="en-AU"/>
              </w:rPr>
            </w:pPr>
            <w:r w:rsidRPr="00CA7D07">
              <w:rPr>
                <w:rFonts w:ascii="Arial" w:eastAsia="Times New Roman" w:hAnsi="Arial" w:cs="Arial"/>
                <w:color w:val="000000"/>
                <w:sz w:val="24"/>
                <w:szCs w:val="24"/>
                <w:lang w:val="en-AU" w:eastAsia="en-AU"/>
              </w:rPr>
              <w:t>Total</w:t>
            </w:r>
          </w:p>
        </w:tc>
        <w:tc>
          <w:tcPr>
            <w:tcW w:w="982" w:type="dxa"/>
            <w:noWrap/>
            <w:hideMark/>
          </w:tcPr>
          <w:p w14:paraId="60FA396C"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137</w:t>
            </w:r>
          </w:p>
        </w:tc>
        <w:tc>
          <w:tcPr>
            <w:tcW w:w="1200" w:type="dxa"/>
            <w:noWrap/>
            <w:hideMark/>
          </w:tcPr>
          <w:p w14:paraId="7A79BD79" w14:textId="77777777" w:rsidR="0085726A" w:rsidRPr="00CA7D07" w:rsidRDefault="0085726A" w:rsidP="00AE5296">
            <w:pPr>
              <w:spacing w:before="100" w:beforeAutospacing="1"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4"/>
                <w:szCs w:val="24"/>
                <w:lang w:val="en-AU" w:eastAsia="en-AU"/>
              </w:rPr>
            </w:pPr>
            <w:r w:rsidRPr="00CA7D07">
              <w:rPr>
                <w:rFonts w:ascii="Arial" w:eastAsia="Times New Roman" w:hAnsi="Arial" w:cs="Arial"/>
                <w:b/>
                <w:bCs/>
                <w:color w:val="000000"/>
                <w:sz w:val="24"/>
                <w:szCs w:val="24"/>
                <w:lang w:val="en-AU" w:eastAsia="en-AU"/>
              </w:rPr>
              <w:t>100%</w:t>
            </w:r>
          </w:p>
        </w:tc>
      </w:tr>
    </w:tbl>
    <w:p w14:paraId="7719E9B2" w14:textId="77777777"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The survey asked three simple questions:</w:t>
      </w:r>
    </w:p>
    <w:p w14:paraId="59F99333" w14:textId="79FA0E69" w:rsidR="0085726A" w:rsidRPr="00AE5296" w:rsidRDefault="0085726A" w:rsidP="00AE5296">
      <w:pPr>
        <w:pStyle w:val="ListParagraph"/>
        <w:numPr>
          <w:ilvl w:val="0"/>
          <w:numId w:val="1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What areas of the NDIS work well for your participants and organisation? </w:t>
      </w:r>
    </w:p>
    <w:p w14:paraId="5690F600" w14:textId="6DF24624" w:rsidR="0085726A" w:rsidRPr="00AE5296" w:rsidRDefault="0085726A" w:rsidP="00AE5296">
      <w:pPr>
        <w:pStyle w:val="ListParagraph"/>
        <w:numPr>
          <w:ilvl w:val="0"/>
          <w:numId w:val="1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What areas of the NDIS need to be improved to work better for your participants and organisation? </w:t>
      </w:r>
    </w:p>
    <w:p w14:paraId="59027BF8" w14:textId="63B61601" w:rsidR="0085726A" w:rsidRPr="00AE5296" w:rsidRDefault="0085726A" w:rsidP="00AE5296">
      <w:pPr>
        <w:pStyle w:val="ListParagraph"/>
        <w:numPr>
          <w:ilvl w:val="0"/>
          <w:numId w:val="1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lastRenderedPageBreak/>
        <w:t xml:space="preserve">What do you think would be a 'quick win' to address inefficiencies or waste in the NDIS that would benefit participants and the sector? </w:t>
      </w:r>
    </w:p>
    <w:p w14:paraId="7BA5FE66" w14:textId="3675F472"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Respondents were asked to enter a free text response of less than 150 words. The results along with quotes from those responding </w:t>
      </w:r>
      <w:proofErr w:type="gramStart"/>
      <w:r w:rsidRPr="00AE5296">
        <w:rPr>
          <w:rFonts w:ascii="Arial" w:hAnsi="Arial" w:cs="Arial"/>
          <w:sz w:val="24"/>
          <w:szCs w:val="24"/>
          <w:lang w:val="en-AU"/>
        </w:rPr>
        <w:t>are</w:t>
      </w:r>
      <w:proofErr w:type="gramEnd"/>
      <w:r w:rsidRPr="00AE5296">
        <w:rPr>
          <w:rFonts w:ascii="Arial" w:hAnsi="Arial" w:cs="Arial"/>
          <w:sz w:val="24"/>
          <w:szCs w:val="24"/>
          <w:lang w:val="en-AU"/>
        </w:rPr>
        <w:t xml:space="preserve"> explored below. </w:t>
      </w:r>
    </w:p>
    <w:p w14:paraId="0CF475B7" w14:textId="77777777" w:rsidR="0085726A" w:rsidRPr="00AE5296" w:rsidRDefault="0085726A" w:rsidP="00AE5296">
      <w:pPr>
        <w:pStyle w:val="Heading2"/>
        <w:spacing w:before="100" w:beforeAutospacing="1" w:after="240" w:line="360" w:lineRule="auto"/>
        <w:rPr>
          <w:rFonts w:ascii="Arial" w:hAnsi="Arial" w:cs="Arial"/>
          <w:sz w:val="24"/>
          <w:szCs w:val="24"/>
          <w:lang w:val="en-AU"/>
        </w:rPr>
      </w:pPr>
      <w:bookmarkStart w:id="7" w:name="_Toc127277081"/>
      <w:r w:rsidRPr="00AE5296">
        <w:rPr>
          <w:rFonts w:ascii="Arial" w:hAnsi="Arial" w:cs="Arial"/>
          <w:sz w:val="24"/>
          <w:szCs w:val="24"/>
          <w:lang w:val="en-AU"/>
        </w:rPr>
        <w:t>What areas of the NDIS work well for your participants and organisation?</w:t>
      </w:r>
      <w:bookmarkEnd w:id="7"/>
      <w:r w:rsidRPr="00AE5296">
        <w:rPr>
          <w:rFonts w:ascii="Arial" w:hAnsi="Arial" w:cs="Arial"/>
          <w:sz w:val="24"/>
          <w:szCs w:val="24"/>
          <w:lang w:val="en-AU"/>
        </w:rPr>
        <w:t xml:space="preserve"> </w:t>
      </w:r>
    </w:p>
    <w:p w14:paraId="56100179" w14:textId="7D174F4D"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When asked what was currently working well for the participants that they were supporting and for their organisations, respondents provided a range of views. These have been summarised below. </w:t>
      </w:r>
    </w:p>
    <w:p w14:paraId="5E32B9FA" w14:textId="77777777" w:rsidR="0085726A" w:rsidRPr="00AE5296" w:rsidRDefault="0085726A" w:rsidP="00AE5296">
      <w:pPr>
        <w:spacing w:before="100" w:beforeAutospacing="1" w:after="240" w:line="360" w:lineRule="auto"/>
        <w:rPr>
          <w:rFonts w:ascii="Arial" w:hAnsi="Arial" w:cs="Arial"/>
          <w:b/>
          <w:bCs/>
          <w:sz w:val="24"/>
          <w:szCs w:val="24"/>
          <w:lang w:val="en-AU"/>
        </w:rPr>
      </w:pPr>
      <w:r w:rsidRPr="00AE5296">
        <w:rPr>
          <w:rFonts w:ascii="Arial" w:hAnsi="Arial" w:cs="Arial"/>
          <w:b/>
          <w:bCs/>
          <w:sz w:val="24"/>
          <w:szCs w:val="24"/>
          <w:lang w:val="en-AU"/>
        </w:rPr>
        <w:t>Scheme</w:t>
      </w:r>
    </w:p>
    <w:p w14:paraId="7A8BA8B8" w14:textId="743B54C2"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Choice and control for participants was highlighted frequently by respondents as working well, which has enabled individualised services that meet a participant's unique needs. The philosophy and guiding principles of the NDIS has been successful in linking participants to their community through the application of flexible and individualised funding. Respondents also highlighted the positive impact of the standardisation of processes and systems and improved representation of people with disability on the NDIS Board.</w:t>
      </w:r>
    </w:p>
    <w:p w14:paraId="0CB4E4F3" w14:textId="4F45072E" w:rsidR="0085726A" w:rsidRPr="00AE5296" w:rsidRDefault="0085726A" w:rsidP="00AE5296">
      <w:pPr>
        <w:spacing w:before="100" w:beforeAutospacing="1" w:after="240" w:line="360" w:lineRule="auto"/>
        <w:jc w:val="right"/>
        <w:rPr>
          <w:rFonts w:ascii="Arial" w:hAnsi="Arial" w:cs="Arial"/>
          <w:i/>
          <w:iCs/>
          <w:sz w:val="24"/>
          <w:szCs w:val="24"/>
          <w:lang w:val="en-AU"/>
        </w:rPr>
      </w:pPr>
      <w:r w:rsidRPr="00AE5296">
        <w:rPr>
          <w:rFonts w:ascii="Arial" w:hAnsi="Arial" w:cs="Arial"/>
          <w:i/>
          <w:iCs/>
          <w:sz w:val="24"/>
          <w:szCs w:val="24"/>
          <w:lang w:val="en-AU"/>
        </w:rPr>
        <w:t xml:space="preserve">“The NDIS concept itself is a good one and when everything works as it should it changes lives. A long overdue response to the needs of people living with </w:t>
      </w:r>
      <w:proofErr w:type="gramStart"/>
      <w:r w:rsidRPr="00AE5296">
        <w:rPr>
          <w:rFonts w:ascii="Arial" w:hAnsi="Arial" w:cs="Arial"/>
          <w:i/>
          <w:iCs/>
          <w:sz w:val="24"/>
          <w:szCs w:val="24"/>
          <w:lang w:val="en-AU"/>
        </w:rPr>
        <w:t>disability”</w:t>
      </w:r>
      <w:proofErr w:type="gramEnd"/>
    </w:p>
    <w:p w14:paraId="5AD4968D" w14:textId="77777777" w:rsidR="0085726A" w:rsidRPr="00AE5296" w:rsidRDefault="0085726A" w:rsidP="00AE5296">
      <w:pPr>
        <w:spacing w:before="100" w:beforeAutospacing="1" w:after="240" w:line="360" w:lineRule="auto"/>
        <w:rPr>
          <w:rFonts w:ascii="Arial" w:hAnsi="Arial" w:cs="Arial"/>
          <w:b/>
          <w:bCs/>
          <w:sz w:val="24"/>
          <w:szCs w:val="24"/>
          <w:lang w:val="en-AU"/>
        </w:rPr>
      </w:pPr>
      <w:r w:rsidRPr="00AE5296">
        <w:rPr>
          <w:rFonts w:ascii="Arial" w:hAnsi="Arial" w:cs="Arial"/>
          <w:b/>
          <w:bCs/>
          <w:sz w:val="24"/>
          <w:szCs w:val="24"/>
          <w:lang w:val="en-AU"/>
        </w:rPr>
        <w:t xml:space="preserve">Supports </w:t>
      </w:r>
    </w:p>
    <w:p w14:paraId="13FAFF0F" w14:textId="3EFCFE8A" w:rsidR="0085726A" w:rsidRPr="00AE5296" w:rsidRDefault="0085726A" w:rsidP="00AE5296">
      <w:pPr>
        <w:spacing w:before="100" w:beforeAutospacing="1" w:after="240" w:line="360" w:lineRule="auto"/>
        <w:jc w:val="right"/>
        <w:rPr>
          <w:rFonts w:ascii="Arial" w:hAnsi="Arial" w:cs="Arial"/>
          <w:i/>
          <w:iCs/>
          <w:sz w:val="24"/>
          <w:szCs w:val="24"/>
          <w:lang w:val="en-AU"/>
        </w:rPr>
      </w:pPr>
      <w:r w:rsidRPr="00AE5296">
        <w:rPr>
          <w:rFonts w:ascii="Arial" w:hAnsi="Arial" w:cs="Arial"/>
          <w:i/>
          <w:iCs/>
          <w:sz w:val="24"/>
          <w:szCs w:val="24"/>
          <w:lang w:val="en-AU" w:eastAsia="en-AU"/>
        </w:rPr>
        <w:t xml:space="preserve">“For some individuals, the NDIS has opened up new and exciting opportunities in their chosen </w:t>
      </w:r>
      <w:proofErr w:type="gramStart"/>
      <w:r w:rsidRPr="00AE5296">
        <w:rPr>
          <w:rFonts w:ascii="Arial" w:hAnsi="Arial" w:cs="Arial"/>
          <w:i/>
          <w:iCs/>
          <w:sz w:val="24"/>
          <w:szCs w:val="24"/>
          <w:lang w:val="en-AU" w:eastAsia="en-AU"/>
        </w:rPr>
        <w:t>communities”</w:t>
      </w:r>
      <w:proofErr w:type="gramEnd"/>
    </w:p>
    <w:p w14:paraId="135A22D0" w14:textId="2E0CA90C"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Respondents suggest access to specialised supports and services has improved for people with disability because of the NDIS, including access to therapy and equipment needs, employment supports, support coordination, group supports and day programs, funding for behaviour support practitioners and overall, better supports available for </w:t>
      </w:r>
      <w:r w:rsidRPr="00AE5296">
        <w:rPr>
          <w:rFonts w:ascii="Arial" w:hAnsi="Arial" w:cs="Arial"/>
          <w:sz w:val="24"/>
          <w:szCs w:val="24"/>
          <w:lang w:val="en-AU"/>
        </w:rPr>
        <w:lastRenderedPageBreak/>
        <w:t>people in remote areas. Longer term plans, when approved, are working well in addition to planning for participants with stable needs.</w:t>
      </w:r>
    </w:p>
    <w:p w14:paraId="26804F22" w14:textId="426B86A4" w:rsidR="0085726A" w:rsidRPr="00AE5296" w:rsidRDefault="0085726A" w:rsidP="00AE5296">
      <w:pPr>
        <w:spacing w:before="100" w:beforeAutospacing="1" w:after="240" w:line="360" w:lineRule="auto"/>
        <w:jc w:val="right"/>
        <w:rPr>
          <w:rFonts w:ascii="Arial" w:hAnsi="Arial" w:cs="Arial"/>
          <w:i/>
          <w:iCs/>
          <w:sz w:val="24"/>
          <w:szCs w:val="24"/>
          <w:lang w:val="en-AU"/>
        </w:rPr>
      </w:pPr>
      <w:r w:rsidRPr="00AE5296">
        <w:rPr>
          <w:rFonts w:ascii="Arial" w:hAnsi="Arial" w:cs="Arial"/>
          <w:i/>
          <w:iCs/>
          <w:sz w:val="24"/>
          <w:szCs w:val="24"/>
          <w:lang w:val="en-AU" w:eastAsia="en-AU"/>
        </w:rPr>
        <w:t xml:space="preserve">“When budgets are stable and can be predicted into the foreseeable future, participants and their providers settle into a pattern of support and enjoy productive relationships and </w:t>
      </w:r>
      <w:proofErr w:type="gramStart"/>
      <w:r w:rsidRPr="00AE5296">
        <w:rPr>
          <w:rFonts w:ascii="Arial" w:hAnsi="Arial" w:cs="Arial"/>
          <w:i/>
          <w:iCs/>
          <w:sz w:val="24"/>
          <w:szCs w:val="24"/>
          <w:lang w:val="en-AU" w:eastAsia="en-AU"/>
        </w:rPr>
        <w:t>outcomes”</w:t>
      </w:r>
      <w:proofErr w:type="gramEnd"/>
    </w:p>
    <w:p w14:paraId="03F636DF" w14:textId="77777777" w:rsidR="0085726A" w:rsidRPr="00AE5296" w:rsidRDefault="0085726A" w:rsidP="00AE5296">
      <w:pPr>
        <w:spacing w:before="100" w:beforeAutospacing="1" w:after="240" w:line="360" w:lineRule="auto"/>
        <w:rPr>
          <w:rFonts w:ascii="Arial" w:hAnsi="Arial" w:cs="Arial"/>
          <w:b/>
          <w:bCs/>
          <w:sz w:val="24"/>
          <w:szCs w:val="24"/>
          <w:lang w:val="en-AU"/>
        </w:rPr>
      </w:pPr>
      <w:r w:rsidRPr="00AE5296">
        <w:rPr>
          <w:rFonts w:ascii="Arial" w:hAnsi="Arial" w:cs="Arial"/>
          <w:b/>
          <w:bCs/>
          <w:sz w:val="24"/>
          <w:szCs w:val="24"/>
          <w:lang w:val="en-AU"/>
        </w:rPr>
        <w:t xml:space="preserve">Providers </w:t>
      </w:r>
    </w:p>
    <w:p w14:paraId="34555FA2" w14:textId="2BB3BC3D"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Cooperation between providers to support participants to get the best outcome for people with disability was raised by respondents as working well, in addition to the ability to navigate the NDIS and other support systems. Some respondents expressed that a national approach to compliance and oversight through the NDIS Quality and Safeguards Commission (NDIS Commission) has worked well, while others noted that efficiency in payment and claiming processes through the NDIA have improved. Access to COVID payments and supports were also viewed positively. </w:t>
      </w:r>
    </w:p>
    <w:p w14:paraId="758893CB" w14:textId="548902BE" w:rsidR="0085726A" w:rsidRPr="00AE5296" w:rsidRDefault="0085726A" w:rsidP="00AE5296">
      <w:pPr>
        <w:spacing w:before="100" w:beforeAutospacing="1" w:after="240" w:line="360" w:lineRule="auto"/>
        <w:jc w:val="right"/>
        <w:rPr>
          <w:rFonts w:ascii="Arial" w:hAnsi="Arial" w:cs="Arial"/>
          <w:i/>
          <w:iCs/>
          <w:sz w:val="24"/>
          <w:szCs w:val="24"/>
          <w:lang w:val="en-AU" w:eastAsia="en-AU"/>
        </w:rPr>
      </w:pPr>
      <w:proofErr w:type="gramStart"/>
      <w:r w:rsidRPr="00AE5296">
        <w:rPr>
          <w:rFonts w:ascii="Arial" w:hAnsi="Arial" w:cs="Arial"/>
          <w:i/>
          <w:iCs/>
          <w:sz w:val="24"/>
          <w:szCs w:val="24"/>
          <w:lang w:val="en-AU" w:eastAsia="en-AU"/>
        </w:rPr>
        <w:t>“Generally speaking, our</w:t>
      </w:r>
      <w:proofErr w:type="gramEnd"/>
      <w:r w:rsidRPr="00AE5296">
        <w:rPr>
          <w:rFonts w:ascii="Arial" w:hAnsi="Arial" w:cs="Arial"/>
          <w:i/>
          <w:iCs/>
          <w:sz w:val="24"/>
          <w:szCs w:val="24"/>
          <w:lang w:val="en-AU" w:eastAsia="en-AU"/>
        </w:rPr>
        <w:t xml:space="preserve"> participants have been able to access a whole range of more diverse supports under the scheme which has improved their quality of life.  The scheme has also forced providers to think beyond the areas of supports they previously provided to focus more on the needs and choices of </w:t>
      </w:r>
      <w:proofErr w:type="gramStart"/>
      <w:r w:rsidRPr="00AE5296">
        <w:rPr>
          <w:rFonts w:ascii="Arial" w:hAnsi="Arial" w:cs="Arial"/>
          <w:i/>
          <w:iCs/>
          <w:sz w:val="24"/>
          <w:szCs w:val="24"/>
          <w:lang w:val="en-AU" w:eastAsia="en-AU"/>
        </w:rPr>
        <w:t>participants”</w:t>
      </w:r>
      <w:proofErr w:type="gramEnd"/>
    </w:p>
    <w:p w14:paraId="14156E56" w14:textId="3C41E152"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eastAsia="en-AU"/>
        </w:rPr>
        <w:t>Key areas of the NDIS that work well for participants and organisations identified were:</w:t>
      </w:r>
    </w:p>
    <w:p w14:paraId="15369BDB" w14:textId="466DED37" w:rsidR="0085726A" w:rsidRPr="00AE5296" w:rsidRDefault="0085726A" w:rsidP="00AE5296">
      <w:pPr>
        <w:pStyle w:val="ListParagraph"/>
        <w:numPr>
          <w:ilvl w:val="0"/>
          <w:numId w:val="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Choice and control for participants </w:t>
      </w:r>
    </w:p>
    <w:p w14:paraId="6B05E664" w14:textId="02323C70" w:rsidR="0085726A" w:rsidRPr="00AE5296" w:rsidRDefault="0085726A" w:rsidP="00AE5296">
      <w:pPr>
        <w:pStyle w:val="ListParagraph"/>
        <w:numPr>
          <w:ilvl w:val="0"/>
          <w:numId w:val="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Flexible and individualised funding </w:t>
      </w:r>
    </w:p>
    <w:p w14:paraId="5C646F41" w14:textId="5C4545EA" w:rsidR="0085726A" w:rsidRPr="00AE5296" w:rsidRDefault="0085726A" w:rsidP="00AE5296">
      <w:pPr>
        <w:pStyle w:val="ListParagraph"/>
        <w:numPr>
          <w:ilvl w:val="0"/>
          <w:numId w:val="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Longer term plans (when approved) </w:t>
      </w:r>
    </w:p>
    <w:p w14:paraId="140D043B" w14:textId="689808CF" w:rsidR="0085726A" w:rsidRPr="00AE5296" w:rsidRDefault="0085726A" w:rsidP="00AE5296">
      <w:pPr>
        <w:pStyle w:val="ListParagraph"/>
        <w:numPr>
          <w:ilvl w:val="0"/>
          <w:numId w:val="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Philosophy and guiding principles of the NDIS </w:t>
      </w:r>
    </w:p>
    <w:p w14:paraId="52680953" w14:textId="34704E46" w:rsidR="0085726A" w:rsidRPr="00AE5296" w:rsidRDefault="0085726A" w:rsidP="00AE5296">
      <w:pPr>
        <w:pStyle w:val="ListParagraph"/>
        <w:numPr>
          <w:ilvl w:val="0"/>
          <w:numId w:val="4"/>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Access to specialised supports and services. </w:t>
      </w:r>
    </w:p>
    <w:p w14:paraId="3632E1D3" w14:textId="77777777" w:rsidR="0085726A" w:rsidRPr="00AE5296" w:rsidRDefault="0085726A" w:rsidP="00AE5296">
      <w:pPr>
        <w:pStyle w:val="Heading2"/>
        <w:spacing w:before="100" w:beforeAutospacing="1" w:after="240" w:line="360" w:lineRule="auto"/>
        <w:rPr>
          <w:rFonts w:ascii="Arial" w:hAnsi="Arial" w:cs="Arial"/>
          <w:sz w:val="24"/>
          <w:szCs w:val="24"/>
          <w:lang w:val="en-AU"/>
        </w:rPr>
      </w:pPr>
      <w:bookmarkStart w:id="8" w:name="_Toc127277082"/>
      <w:r w:rsidRPr="00AE5296">
        <w:rPr>
          <w:rFonts w:ascii="Arial" w:hAnsi="Arial" w:cs="Arial"/>
          <w:sz w:val="24"/>
          <w:szCs w:val="24"/>
          <w:lang w:val="en-AU"/>
        </w:rPr>
        <w:lastRenderedPageBreak/>
        <w:t>What areas of the NDIS need to be improved to work better for your participants and organisation?</w:t>
      </w:r>
      <w:bookmarkEnd w:id="8"/>
      <w:r w:rsidRPr="00AE5296">
        <w:rPr>
          <w:rFonts w:ascii="Arial" w:hAnsi="Arial" w:cs="Arial"/>
          <w:sz w:val="24"/>
          <w:szCs w:val="24"/>
          <w:lang w:val="en-AU"/>
        </w:rPr>
        <w:t xml:space="preserve"> </w:t>
      </w:r>
    </w:p>
    <w:p w14:paraId="29646573" w14:textId="42B77891"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Providers responding to the survey were also asked what needed to improve for the NDIS to work better for the participants that they support and for their organisations. The key areas identified are summarised below. </w:t>
      </w:r>
    </w:p>
    <w:p w14:paraId="26F48356" w14:textId="0B94C486" w:rsidR="0085726A" w:rsidRPr="00AE5296" w:rsidRDefault="0085726A" w:rsidP="00AE5296">
      <w:pPr>
        <w:spacing w:before="100" w:beforeAutospacing="1" w:after="240" w:line="360" w:lineRule="auto"/>
        <w:rPr>
          <w:rFonts w:ascii="Arial" w:hAnsi="Arial" w:cs="Arial"/>
          <w:b/>
          <w:bCs/>
          <w:sz w:val="24"/>
          <w:szCs w:val="24"/>
          <w:lang w:val="en-AU"/>
        </w:rPr>
      </w:pPr>
      <w:r w:rsidRPr="00AE5296">
        <w:rPr>
          <w:rFonts w:ascii="Arial" w:hAnsi="Arial" w:cs="Arial"/>
          <w:b/>
          <w:bCs/>
          <w:sz w:val="24"/>
          <w:szCs w:val="24"/>
          <w:lang w:val="en-AU"/>
        </w:rPr>
        <w:t>Scheme</w:t>
      </w:r>
    </w:p>
    <w:p w14:paraId="386825E9" w14:textId="40A9E1AA"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The survey revealed that respondents do not feel that the NDIS provides appropriate funding and supports to marginalised groups, e.g., participants with psychosocial disability, First Nations and culturally and linguistically diverse people with disability. Respondents identified</w:t>
      </w:r>
      <w:r w:rsidRPr="00AE5296" w:rsidDel="00C757B7">
        <w:rPr>
          <w:rFonts w:ascii="Arial" w:hAnsi="Arial" w:cs="Arial"/>
          <w:sz w:val="24"/>
          <w:szCs w:val="24"/>
          <w:lang w:val="en-AU"/>
        </w:rPr>
        <w:t xml:space="preserve"> </w:t>
      </w:r>
      <w:r w:rsidRPr="00AE5296">
        <w:rPr>
          <w:rFonts w:ascii="Arial" w:hAnsi="Arial" w:cs="Arial"/>
          <w:sz w:val="24"/>
          <w:szCs w:val="24"/>
          <w:lang w:val="en-AU"/>
        </w:rPr>
        <w:t>that NDIA staff need more training to provide consistent advice to participants and providers, and Planners and Partners in the Community need skills to understand real support needs and assist in advocating for participants’ needs more effectively.</w:t>
      </w:r>
    </w:p>
    <w:p w14:paraId="26CFEE19" w14:textId="0A932DA2" w:rsidR="0085726A" w:rsidRPr="00AE5296" w:rsidRDefault="0085726A" w:rsidP="00AE5296">
      <w:pPr>
        <w:spacing w:before="100" w:beforeAutospacing="1" w:after="240" w:line="360" w:lineRule="auto"/>
        <w:jc w:val="right"/>
        <w:rPr>
          <w:rFonts w:ascii="Arial" w:eastAsia="Times New Roman" w:hAnsi="Arial" w:cs="Arial"/>
          <w:i/>
          <w:iCs/>
          <w:color w:val="000000"/>
          <w:sz w:val="24"/>
          <w:szCs w:val="24"/>
          <w:lang w:val="en-AU" w:eastAsia="en-AU"/>
        </w:rPr>
      </w:pPr>
      <w:r w:rsidRPr="00AE5296">
        <w:rPr>
          <w:rFonts w:ascii="Arial" w:eastAsia="Times New Roman" w:hAnsi="Arial" w:cs="Arial"/>
          <w:i/>
          <w:iCs/>
          <w:color w:val="000000"/>
          <w:sz w:val="24"/>
          <w:szCs w:val="24"/>
          <w:lang w:val="en-AU" w:eastAsia="en-AU"/>
        </w:rPr>
        <w:t xml:space="preserve">“Supports need to be outcome focused with appropriate training opportunities and accountability measures embedded into support </w:t>
      </w:r>
      <w:proofErr w:type="gramStart"/>
      <w:r w:rsidRPr="00AE5296">
        <w:rPr>
          <w:rFonts w:ascii="Arial" w:eastAsia="Times New Roman" w:hAnsi="Arial" w:cs="Arial"/>
          <w:i/>
          <w:iCs/>
          <w:color w:val="000000"/>
          <w:sz w:val="24"/>
          <w:szCs w:val="24"/>
          <w:lang w:val="en-AU" w:eastAsia="en-AU"/>
        </w:rPr>
        <w:t>provision”</w:t>
      </w:r>
      <w:proofErr w:type="gramEnd"/>
      <w:r w:rsidRPr="00AE5296">
        <w:rPr>
          <w:rFonts w:ascii="Arial" w:eastAsia="Times New Roman" w:hAnsi="Arial" w:cs="Arial"/>
          <w:i/>
          <w:iCs/>
          <w:color w:val="000000"/>
          <w:sz w:val="24"/>
          <w:szCs w:val="24"/>
          <w:lang w:val="en-AU" w:eastAsia="en-AU"/>
        </w:rPr>
        <w:t xml:space="preserve"> </w:t>
      </w:r>
    </w:p>
    <w:p w14:paraId="02C85F6E" w14:textId="5005716F"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Respondents frequently stated that the Scheme is too complex and should be simplified and more predictable for providers and participants alike. Several areas for improvement were highlighted including that participants and providers should each have a single point of contact with the NDIS; transparency in tribunal process; improved response times from the NDIA; turnaround of AAT requests; and ensuring external review outcomes (including AAT) lead to changes in practice and decision making.</w:t>
      </w:r>
    </w:p>
    <w:p w14:paraId="3E26A448" w14:textId="78B7958D"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Most importantly, respondents called out the need for greater consistency in decision making across the Scheme. Specifically, respondents highlighted that there needs to be better consistency in planning decisions (particularly Specialist Disability Accommodation and Supported Independent Living) and uniform interpretation of NDIS eligibility, application of reasonable and necessary supports, operational </w:t>
      </w:r>
      <w:proofErr w:type="gramStart"/>
      <w:r w:rsidRPr="00AE5296">
        <w:rPr>
          <w:rFonts w:ascii="Arial" w:hAnsi="Arial" w:cs="Arial"/>
          <w:sz w:val="24"/>
          <w:szCs w:val="24"/>
          <w:lang w:val="en-AU"/>
        </w:rPr>
        <w:t>policies</w:t>
      </w:r>
      <w:proofErr w:type="gramEnd"/>
      <w:r w:rsidRPr="00AE5296">
        <w:rPr>
          <w:rFonts w:ascii="Arial" w:hAnsi="Arial" w:cs="Arial"/>
          <w:sz w:val="24"/>
          <w:szCs w:val="24"/>
          <w:lang w:val="en-AU"/>
        </w:rPr>
        <w:t xml:space="preserve"> and practices within the NDIA to ensure transparency and accountably in decision making. </w:t>
      </w:r>
      <w:r w:rsidRPr="00AE5296">
        <w:rPr>
          <w:rFonts w:ascii="Arial" w:hAnsi="Arial" w:cs="Arial"/>
          <w:sz w:val="24"/>
          <w:szCs w:val="24"/>
          <w:lang w:val="en-AU"/>
        </w:rPr>
        <w:lastRenderedPageBreak/>
        <w:t xml:space="preserve">Respondents raised that imbalances in funding packages need to be addressed and plan approval and review processes need to be faster, more consistent and with greater participant consultation, including participants having the opportunity to review their draft plan and provide feedback before the plan is 'approved'. </w:t>
      </w:r>
    </w:p>
    <w:p w14:paraId="4E282EB6" w14:textId="0DB79E1B" w:rsidR="0085726A" w:rsidRPr="00AE5296" w:rsidRDefault="0085726A" w:rsidP="00AE5296">
      <w:pPr>
        <w:spacing w:before="100" w:beforeAutospacing="1" w:after="240" w:line="360" w:lineRule="auto"/>
        <w:jc w:val="right"/>
        <w:rPr>
          <w:rFonts w:ascii="Arial" w:eastAsia="Times New Roman" w:hAnsi="Arial" w:cs="Arial"/>
          <w:i/>
          <w:iCs/>
          <w:color w:val="000000"/>
          <w:sz w:val="24"/>
          <w:szCs w:val="24"/>
          <w:lang w:val="en-AU" w:eastAsia="en-AU"/>
        </w:rPr>
      </w:pPr>
      <w:r w:rsidRPr="00AE5296">
        <w:rPr>
          <w:rFonts w:ascii="Arial" w:eastAsia="Times New Roman" w:hAnsi="Arial" w:cs="Arial"/>
          <w:i/>
          <w:iCs/>
          <w:color w:val="000000"/>
          <w:sz w:val="24"/>
          <w:szCs w:val="24"/>
          <w:lang w:val="en-AU" w:eastAsia="en-AU"/>
        </w:rPr>
        <w:t xml:space="preserve">“Transparency, relevant guiding information in terms of changes to policy and practice by the NDIA. The shifts in practices from the Agency around plans, funding, assessments have been ad hoc. The is a lack of policy direction, </w:t>
      </w:r>
      <w:proofErr w:type="gramStart"/>
      <w:r w:rsidRPr="00AE5296">
        <w:rPr>
          <w:rFonts w:ascii="Arial" w:eastAsia="Times New Roman" w:hAnsi="Arial" w:cs="Arial"/>
          <w:i/>
          <w:iCs/>
          <w:color w:val="000000"/>
          <w:sz w:val="24"/>
          <w:szCs w:val="24"/>
          <w:lang w:val="en-AU" w:eastAsia="en-AU"/>
        </w:rPr>
        <w:t>guidelines</w:t>
      </w:r>
      <w:proofErr w:type="gramEnd"/>
      <w:r w:rsidRPr="00AE5296">
        <w:rPr>
          <w:rFonts w:ascii="Arial" w:eastAsia="Times New Roman" w:hAnsi="Arial" w:cs="Arial"/>
          <w:i/>
          <w:iCs/>
          <w:color w:val="000000"/>
          <w:sz w:val="24"/>
          <w:szCs w:val="24"/>
          <w:lang w:val="en-AU" w:eastAsia="en-AU"/>
        </w:rPr>
        <w:t xml:space="preserve"> and consistency. Additionally, there has been little transparency and engagement with participants and their support networks leaving providers to fill this space. It is difficult to run an organisation sustainably if the goalposts are constantly shifting, there is no connection between quality and compliance regulation and plan/funding </w:t>
      </w:r>
      <w:proofErr w:type="gramStart"/>
      <w:r w:rsidRPr="00AE5296">
        <w:rPr>
          <w:rFonts w:ascii="Arial" w:eastAsia="Times New Roman" w:hAnsi="Arial" w:cs="Arial"/>
          <w:i/>
          <w:iCs/>
          <w:color w:val="000000"/>
          <w:sz w:val="24"/>
          <w:szCs w:val="24"/>
          <w:lang w:val="en-AU" w:eastAsia="en-AU"/>
        </w:rPr>
        <w:t>decisions”</w:t>
      </w:r>
      <w:proofErr w:type="gramEnd"/>
      <w:r w:rsidRPr="00AE5296">
        <w:rPr>
          <w:rFonts w:ascii="Arial" w:eastAsia="Times New Roman" w:hAnsi="Arial" w:cs="Arial"/>
          <w:i/>
          <w:iCs/>
          <w:color w:val="000000"/>
          <w:sz w:val="24"/>
          <w:szCs w:val="24"/>
          <w:lang w:val="en-AU" w:eastAsia="en-AU"/>
        </w:rPr>
        <w:t xml:space="preserve"> </w:t>
      </w:r>
    </w:p>
    <w:p w14:paraId="01B6F0B2" w14:textId="77777777" w:rsidR="0085726A" w:rsidRPr="00AE5296" w:rsidRDefault="0085726A" w:rsidP="00AE5296">
      <w:pPr>
        <w:spacing w:before="100" w:beforeAutospacing="1" w:after="240" w:line="360" w:lineRule="auto"/>
        <w:rPr>
          <w:rFonts w:ascii="Arial" w:hAnsi="Arial" w:cs="Arial"/>
          <w:b/>
          <w:bCs/>
          <w:sz w:val="24"/>
          <w:szCs w:val="24"/>
          <w:lang w:val="en-AU"/>
        </w:rPr>
      </w:pPr>
      <w:r w:rsidRPr="00AE5296">
        <w:rPr>
          <w:rFonts w:ascii="Arial" w:hAnsi="Arial" w:cs="Arial"/>
          <w:b/>
          <w:bCs/>
          <w:sz w:val="24"/>
          <w:szCs w:val="24"/>
          <w:lang w:val="en-AU"/>
        </w:rPr>
        <w:t xml:space="preserve">Supports </w:t>
      </w:r>
    </w:p>
    <w:p w14:paraId="36DBDB83" w14:textId="77777777" w:rsidR="0085726A" w:rsidRPr="00AE5296" w:rsidRDefault="0085726A" w:rsidP="00AE5296">
      <w:pPr>
        <w:spacing w:before="100" w:beforeAutospacing="1" w:after="240" w:line="360" w:lineRule="auto"/>
        <w:jc w:val="right"/>
        <w:rPr>
          <w:rFonts w:ascii="Arial" w:eastAsia="Times New Roman" w:hAnsi="Arial" w:cs="Arial"/>
          <w:i/>
          <w:iCs/>
          <w:color w:val="000000"/>
          <w:sz w:val="24"/>
          <w:szCs w:val="24"/>
          <w:lang w:val="en-AU" w:eastAsia="en-AU"/>
        </w:rPr>
      </w:pPr>
      <w:r w:rsidRPr="00AE5296">
        <w:rPr>
          <w:rFonts w:ascii="Arial" w:eastAsia="Times New Roman" w:hAnsi="Arial" w:cs="Arial"/>
          <w:i/>
          <w:iCs/>
          <w:color w:val="000000"/>
          <w:sz w:val="24"/>
          <w:szCs w:val="24"/>
          <w:lang w:val="en-AU" w:eastAsia="en-AU"/>
        </w:rPr>
        <w:t xml:space="preserve">“Implementing draft plans would be a quick win, as was recommended from the Tune review. During the planning process, if a draft plan is made available to be discussed, it could improve planning outcomes and lead to less internal and external reviews. Any blaring omissions or mistakes can be rectified and discussed in the planning </w:t>
      </w:r>
      <w:proofErr w:type="gramStart"/>
      <w:r w:rsidRPr="00AE5296">
        <w:rPr>
          <w:rFonts w:ascii="Arial" w:eastAsia="Times New Roman" w:hAnsi="Arial" w:cs="Arial"/>
          <w:i/>
          <w:iCs/>
          <w:color w:val="000000"/>
          <w:sz w:val="24"/>
          <w:szCs w:val="24"/>
          <w:lang w:val="en-AU" w:eastAsia="en-AU"/>
        </w:rPr>
        <w:t>meeting”</w:t>
      </w:r>
      <w:proofErr w:type="gramEnd"/>
    </w:p>
    <w:p w14:paraId="7B757B86" w14:textId="09EE9988"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Respondents were clear that supports and funding should be outcomes focussed and appropriate training and accountability measures should be embedded into support provision. More structure and transparency are needed for participants and providers around the management of funds and increased flexibility would allow providers to work in a culturally safe way. Respondents identified the need for increased supports for people to navigate the NDIS, understand planning processes and engage effectively with the provider market. Better support for participants (particularly those experiencing intersectionality) with underutilised plans to ensure funding meets their needs was also noted as an improvement. </w:t>
      </w:r>
    </w:p>
    <w:p w14:paraId="0251E984" w14:textId="2184AFE1"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The need for longer term supports and plans was highlighted by several respondents, including the increased need for support coordination to improve efficiencies and consistency in decision making. Greater inclusion and alignment of employment </w:t>
      </w:r>
      <w:r w:rsidRPr="00AE5296">
        <w:rPr>
          <w:rFonts w:ascii="Arial" w:hAnsi="Arial" w:cs="Arial"/>
          <w:sz w:val="24"/>
          <w:szCs w:val="24"/>
          <w:lang w:val="en-AU"/>
        </w:rPr>
        <w:lastRenderedPageBreak/>
        <w:t xml:space="preserve">outcomes for people with disability was identified as an improvement opportunity for the Scheme, enabling organisations to provide better supports for participants into employment that reflects good practice. </w:t>
      </w:r>
    </w:p>
    <w:p w14:paraId="68C6368B" w14:textId="445F97AE" w:rsidR="0085726A" w:rsidRPr="00AE5296" w:rsidRDefault="0085726A" w:rsidP="00AE5296">
      <w:pPr>
        <w:spacing w:before="100" w:beforeAutospacing="1" w:after="240" w:line="360" w:lineRule="auto"/>
        <w:jc w:val="right"/>
        <w:rPr>
          <w:rFonts w:ascii="Arial" w:eastAsia="Times New Roman" w:hAnsi="Arial" w:cs="Arial"/>
          <w:i/>
          <w:iCs/>
          <w:color w:val="000000"/>
          <w:sz w:val="24"/>
          <w:szCs w:val="24"/>
          <w:lang w:val="en-AU" w:eastAsia="en-AU"/>
        </w:rPr>
      </w:pPr>
      <w:r w:rsidRPr="00AE5296">
        <w:rPr>
          <w:rFonts w:ascii="Arial" w:eastAsia="Times New Roman" w:hAnsi="Arial" w:cs="Arial"/>
          <w:i/>
          <w:iCs/>
          <w:color w:val="000000"/>
          <w:sz w:val="24"/>
          <w:szCs w:val="24"/>
          <w:lang w:val="en-AU" w:eastAsia="en-AU"/>
        </w:rPr>
        <w:t xml:space="preserve">“The imbalance of funding packages needs to be addressed. While uniform slide rule calculations are not suited, packages based on outcome deliverables would assist those that want more from their </w:t>
      </w:r>
      <w:proofErr w:type="gramStart"/>
      <w:r w:rsidRPr="00AE5296">
        <w:rPr>
          <w:rFonts w:ascii="Arial" w:eastAsia="Times New Roman" w:hAnsi="Arial" w:cs="Arial"/>
          <w:i/>
          <w:iCs/>
          <w:color w:val="000000"/>
          <w:sz w:val="24"/>
          <w:szCs w:val="24"/>
          <w:lang w:val="en-AU" w:eastAsia="en-AU"/>
        </w:rPr>
        <w:t>plan”</w:t>
      </w:r>
      <w:proofErr w:type="gramEnd"/>
      <w:r w:rsidRPr="00AE5296">
        <w:rPr>
          <w:rFonts w:ascii="Arial" w:eastAsia="Times New Roman" w:hAnsi="Arial" w:cs="Arial"/>
          <w:i/>
          <w:iCs/>
          <w:color w:val="000000"/>
          <w:sz w:val="24"/>
          <w:szCs w:val="24"/>
          <w:lang w:val="en-AU" w:eastAsia="en-AU"/>
        </w:rPr>
        <w:t xml:space="preserve"> </w:t>
      </w:r>
    </w:p>
    <w:p w14:paraId="5B174BF9" w14:textId="77777777" w:rsidR="0085726A" w:rsidRPr="00AE5296" w:rsidRDefault="0085726A" w:rsidP="00AE5296">
      <w:pPr>
        <w:spacing w:before="100" w:beforeAutospacing="1" w:after="240" w:line="360" w:lineRule="auto"/>
        <w:rPr>
          <w:rFonts w:ascii="Arial" w:hAnsi="Arial" w:cs="Arial"/>
          <w:b/>
          <w:bCs/>
          <w:sz w:val="24"/>
          <w:szCs w:val="24"/>
          <w:lang w:val="en-AU"/>
        </w:rPr>
      </w:pPr>
      <w:r w:rsidRPr="00AE5296">
        <w:rPr>
          <w:rFonts w:ascii="Arial" w:hAnsi="Arial" w:cs="Arial"/>
          <w:b/>
          <w:bCs/>
          <w:sz w:val="24"/>
          <w:szCs w:val="24"/>
          <w:lang w:val="en-AU"/>
        </w:rPr>
        <w:t xml:space="preserve">Providers </w:t>
      </w:r>
    </w:p>
    <w:p w14:paraId="058166EF" w14:textId="30422CA3" w:rsidR="0085726A" w:rsidRPr="00AE5296" w:rsidRDefault="0085726A" w:rsidP="00AE5296">
      <w:pPr>
        <w:spacing w:before="100" w:beforeAutospacing="1" w:after="240" w:line="360" w:lineRule="auto"/>
        <w:jc w:val="right"/>
        <w:rPr>
          <w:rFonts w:ascii="Arial" w:eastAsia="Times New Roman" w:hAnsi="Arial" w:cs="Arial"/>
          <w:i/>
          <w:iCs/>
          <w:color w:val="000000"/>
          <w:sz w:val="24"/>
          <w:szCs w:val="24"/>
          <w:lang w:val="en-AU" w:eastAsia="en-AU"/>
        </w:rPr>
      </w:pPr>
      <w:r w:rsidRPr="00AE5296">
        <w:rPr>
          <w:rFonts w:ascii="Arial" w:eastAsia="Times New Roman" w:hAnsi="Arial" w:cs="Arial"/>
          <w:i/>
          <w:iCs/>
          <w:color w:val="000000"/>
          <w:sz w:val="24"/>
          <w:szCs w:val="24"/>
          <w:lang w:val="en-AU" w:eastAsia="en-AU"/>
        </w:rPr>
        <w:t xml:space="preserve">“Pricing that takes in to account the true cost of service delivery, which include training and development of direct support staff, and adequate leadership and supervision ratios. Pricing also needs to take in to account the extremely high cost of compliance and safeguarding of </w:t>
      </w:r>
      <w:proofErr w:type="gramStart"/>
      <w:r w:rsidRPr="00AE5296">
        <w:rPr>
          <w:rFonts w:ascii="Arial" w:eastAsia="Times New Roman" w:hAnsi="Arial" w:cs="Arial"/>
          <w:i/>
          <w:iCs/>
          <w:color w:val="000000"/>
          <w:sz w:val="24"/>
          <w:szCs w:val="24"/>
          <w:lang w:val="en-AU" w:eastAsia="en-AU"/>
        </w:rPr>
        <w:t>clients”</w:t>
      </w:r>
      <w:proofErr w:type="gramEnd"/>
    </w:p>
    <w:p w14:paraId="154275F0" w14:textId="318FF9EC"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For the NDIS to improve, respondents raised several issues including pricing, workforce shortages, instances of overcharging, fraud and unnecessary and duplicative compliance processes that makes it difficult to continue to operate efficiently and effectively. Respondents call for the NDIA to consider providers' expert recommendations and assessments with some commenting that even when reports are commissioned by the NDIA, the recommendations are ignored.</w:t>
      </w:r>
    </w:p>
    <w:p w14:paraId="3F0092A2" w14:textId="2CC9A25E"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While there is general support for greater mechanisms to safeguard participants and improve service quality, there was an overwhelming call for a more even playing field between requirements for registered and non-registered providers, and for this to be addressed swiftly and more consistently. Providers are also concerned that workers who they have ceased employing due to either performance or other concerns are able to provide supports as unregistered providers with little checking or oversight. </w:t>
      </w:r>
    </w:p>
    <w:p w14:paraId="71EC557E" w14:textId="0A2B6769" w:rsidR="0085726A" w:rsidRPr="00AE5296" w:rsidRDefault="0085726A" w:rsidP="00AE5296">
      <w:pPr>
        <w:spacing w:before="100" w:beforeAutospacing="1" w:after="240" w:line="360" w:lineRule="auto"/>
        <w:jc w:val="right"/>
        <w:rPr>
          <w:rFonts w:ascii="Arial" w:hAnsi="Arial" w:cs="Arial"/>
          <w:i/>
          <w:iCs/>
          <w:sz w:val="24"/>
          <w:szCs w:val="24"/>
          <w:lang w:val="en-AU"/>
        </w:rPr>
      </w:pPr>
      <w:r w:rsidRPr="00AE5296">
        <w:rPr>
          <w:rFonts w:ascii="Arial" w:hAnsi="Arial" w:cs="Arial"/>
          <w:i/>
          <w:iCs/>
          <w:sz w:val="24"/>
          <w:szCs w:val="24"/>
          <w:lang w:val="en-AU"/>
        </w:rPr>
        <w:t xml:space="preserve">“Unregistered providers are increasingly a concern. Many unregistered providers who have been encouraged to leave registered providers return to the industry as unregistered sole traders where they can bounce between participants. They can claim </w:t>
      </w:r>
      <w:r w:rsidRPr="00AE5296">
        <w:rPr>
          <w:rFonts w:ascii="Arial" w:hAnsi="Arial" w:cs="Arial"/>
          <w:i/>
          <w:iCs/>
          <w:sz w:val="24"/>
          <w:szCs w:val="24"/>
          <w:lang w:val="en-AU"/>
        </w:rPr>
        <w:lastRenderedPageBreak/>
        <w:t xml:space="preserve">the same as a registered provider without the overheads, accountability and responsibility of registered </w:t>
      </w:r>
      <w:proofErr w:type="gramStart"/>
      <w:r w:rsidRPr="00AE5296">
        <w:rPr>
          <w:rFonts w:ascii="Arial" w:hAnsi="Arial" w:cs="Arial"/>
          <w:i/>
          <w:iCs/>
          <w:sz w:val="24"/>
          <w:szCs w:val="24"/>
          <w:lang w:val="en-AU"/>
        </w:rPr>
        <w:t>providers”</w:t>
      </w:r>
      <w:proofErr w:type="gramEnd"/>
    </w:p>
    <w:p w14:paraId="0F8DA1F2" w14:textId="77777777"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Finally, respondents want the NDIS to consider funding for training and/or free access to accredited training to assist organisations with professional development for the workforce. </w:t>
      </w:r>
    </w:p>
    <w:p w14:paraId="30763E0F" w14:textId="3FAF14E6" w:rsidR="0085726A" w:rsidRPr="00AE5296" w:rsidRDefault="0085726A" w:rsidP="00AE5296">
      <w:pPr>
        <w:spacing w:before="100" w:beforeAutospacing="1" w:after="240" w:line="360" w:lineRule="auto"/>
        <w:rPr>
          <w:rFonts w:ascii="Arial" w:hAnsi="Arial" w:cs="Arial"/>
          <w:sz w:val="24"/>
          <w:szCs w:val="24"/>
          <w:lang w:val="en-AU"/>
        </w:rPr>
      </w:pPr>
      <w:r w:rsidRPr="00AE5296">
        <w:rPr>
          <w:rFonts w:ascii="Arial" w:hAnsi="Arial" w:cs="Arial"/>
          <w:sz w:val="24"/>
          <w:szCs w:val="24"/>
          <w:lang w:val="en-AU" w:eastAsia="en-AU"/>
        </w:rPr>
        <w:t>Key areas of the NDIS that need to be improved to work better for participants and organisations identified were:</w:t>
      </w:r>
    </w:p>
    <w:p w14:paraId="43378CDB" w14:textId="025B9814" w:rsidR="0085726A" w:rsidRPr="00AE5296" w:rsidRDefault="0085726A" w:rsidP="00AE5296">
      <w:pPr>
        <w:pStyle w:val="ListParagraph"/>
        <w:numPr>
          <w:ilvl w:val="0"/>
          <w:numId w:val="5"/>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NDIS pricing does not reflect the true cost of doing </w:t>
      </w:r>
      <w:proofErr w:type="gramStart"/>
      <w:r w:rsidRPr="00AE5296">
        <w:rPr>
          <w:rFonts w:ascii="Arial" w:hAnsi="Arial" w:cs="Arial"/>
          <w:sz w:val="24"/>
          <w:szCs w:val="24"/>
          <w:lang w:val="en-AU"/>
        </w:rPr>
        <w:t>business</w:t>
      </w:r>
      <w:proofErr w:type="gramEnd"/>
      <w:r w:rsidRPr="00AE5296">
        <w:rPr>
          <w:rFonts w:ascii="Arial" w:hAnsi="Arial" w:cs="Arial"/>
          <w:sz w:val="24"/>
          <w:szCs w:val="24"/>
          <w:lang w:val="en-AU"/>
        </w:rPr>
        <w:t xml:space="preserve"> </w:t>
      </w:r>
    </w:p>
    <w:p w14:paraId="45238B5E" w14:textId="0EE5EF9D" w:rsidR="0085726A" w:rsidRPr="00AE5296" w:rsidRDefault="0085726A" w:rsidP="00AE5296">
      <w:pPr>
        <w:pStyle w:val="ListParagraph"/>
        <w:numPr>
          <w:ilvl w:val="0"/>
          <w:numId w:val="5"/>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Market sustainability (regional/remote areas, workforce shortages etc.) </w:t>
      </w:r>
    </w:p>
    <w:p w14:paraId="7FA67EDE" w14:textId="2626244B" w:rsidR="0085726A" w:rsidRPr="00AE5296" w:rsidRDefault="0085726A" w:rsidP="00AE5296">
      <w:pPr>
        <w:pStyle w:val="ListParagraph"/>
        <w:numPr>
          <w:ilvl w:val="0"/>
          <w:numId w:val="5"/>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Timely and consistent advice to participants and providers </w:t>
      </w:r>
    </w:p>
    <w:p w14:paraId="315E162B" w14:textId="204B1BF4" w:rsidR="0085726A" w:rsidRPr="00AE5296" w:rsidRDefault="0085726A" w:rsidP="00AE5296">
      <w:pPr>
        <w:pStyle w:val="ListParagraph"/>
        <w:numPr>
          <w:ilvl w:val="0"/>
          <w:numId w:val="5"/>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 xml:space="preserve">Plan approval and review processes </w:t>
      </w:r>
    </w:p>
    <w:p w14:paraId="01852B7E" w14:textId="3BE926B2" w:rsidR="0085726A" w:rsidRPr="00AE5296" w:rsidRDefault="0085726A" w:rsidP="00AE5296">
      <w:pPr>
        <w:pStyle w:val="ListParagraph"/>
        <w:numPr>
          <w:ilvl w:val="0"/>
          <w:numId w:val="5"/>
        </w:numPr>
        <w:spacing w:before="100" w:beforeAutospacing="1" w:after="240" w:line="360" w:lineRule="auto"/>
        <w:rPr>
          <w:rFonts w:ascii="Arial" w:hAnsi="Arial" w:cs="Arial"/>
          <w:sz w:val="24"/>
          <w:szCs w:val="24"/>
          <w:lang w:val="en-AU"/>
        </w:rPr>
      </w:pPr>
      <w:r w:rsidRPr="00AE5296">
        <w:rPr>
          <w:rFonts w:ascii="Arial" w:hAnsi="Arial" w:cs="Arial"/>
          <w:sz w:val="24"/>
          <w:szCs w:val="24"/>
          <w:lang w:val="en-AU"/>
        </w:rPr>
        <w:t>Even the playing field between unregistered and registered providers</w:t>
      </w:r>
    </w:p>
    <w:p w14:paraId="28BEF29B" w14:textId="77777777" w:rsidR="0085726A" w:rsidRPr="00CA7D07" w:rsidRDefault="0085726A" w:rsidP="00684B17">
      <w:pPr>
        <w:pStyle w:val="Heading2"/>
        <w:spacing w:before="100" w:beforeAutospacing="1" w:after="240" w:line="360" w:lineRule="auto"/>
        <w:rPr>
          <w:rFonts w:ascii="Arial" w:hAnsi="Arial" w:cs="Arial"/>
          <w:lang w:val="en-AU"/>
        </w:rPr>
      </w:pPr>
      <w:bookmarkStart w:id="9" w:name="_Toc127277083"/>
      <w:r w:rsidRPr="00CA7D07">
        <w:rPr>
          <w:rFonts w:ascii="Arial" w:hAnsi="Arial" w:cs="Arial"/>
          <w:lang w:val="en-AU"/>
        </w:rPr>
        <w:t>What do you think would be a 'quick win' to address inefficiencies or waste in the NDIS that would benefit participants and the sector?</w:t>
      </w:r>
      <w:bookmarkEnd w:id="9"/>
      <w:r w:rsidRPr="00CA7D07">
        <w:rPr>
          <w:rFonts w:ascii="Arial" w:hAnsi="Arial" w:cs="Arial"/>
          <w:lang w:val="en-AU"/>
        </w:rPr>
        <w:t xml:space="preserve"> </w:t>
      </w:r>
    </w:p>
    <w:p w14:paraId="15BB6DC6" w14:textId="17FE6371"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Finally, respondents were asked to identify ‘quick wins’ with a particular focus on inefficiencies and areas of waste in the NDIS that are impacting on the participants that they support and their organisation. Responses can be broadly grouped under the following themes:</w:t>
      </w:r>
    </w:p>
    <w:p w14:paraId="217C2A6D" w14:textId="7FD12CA7" w:rsidR="0085726A" w:rsidRPr="00CA7D07" w:rsidRDefault="0085726A" w:rsidP="00684B17">
      <w:pPr>
        <w:spacing w:before="100" w:beforeAutospacing="1" w:after="240" w:line="360" w:lineRule="auto"/>
        <w:rPr>
          <w:rFonts w:ascii="Arial" w:hAnsi="Arial" w:cs="Arial"/>
          <w:b/>
          <w:bCs/>
          <w:sz w:val="24"/>
          <w:szCs w:val="24"/>
          <w:lang w:val="en-AU"/>
        </w:rPr>
      </w:pPr>
      <w:r w:rsidRPr="00CA7D07">
        <w:rPr>
          <w:rFonts w:ascii="Arial" w:hAnsi="Arial" w:cs="Arial"/>
          <w:b/>
          <w:bCs/>
          <w:sz w:val="24"/>
          <w:szCs w:val="24"/>
          <w:lang w:val="en-AU"/>
        </w:rPr>
        <w:t xml:space="preserve">Planning that makes </w:t>
      </w:r>
      <w:proofErr w:type="gramStart"/>
      <w:r w:rsidRPr="00CA7D07">
        <w:rPr>
          <w:rFonts w:ascii="Arial" w:hAnsi="Arial" w:cs="Arial"/>
          <w:b/>
          <w:bCs/>
          <w:sz w:val="24"/>
          <w:szCs w:val="24"/>
          <w:lang w:val="en-AU"/>
        </w:rPr>
        <w:t>sense</w:t>
      </w:r>
      <w:proofErr w:type="gramEnd"/>
    </w:p>
    <w:p w14:paraId="04ED5B0B" w14:textId="6EEFA8D2" w:rsidR="0085726A" w:rsidRPr="00CA7D07" w:rsidRDefault="0085726A" w:rsidP="00684B17">
      <w:pPr>
        <w:spacing w:before="100" w:beforeAutospacing="1" w:after="240" w:line="360" w:lineRule="auto"/>
        <w:jc w:val="right"/>
        <w:rPr>
          <w:rFonts w:ascii="Arial" w:hAnsi="Arial" w:cs="Arial"/>
          <w:b/>
          <w:bCs/>
          <w:i/>
          <w:iCs/>
          <w:sz w:val="24"/>
          <w:szCs w:val="24"/>
          <w:lang w:val="en-AU"/>
        </w:rPr>
      </w:pPr>
      <w:r w:rsidRPr="009C209E">
        <w:rPr>
          <w:rFonts w:ascii="Arial" w:hAnsi="Arial" w:cs="Arial"/>
          <w:i/>
          <w:color w:val="000000"/>
          <w:sz w:val="24"/>
          <w:szCs w:val="24"/>
          <w:shd w:val="clear" w:color="auto" w:fill="FFFFFF"/>
          <w:lang w:val="en-AU"/>
        </w:rPr>
        <w:t xml:space="preserve">“Recognise that people need different types of support - one size does not fit </w:t>
      </w:r>
      <w:proofErr w:type="gramStart"/>
      <w:r w:rsidRPr="009C209E">
        <w:rPr>
          <w:rFonts w:ascii="Arial" w:hAnsi="Arial" w:cs="Arial"/>
          <w:i/>
          <w:color w:val="000000"/>
          <w:sz w:val="24"/>
          <w:szCs w:val="24"/>
          <w:shd w:val="clear" w:color="auto" w:fill="FFFFFF"/>
          <w:lang w:val="en-AU"/>
        </w:rPr>
        <w:t>all”</w:t>
      </w:r>
      <w:proofErr w:type="gramEnd"/>
    </w:p>
    <w:p w14:paraId="0CCF3CA5" w14:textId="1BC52236" w:rsidR="0085726A"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Respondents were clear </w:t>
      </w:r>
      <w:r>
        <w:rPr>
          <w:rFonts w:ascii="Arial" w:hAnsi="Arial" w:cs="Arial"/>
          <w:sz w:val="24"/>
          <w:szCs w:val="24"/>
          <w:lang w:val="en-AU"/>
        </w:rPr>
        <w:t xml:space="preserve">that </w:t>
      </w:r>
      <w:r w:rsidRPr="00CA7D07">
        <w:rPr>
          <w:rFonts w:ascii="Arial" w:hAnsi="Arial" w:cs="Arial"/>
          <w:sz w:val="24"/>
          <w:szCs w:val="24"/>
          <w:lang w:val="en-AU"/>
        </w:rPr>
        <w:t xml:space="preserve">participants </w:t>
      </w:r>
      <w:r>
        <w:rPr>
          <w:rFonts w:ascii="Arial" w:hAnsi="Arial" w:cs="Arial"/>
          <w:sz w:val="24"/>
          <w:szCs w:val="24"/>
          <w:lang w:val="en-AU"/>
        </w:rPr>
        <w:t xml:space="preserve">need more support </w:t>
      </w:r>
      <w:r w:rsidRPr="00CA7D07">
        <w:rPr>
          <w:rFonts w:ascii="Arial" w:hAnsi="Arial" w:cs="Arial"/>
          <w:sz w:val="24"/>
          <w:szCs w:val="24"/>
          <w:lang w:val="en-AU"/>
        </w:rPr>
        <w:t xml:space="preserve">to implement their plans and understand and navigate the NDIS system effectively. Longer plans that are indexed in line with pricing changes, but are reviewed </w:t>
      </w:r>
      <w:proofErr w:type="gramStart"/>
      <w:r w:rsidRPr="00CA7D07">
        <w:rPr>
          <w:rFonts w:ascii="Arial" w:hAnsi="Arial" w:cs="Arial"/>
          <w:sz w:val="24"/>
          <w:szCs w:val="24"/>
          <w:lang w:val="en-AU"/>
        </w:rPr>
        <w:t>only</w:t>
      </w:r>
      <w:proofErr w:type="gramEnd"/>
      <w:r w:rsidRPr="00CA7D07">
        <w:rPr>
          <w:rFonts w:ascii="Arial" w:hAnsi="Arial" w:cs="Arial"/>
          <w:sz w:val="24"/>
          <w:szCs w:val="24"/>
          <w:lang w:val="en-AU"/>
        </w:rPr>
        <w:t xml:space="preserve"> when necessary</w:t>
      </w:r>
      <w:r w:rsidRPr="00580EAC">
        <w:rPr>
          <w:rFonts w:ascii="Arial" w:hAnsi="Arial" w:cs="Arial"/>
          <w:sz w:val="24"/>
          <w:szCs w:val="24"/>
          <w:lang w:val="en-AU"/>
        </w:rPr>
        <w:t>,</w:t>
      </w:r>
      <w:r>
        <w:rPr>
          <w:rFonts w:ascii="Arial" w:hAnsi="Arial" w:cs="Arial"/>
          <w:sz w:val="24"/>
          <w:szCs w:val="24"/>
          <w:lang w:val="en-AU"/>
        </w:rPr>
        <w:t xml:space="preserve"> </w:t>
      </w:r>
      <w:r w:rsidRPr="00CA7D07">
        <w:rPr>
          <w:rFonts w:ascii="Arial" w:hAnsi="Arial" w:cs="Arial"/>
          <w:sz w:val="24"/>
          <w:szCs w:val="24"/>
          <w:lang w:val="en-AU"/>
        </w:rPr>
        <w:t xml:space="preserve">could be introduced for a number of participants. This will enable providers to focus on outcomes, return on investment, and provide incentives for innovative service delivery. </w:t>
      </w:r>
    </w:p>
    <w:p w14:paraId="234BB705" w14:textId="5ABB8E14" w:rsidR="0085726A" w:rsidRPr="00CA7D07" w:rsidRDefault="0085726A" w:rsidP="00684B17">
      <w:pPr>
        <w:spacing w:before="100" w:beforeAutospacing="1" w:after="240" w:line="360" w:lineRule="auto"/>
        <w:jc w:val="right"/>
        <w:rPr>
          <w:rFonts w:ascii="Arial" w:hAnsi="Arial" w:cs="Arial"/>
          <w:i/>
          <w:iCs/>
          <w:sz w:val="24"/>
          <w:szCs w:val="24"/>
          <w:lang w:val="en-AU"/>
        </w:rPr>
      </w:pPr>
      <w:r w:rsidRPr="009C209E">
        <w:rPr>
          <w:rFonts w:ascii="Arial" w:hAnsi="Arial" w:cs="Arial"/>
          <w:i/>
          <w:color w:val="000000"/>
          <w:sz w:val="24"/>
          <w:szCs w:val="24"/>
          <w:shd w:val="clear" w:color="auto" w:fill="FFFFFF"/>
          <w:lang w:val="en-AU"/>
        </w:rPr>
        <w:lastRenderedPageBreak/>
        <w:t xml:space="preserve">“Implementation of a navigator function to support community with access requests and connection to provider market. Not everyone receives support coordination. </w:t>
      </w:r>
      <w:proofErr w:type="gramStart"/>
      <w:r w:rsidRPr="009C209E">
        <w:rPr>
          <w:rFonts w:ascii="Arial" w:hAnsi="Arial" w:cs="Arial"/>
          <w:i/>
          <w:color w:val="000000"/>
          <w:sz w:val="24"/>
          <w:szCs w:val="24"/>
          <w:shd w:val="clear" w:color="auto" w:fill="FFFFFF"/>
          <w:lang w:val="en-AU"/>
        </w:rPr>
        <w:t>Also</w:t>
      </w:r>
      <w:proofErr w:type="gramEnd"/>
      <w:r w:rsidRPr="009C209E">
        <w:rPr>
          <w:rFonts w:ascii="Arial" w:hAnsi="Arial" w:cs="Arial"/>
          <w:i/>
          <w:color w:val="000000"/>
          <w:sz w:val="24"/>
          <w:szCs w:val="24"/>
          <w:shd w:val="clear" w:color="auto" w:fill="FFFFFF"/>
          <w:lang w:val="en-AU"/>
        </w:rPr>
        <w:t xml:space="preserve"> to connect people with disability who do not require the NDIS to mainstream services.”</w:t>
      </w:r>
    </w:p>
    <w:p w14:paraId="41AC4147" w14:textId="77777777"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Improvements need to be made to the planning process by ensuring that there is a transparency and accountability for decision-making, better </w:t>
      </w:r>
      <w:proofErr w:type="gramStart"/>
      <w:r w:rsidRPr="00CA7D07">
        <w:rPr>
          <w:rFonts w:ascii="Arial" w:hAnsi="Arial" w:cs="Arial"/>
          <w:sz w:val="24"/>
          <w:szCs w:val="24"/>
          <w:lang w:val="en-AU"/>
        </w:rPr>
        <w:t>communication</w:t>
      </w:r>
      <w:proofErr w:type="gramEnd"/>
      <w:r w:rsidRPr="00CA7D07">
        <w:rPr>
          <w:rFonts w:ascii="Arial" w:hAnsi="Arial" w:cs="Arial"/>
          <w:sz w:val="24"/>
          <w:szCs w:val="24"/>
          <w:lang w:val="en-AU"/>
        </w:rPr>
        <w:t xml:space="preserve"> and review options for how plans are managed to ensure that these are effective, providing increased support for self-managing participants.</w:t>
      </w:r>
    </w:p>
    <w:p w14:paraId="6077986B" w14:textId="3E553956"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Flexible funding was highlighted as an improvement that would make a significant and positive difference in the implementation of the Scheme. Flexibility in budgets across all categories will support capacity building for participants and increase providers’ ability to respond to participants in crisis or at risk of crisis. However, it is vital that this is underpinned by fair pricing, which reflects costs of doing business. Respondents raised the difficultly of continuing to deliver quality supports to participants with complex needs without funding to support team meetings, training and coaching for support workers to provide appropriate safeguards for violence, abuse, </w:t>
      </w:r>
      <w:proofErr w:type="gramStart"/>
      <w:r w:rsidRPr="00CA7D07">
        <w:rPr>
          <w:rFonts w:ascii="Arial" w:hAnsi="Arial" w:cs="Arial"/>
          <w:sz w:val="24"/>
          <w:szCs w:val="24"/>
          <w:lang w:val="en-AU"/>
        </w:rPr>
        <w:t>neglect</w:t>
      </w:r>
      <w:proofErr w:type="gramEnd"/>
      <w:r w:rsidRPr="00CA7D07">
        <w:rPr>
          <w:rFonts w:ascii="Arial" w:hAnsi="Arial" w:cs="Arial"/>
          <w:sz w:val="24"/>
          <w:szCs w:val="24"/>
          <w:lang w:val="en-AU"/>
        </w:rPr>
        <w:t xml:space="preserve"> and exploitation. </w:t>
      </w:r>
    </w:p>
    <w:p w14:paraId="14218DD7" w14:textId="79733A26"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Respondents emphasised the increased need for better support to link participants to mainstream services and this needs to be considered in the context of the needs of rural/remote/very remote participants including support to maintain a market. In addition to this, the NDIS needs to consider better housing support for participants not eligible for Specialist Disability Accommodation and improve utilisation of existing vacancies across the sector. </w:t>
      </w:r>
    </w:p>
    <w:p w14:paraId="4AA5EE04" w14:textId="77777777" w:rsidR="0085726A" w:rsidRPr="00CA7D07" w:rsidRDefault="0085726A" w:rsidP="00684B17">
      <w:pPr>
        <w:spacing w:before="100" w:beforeAutospacing="1" w:after="240" w:line="360" w:lineRule="auto"/>
        <w:rPr>
          <w:rFonts w:ascii="Arial" w:hAnsi="Arial" w:cs="Arial"/>
          <w:b/>
          <w:bCs/>
          <w:sz w:val="24"/>
          <w:szCs w:val="24"/>
          <w:lang w:val="en-AU"/>
        </w:rPr>
      </w:pPr>
      <w:r w:rsidRPr="00CA7D07">
        <w:rPr>
          <w:rFonts w:ascii="Arial" w:hAnsi="Arial" w:cs="Arial"/>
          <w:b/>
          <w:bCs/>
          <w:sz w:val="24"/>
          <w:szCs w:val="24"/>
          <w:lang w:val="en-AU"/>
        </w:rPr>
        <w:t xml:space="preserve">Quick and effective issues resolution </w:t>
      </w:r>
    </w:p>
    <w:p w14:paraId="415F5496" w14:textId="08FBC6F4"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Respondents highlighted several </w:t>
      </w:r>
      <w:r>
        <w:rPr>
          <w:rFonts w:ascii="Arial" w:hAnsi="Arial" w:cs="Arial"/>
          <w:sz w:val="24"/>
          <w:szCs w:val="24"/>
          <w:lang w:val="en-AU"/>
        </w:rPr>
        <w:t>improvement areas</w:t>
      </w:r>
      <w:r w:rsidRPr="00CA7D07">
        <w:rPr>
          <w:rFonts w:ascii="Arial" w:hAnsi="Arial" w:cs="Arial"/>
          <w:sz w:val="24"/>
          <w:szCs w:val="24"/>
          <w:lang w:val="en-AU"/>
        </w:rPr>
        <w:t xml:space="preserve"> that will result in improved services and supports for people with disability, these included a provider point of contact which would enable organisations to have questions answered and small issues resolved in timely fashion. Increase</w:t>
      </w:r>
      <w:r>
        <w:rPr>
          <w:rFonts w:ascii="Arial" w:hAnsi="Arial" w:cs="Arial"/>
          <w:sz w:val="24"/>
          <w:szCs w:val="24"/>
          <w:lang w:val="en-AU"/>
        </w:rPr>
        <w:t>d</w:t>
      </w:r>
      <w:r w:rsidRPr="00CA7D07">
        <w:rPr>
          <w:rFonts w:ascii="Arial" w:hAnsi="Arial" w:cs="Arial"/>
          <w:sz w:val="24"/>
          <w:szCs w:val="24"/>
          <w:lang w:val="en-AU"/>
        </w:rPr>
        <w:t xml:space="preserve"> localised decision making was important to </w:t>
      </w:r>
      <w:r w:rsidRPr="00EE5C24">
        <w:rPr>
          <w:rFonts w:ascii="Arial" w:hAnsi="Arial" w:cs="Arial"/>
          <w:sz w:val="24"/>
          <w:szCs w:val="24"/>
          <w:lang w:val="en-AU"/>
        </w:rPr>
        <w:t>respondents of</w:t>
      </w:r>
      <w:r w:rsidRPr="00CA7D07">
        <w:rPr>
          <w:rFonts w:ascii="Arial" w:hAnsi="Arial" w:cs="Arial"/>
          <w:sz w:val="24"/>
          <w:szCs w:val="24"/>
          <w:lang w:val="en-AU"/>
        </w:rPr>
        <w:t xml:space="preserve"> the survey with improvements to be made to complaints and dispute resolution processes. Respondents would like to see adequate NDIA staffing levels, </w:t>
      </w:r>
      <w:r w:rsidRPr="00CA7D07">
        <w:rPr>
          <w:rFonts w:ascii="Arial" w:hAnsi="Arial" w:cs="Arial"/>
          <w:sz w:val="24"/>
          <w:szCs w:val="24"/>
          <w:lang w:val="en-AU"/>
        </w:rPr>
        <w:lastRenderedPageBreak/>
        <w:t>experience and skills and the Agency working responsively and proactively</w:t>
      </w:r>
      <w:r>
        <w:rPr>
          <w:rFonts w:ascii="Arial" w:hAnsi="Arial" w:cs="Arial"/>
          <w:sz w:val="24"/>
          <w:szCs w:val="24"/>
          <w:lang w:val="en-AU"/>
        </w:rPr>
        <w:t>, including</w:t>
      </w:r>
      <w:r w:rsidRPr="00CA7D07">
        <w:rPr>
          <w:rFonts w:ascii="Arial" w:hAnsi="Arial" w:cs="Arial"/>
          <w:sz w:val="24"/>
          <w:szCs w:val="24"/>
          <w:lang w:val="en-AU"/>
        </w:rPr>
        <w:t xml:space="preserve"> with Aboriginal and Torres Strait Islander communities and providers.</w:t>
      </w:r>
    </w:p>
    <w:p w14:paraId="11105D4E" w14:textId="3A8C1599" w:rsidR="0085726A" w:rsidRPr="00CA7D07" w:rsidRDefault="0085726A" w:rsidP="00684B17">
      <w:pPr>
        <w:spacing w:before="100" w:beforeAutospacing="1" w:after="240" w:line="360" w:lineRule="auto"/>
        <w:jc w:val="right"/>
        <w:rPr>
          <w:rFonts w:ascii="Arial" w:hAnsi="Arial" w:cs="Arial"/>
          <w:i/>
          <w:iCs/>
          <w:sz w:val="24"/>
          <w:szCs w:val="24"/>
          <w:lang w:val="en-AU"/>
        </w:rPr>
      </w:pPr>
      <w:r w:rsidRPr="00CA7D07">
        <w:rPr>
          <w:rFonts w:ascii="Arial" w:hAnsi="Arial" w:cs="Arial"/>
          <w:i/>
          <w:iCs/>
          <w:sz w:val="24"/>
          <w:szCs w:val="24"/>
          <w:lang w:val="en-AU"/>
        </w:rPr>
        <w:t xml:space="preserve">“When issues arise with plans/claims organisations need a person (not just a call centre) within NDIA that they can contact who we have a relationship with, who has authority to solve problems that can assist us. Similarly, participants need an actual person they connect with to resolve problems. Ideally, organisations and participants would connect with the same individual at the NDIA to resolve issues </w:t>
      </w:r>
      <w:proofErr w:type="gramStart"/>
      <w:r w:rsidRPr="00CA7D07">
        <w:rPr>
          <w:rFonts w:ascii="Arial" w:hAnsi="Arial" w:cs="Arial"/>
          <w:i/>
          <w:iCs/>
          <w:sz w:val="24"/>
          <w:szCs w:val="24"/>
          <w:lang w:val="en-AU"/>
        </w:rPr>
        <w:t>efficiently”</w:t>
      </w:r>
      <w:proofErr w:type="gramEnd"/>
    </w:p>
    <w:p w14:paraId="013CD2A4" w14:textId="77777777" w:rsidR="0085726A" w:rsidRPr="00CA7D07" w:rsidRDefault="0085726A" w:rsidP="00684B17">
      <w:pPr>
        <w:spacing w:before="100" w:beforeAutospacing="1" w:after="240" w:line="360" w:lineRule="auto"/>
        <w:rPr>
          <w:rFonts w:ascii="Arial" w:hAnsi="Arial" w:cs="Arial"/>
          <w:b/>
          <w:bCs/>
          <w:sz w:val="24"/>
          <w:szCs w:val="24"/>
          <w:lang w:val="en-AU"/>
        </w:rPr>
      </w:pPr>
      <w:r w:rsidRPr="00CA7D07">
        <w:rPr>
          <w:rFonts w:ascii="Arial" w:hAnsi="Arial" w:cs="Arial"/>
          <w:b/>
          <w:bCs/>
          <w:sz w:val="24"/>
          <w:szCs w:val="24"/>
          <w:lang w:val="en-AU"/>
        </w:rPr>
        <w:t xml:space="preserve">Simplified processes aimed at reducing red tape and administrative burden for </w:t>
      </w:r>
      <w:proofErr w:type="gramStart"/>
      <w:r w:rsidRPr="00CA7D07">
        <w:rPr>
          <w:rFonts w:ascii="Arial" w:hAnsi="Arial" w:cs="Arial"/>
          <w:b/>
          <w:bCs/>
          <w:sz w:val="24"/>
          <w:szCs w:val="24"/>
          <w:lang w:val="en-AU"/>
        </w:rPr>
        <w:t>all</w:t>
      </w:r>
      <w:proofErr w:type="gramEnd"/>
    </w:p>
    <w:p w14:paraId="71314905" w14:textId="603717EA"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Respondents to the survey highlighted the need for an effective targeted payment assurance process, streamlined claiming processes, and the reduction of red tape and duplicative reporting</w:t>
      </w:r>
      <w:r>
        <w:rPr>
          <w:rFonts w:ascii="Arial" w:hAnsi="Arial" w:cs="Arial"/>
          <w:sz w:val="24"/>
          <w:szCs w:val="24"/>
          <w:lang w:val="en-AU"/>
        </w:rPr>
        <w:t xml:space="preserve"> between the NDIS Commission and state and </w:t>
      </w:r>
      <w:proofErr w:type="gramStart"/>
      <w:r>
        <w:rPr>
          <w:rFonts w:ascii="Arial" w:hAnsi="Arial" w:cs="Arial"/>
          <w:sz w:val="24"/>
          <w:szCs w:val="24"/>
          <w:lang w:val="en-AU"/>
        </w:rPr>
        <w:t>territory based</w:t>
      </w:r>
      <w:proofErr w:type="gramEnd"/>
      <w:r>
        <w:rPr>
          <w:rFonts w:ascii="Arial" w:hAnsi="Arial" w:cs="Arial"/>
          <w:sz w:val="24"/>
          <w:szCs w:val="24"/>
          <w:lang w:val="en-AU"/>
        </w:rPr>
        <w:t xml:space="preserve"> systems. This is particularly an issue with the reporting required related to restrictive practices. </w:t>
      </w:r>
      <w:r w:rsidRPr="00CA7D07">
        <w:rPr>
          <w:rFonts w:ascii="Arial" w:hAnsi="Arial" w:cs="Arial"/>
          <w:sz w:val="24"/>
          <w:szCs w:val="24"/>
          <w:lang w:val="en-AU"/>
        </w:rPr>
        <w:t>It is also essential to ensure that Coordination of Supports works effectively (allocation, training and skills, adequate provision in plans).</w:t>
      </w:r>
    </w:p>
    <w:p w14:paraId="284BB537" w14:textId="16B33907" w:rsidR="0085726A" w:rsidRPr="00CA7D07" w:rsidRDefault="0085726A" w:rsidP="00684B17">
      <w:pPr>
        <w:spacing w:before="100" w:beforeAutospacing="1" w:after="240" w:line="360" w:lineRule="auto"/>
        <w:jc w:val="right"/>
        <w:rPr>
          <w:rFonts w:ascii="Arial" w:eastAsia="Times New Roman" w:hAnsi="Arial" w:cs="Arial"/>
          <w:i/>
          <w:iCs/>
          <w:color w:val="000000"/>
          <w:sz w:val="24"/>
          <w:szCs w:val="24"/>
          <w:lang w:val="en-AU" w:eastAsia="en-AU"/>
        </w:rPr>
      </w:pPr>
      <w:r w:rsidRPr="00CA7D07">
        <w:rPr>
          <w:rFonts w:ascii="Arial" w:eastAsia="Times New Roman" w:hAnsi="Arial" w:cs="Arial"/>
          <w:i/>
          <w:iCs/>
          <w:color w:val="000000"/>
          <w:sz w:val="24"/>
          <w:szCs w:val="24"/>
          <w:lang w:val="en-AU" w:eastAsia="en-AU"/>
        </w:rPr>
        <w:t>“</w:t>
      </w:r>
      <w:r w:rsidRPr="00FB2371">
        <w:rPr>
          <w:rFonts w:ascii="Arial" w:eastAsia="Times New Roman" w:hAnsi="Arial" w:cs="Arial"/>
          <w:i/>
          <w:iCs/>
          <w:color w:val="000000"/>
          <w:sz w:val="24"/>
          <w:szCs w:val="24"/>
          <w:lang w:val="en-AU" w:eastAsia="en-AU"/>
        </w:rPr>
        <w:t>Cut the bureaucracy and time delays people and service providers suffer at the hands of the NDIS, fund managers and others.</w:t>
      </w:r>
      <w:r w:rsidRPr="00CA7D07">
        <w:rPr>
          <w:rFonts w:ascii="Arial" w:eastAsia="Times New Roman" w:hAnsi="Arial" w:cs="Arial"/>
          <w:i/>
          <w:iCs/>
          <w:color w:val="000000"/>
          <w:sz w:val="24"/>
          <w:szCs w:val="24"/>
          <w:lang w:val="en-AU" w:eastAsia="en-AU"/>
        </w:rPr>
        <w:t xml:space="preserve"> </w:t>
      </w:r>
      <w:r w:rsidRPr="00FB2371">
        <w:rPr>
          <w:rFonts w:ascii="Arial" w:eastAsia="Times New Roman" w:hAnsi="Arial" w:cs="Arial"/>
          <w:i/>
          <w:iCs/>
          <w:color w:val="000000"/>
          <w:sz w:val="24"/>
          <w:szCs w:val="24"/>
          <w:lang w:val="en-AU" w:eastAsia="en-AU"/>
        </w:rPr>
        <w:t xml:space="preserve">Find a more proactive way to support registered providers so that they have access to and speedy resolutions for queries and to ensure funding is paid on a timely </w:t>
      </w:r>
      <w:proofErr w:type="gramStart"/>
      <w:r w:rsidRPr="00FB2371">
        <w:rPr>
          <w:rFonts w:ascii="Arial" w:eastAsia="Times New Roman" w:hAnsi="Arial" w:cs="Arial"/>
          <w:i/>
          <w:iCs/>
          <w:color w:val="000000"/>
          <w:sz w:val="24"/>
          <w:szCs w:val="24"/>
          <w:lang w:val="en-AU" w:eastAsia="en-AU"/>
        </w:rPr>
        <w:t>basis</w:t>
      </w:r>
      <w:r w:rsidRPr="00CA7D07">
        <w:rPr>
          <w:rFonts w:ascii="Arial" w:eastAsia="Times New Roman" w:hAnsi="Arial" w:cs="Arial"/>
          <w:i/>
          <w:iCs/>
          <w:color w:val="000000"/>
          <w:sz w:val="24"/>
          <w:szCs w:val="24"/>
          <w:lang w:val="en-AU" w:eastAsia="en-AU"/>
        </w:rPr>
        <w:t>”</w:t>
      </w:r>
      <w:proofErr w:type="gramEnd"/>
    </w:p>
    <w:p w14:paraId="18148776" w14:textId="52DAB41C" w:rsidR="0085726A" w:rsidRPr="00CA7D07" w:rsidRDefault="0085726A" w:rsidP="00684B17">
      <w:p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Key resolutions to address inefficiencies or waste in the NDIS that would benefit participants and the sector </w:t>
      </w:r>
      <w:r>
        <w:rPr>
          <w:rFonts w:ascii="Arial" w:hAnsi="Arial" w:cs="Arial"/>
          <w:sz w:val="24"/>
          <w:szCs w:val="24"/>
          <w:lang w:val="en-AU"/>
        </w:rPr>
        <w:t xml:space="preserve">identified </w:t>
      </w:r>
      <w:r w:rsidRPr="00CA7D07">
        <w:rPr>
          <w:rFonts w:ascii="Arial" w:hAnsi="Arial" w:cs="Arial"/>
          <w:sz w:val="24"/>
          <w:szCs w:val="24"/>
          <w:lang w:val="en-AU"/>
        </w:rPr>
        <w:t>were:</w:t>
      </w:r>
    </w:p>
    <w:p w14:paraId="669D7895" w14:textId="4EF23715" w:rsidR="0085726A" w:rsidRPr="00CA7D07" w:rsidRDefault="0085726A" w:rsidP="00684B17">
      <w:pPr>
        <w:pStyle w:val="ListParagraph"/>
        <w:numPr>
          <w:ilvl w:val="0"/>
          <w:numId w:val="6"/>
        </w:num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Longer indexed plans with reviews only when </w:t>
      </w:r>
      <w:proofErr w:type="gramStart"/>
      <w:r w:rsidRPr="00CA7D07">
        <w:rPr>
          <w:rFonts w:ascii="Arial" w:hAnsi="Arial" w:cs="Arial"/>
          <w:sz w:val="24"/>
          <w:szCs w:val="24"/>
          <w:lang w:val="en-AU"/>
        </w:rPr>
        <w:t>required</w:t>
      </w:r>
      <w:proofErr w:type="gramEnd"/>
      <w:r w:rsidRPr="00CA7D07">
        <w:rPr>
          <w:rFonts w:ascii="Arial" w:hAnsi="Arial" w:cs="Arial"/>
          <w:sz w:val="24"/>
          <w:szCs w:val="24"/>
          <w:lang w:val="en-AU"/>
        </w:rPr>
        <w:t xml:space="preserve"> </w:t>
      </w:r>
    </w:p>
    <w:p w14:paraId="4227C73E" w14:textId="3D3806C2" w:rsidR="0085726A" w:rsidRPr="00CA7D07" w:rsidRDefault="0085726A" w:rsidP="00684B17">
      <w:pPr>
        <w:pStyle w:val="ListParagraph"/>
        <w:numPr>
          <w:ilvl w:val="0"/>
          <w:numId w:val="6"/>
        </w:num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Increased transparency and communication related to planning </w:t>
      </w:r>
      <w:proofErr w:type="gramStart"/>
      <w:r w:rsidRPr="00CA7D07">
        <w:rPr>
          <w:rFonts w:ascii="Arial" w:hAnsi="Arial" w:cs="Arial"/>
          <w:sz w:val="24"/>
          <w:szCs w:val="24"/>
          <w:lang w:val="en-AU"/>
        </w:rPr>
        <w:t>decisions</w:t>
      </w:r>
      <w:proofErr w:type="gramEnd"/>
      <w:r w:rsidRPr="00CA7D07">
        <w:rPr>
          <w:rFonts w:ascii="Arial" w:hAnsi="Arial" w:cs="Arial"/>
          <w:sz w:val="24"/>
          <w:szCs w:val="24"/>
          <w:lang w:val="en-AU"/>
        </w:rPr>
        <w:t xml:space="preserve"> </w:t>
      </w:r>
    </w:p>
    <w:p w14:paraId="0B136A92" w14:textId="70F746E1" w:rsidR="0085726A" w:rsidRPr="00CA7D07" w:rsidRDefault="0085726A" w:rsidP="00684B17">
      <w:pPr>
        <w:pStyle w:val="ListParagraph"/>
        <w:numPr>
          <w:ilvl w:val="0"/>
          <w:numId w:val="6"/>
        </w:num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Systems that enable minor issues to be resolved at point of </w:t>
      </w:r>
      <w:proofErr w:type="gramStart"/>
      <w:r w:rsidRPr="00CA7D07">
        <w:rPr>
          <w:rFonts w:ascii="Arial" w:hAnsi="Arial" w:cs="Arial"/>
          <w:sz w:val="24"/>
          <w:szCs w:val="24"/>
          <w:lang w:val="en-AU"/>
        </w:rPr>
        <w:t>contact</w:t>
      </w:r>
      <w:proofErr w:type="gramEnd"/>
      <w:r w:rsidRPr="00CA7D07">
        <w:rPr>
          <w:rFonts w:ascii="Arial" w:hAnsi="Arial" w:cs="Arial"/>
          <w:sz w:val="24"/>
          <w:szCs w:val="24"/>
          <w:lang w:val="en-AU"/>
        </w:rPr>
        <w:t xml:space="preserve">  </w:t>
      </w:r>
    </w:p>
    <w:p w14:paraId="389BB880" w14:textId="77777777" w:rsidR="0085726A" w:rsidRPr="00CA7D07" w:rsidRDefault="0085726A" w:rsidP="00684B17">
      <w:pPr>
        <w:pStyle w:val="ListParagraph"/>
        <w:numPr>
          <w:ilvl w:val="0"/>
          <w:numId w:val="6"/>
        </w:num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 xml:space="preserve">Target areas of waste and inefficiency (e.g.: targeted payment assurance; reduce duplicative reporting/red tape) </w:t>
      </w:r>
    </w:p>
    <w:p w14:paraId="5F13CE25" w14:textId="68A3CE59" w:rsidR="0085726A" w:rsidRPr="00CA7D07" w:rsidRDefault="0085726A" w:rsidP="00684B17">
      <w:pPr>
        <w:pStyle w:val="ListParagraph"/>
        <w:numPr>
          <w:ilvl w:val="0"/>
          <w:numId w:val="6"/>
        </w:numPr>
        <w:spacing w:before="100" w:beforeAutospacing="1" w:after="240" w:line="360" w:lineRule="auto"/>
        <w:rPr>
          <w:rFonts w:ascii="Arial" w:hAnsi="Arial" w:cs="Arial"/>
          <w:sz w:val="24"/>
          <w:szCs w:val="24"/>
          <w:lang w:val="en-AU"/>
        </w:rPr>
      </w:pPr>
      <w:r w:rsidRPr="00CA7D07">
        <w:rPr>
          <w:rFonts w:ascii="Arial" w:hAnsi="Arial" w:cs="Arial"/>
          <w:sz w:val="24"/>
          <w:szCs w:val="24"/>
          <w:lang w:val="en-AU"/>
        </w:rPr>
        <w:t>Simplify and improve claiming and plan management options for participants and providers</w:t>
      </w:r>
      <w:r>
        <w:rPr>
          <w:rFonts w:ascii="Arial" w:hAnsi="Arial" w:cs="Arial"/>
          <w:sz w:val="24"/>
          <w:szCs w:val="24"/>
          <w:lang w:val="en-AU"/>
        </w:rPr>
        <w:t>.</w:t>
      </w:r>
      <w:r w:rsidRPr="00CA7D07">
        <w:rPr>
          <w:rFonts w:ascii="Arial" w:hAnsi="Arial" w:cs="Arial"/>
          <w:sz w:val="24"/>
          <w:szCs w:val="24"/>
          <w:lang w:val="en-AU"/>
        </w:rPr>
        <w:t xml:space="preserve"> </w:t>
      </w:r>
    </w:p>
    <w:p w14:paraId="0544425D" w14:textId="7DF5ABBC" w:rsidR="0085726A" w:rsidRPr="00CA7D07" w:rsidRDefault="0085726A" w:rsidP="006D6CE8">
      <w:pPr>
        <w:pStyle w:val="Heading1"/>
        <w:spacing w:before="100" w:line="276" w:lineRule="auto"/>
        <w:rPr>
          <w:rFonts w:cs="Arial"/>
        </w:rPr>
      </w:pPr>
      <w:bookmarkStart w:id="10" w:name="_Toc127277084"/>
      <w:r w:rsidRPr="00CA7D07">
        <w:rPr>
          <w:rFonts w:cs="Arial"/>
        </w:rPr>
        <w:lastRenderedPageBreak/>
        <w:t>What are disability leaders saying?</w:t>
      </w:r>
      <w:bookmarkEnd w:id="10"/>
    </w:p>
    <w:p w14:paraId="70B6D55C" w14:textId="03FD42F9" w:rsidR="0085726A" w:rsidRPr="00CA7D07" w:rsidRDefault="0085726A" w:rsidP="00357F76">
      <w:pPr>
        <w:spacing w:before="240" w:after="240" w:line="360" w:lineRule="auto"/>
        <w:rPr>
          <w:rFonts w:ascii="Arial" w:hAnsi="Arial" w:cs="Arial"/>
          <w:sz w:val="24"/>
          <w:szCs w:val="24"/>
          <w:lang w:val="en-AU"/>
        </w:rPr>
      </w:pPr>
      <w:r w:rsidRPr="00CA7D07">
        <w:rPr>
          <w:rFonts w:ascii="Arial" w:hAnsi="Arial" w:cs="Arial"/>
          <w:sz w:val="24"/>
          <w:szCs w:val="24"/>
          <w:lang w:val="en-AU"/>
        </w:rPr>
        <w:t xml:space="preserve">NDS also took advantage of the opportunity to use key areas raised in the Pulse Survey to gather the views of disability sector leaders attending our CEO’s Meeting on </w:t>
      </w:r>
      <w:r>
        <w:rPr>
          <w:rFonts w:ascii="Arial" w:hAnsi="Arial" w:cs="Arial"/>
          <w:sz w:val="24"/>
          <w:szCs w:val="24"/>
          <w:lang w:val="en-AU"/>
        </w:rPr>
        <w:br/>
      </w:r>
      <w:r w:rsidRPr="00CA7D07">
        <w:rPr>
          <w:rFonts w:ascii="Arial" w:hAnsi="Arial" w:cs="Arial"/>
          <w:sz w:val="24"/>
          <w:szCs w:val="24"/>
          <w:lang w:val="en-AU"/>
        </w:rPr>
        <w:t>28 November 2022</w:t>
      </w:r>
      <w:r w:rsidR="00357F76">
        <w:rPr>
          <w:rFonts w:ascii="Arial" w:hAnsi="Arial" w:cs="Arial"/>
          <w:sz w:val="24"/>
          <w:szCs w:val="24"/>
          <w:lang w:val="en-AU"/>
        </w:rPr>
        <w:t xml:space="preserve"> across three questions</w:t>
      </w:r>
      <w:r w:rsidRPr="00CA7D07">
        <w:rPr>
          <w:rFonts w:ascii="Arial" w:hAnsi="Arial" w:cs="Arial"/>
          <w:sz w:val="24"/>
          <w:szCs w:val="24"/>
          <w:lang w:val="en-AU"/>
        </w:rPr>
        <w:t xml:space="preserve">. The following </w:t>
      </w:r>
      <w:r w:rsidR="00357F76">
        <w:rPr>
          <w:rFonts w:ascii="Arial" w:hAnsi="Arial" w:cs="Arial"/>
          <w:sz w:val="24"/>
          <w:szCs w:val="24"/>
          <w:lang w:val="en-AU"/>
        </w:rPr>
        <w:t xml:space="preserve">data </w:t>
      </w:r>
      <w:r w:rsidRPr="00CA7D07">
        <w:rPr>
          <w:rFonts w:ascii="Arial" w:hAnsi="Arial" w:cs="Arial"/>
          <w:sz w:val="24"/>
          <w:szCs w:val="24"/>
          <w:lang w:val="en-AU"/>
        </w:rPr>
        <w:t xml:space="preserve">represent the views of those in the room. </w:t>
      </w:r>
    </w:p>
    <w:p w14:paraId="2411FBFC" w14:textId="77777777" w:rsidR="0085726A" w:rsidRPr="00CA7D07" w:rsidRDefault="0085726A" w:rsidP="00357F76">
      <w:pPr>
        <w:spacing w:before="240" w:after="240" w:line="360" w:lineRule="auto"/>
        <w:rPr>
          <w:rFonts w:ascii="Arial" w:hAnsi="Arial" w:cs="Arial"/>
          <w:sz w:val="24"/>
          <w:szCs w:val="24"/>
          <w:lang w:val="en-AU"/>
        </w:rPr>
      </w:pPr>
      <w:r w:rsidRPr="00CA7D07">
        <w:rPr>
          <w:rFonts w:ascii="Arial" w:hAnsi="Arial" w:cs="Arial"/>
          <w:sz w:val="24"/>
          <w:szCs w:val="24"/>
          <w:lang w:val="en-AU" w:eastAsia="en-AU"/>
        </w:rPr>
        <w:t>What areas of the NDIS work well for your participants and organisation? (245)</w:t>
      </w:r>
    </w:p>
    <w:p w14:paraId="60FCAB6A" w14:textId="77777777" w:rsidR="0085726A" w:rsidRPr="00CA7D07" w:rsidRDefault="0085726A" w:rsidP="00357F76">
      <w:pPr>
        <w:pStyle w:val="ListParagraph"/>
        <w:numPr>
          <w:ilvl w:val="0"/>
          <w:numId w:val="4"/>
        </w:numPr>
        <w:spacing w:before="240" w:after="240" w:line="360" w:lineRule="auto"/>
        <w:rPr>
          <w:rFonts w:ascii="Arial" w:hAnsi="Arial" w:cs="Arial"/>
          <w:sz w:val="24"/>
          <w:szCs w:val="24"/>
          <w:lang w:val="en-AU"/>
        </w:rPr>
      </w:pPr>
      <w:r w:rsidRPr="00CA7D07">
        <w:rPr>
          <w:rFonts w:ascii="Arial" w:hAnsi="Arial" w:cs="Arial"/>
          <w:sz w:val="24"/>
          <w:szCs w:val="24"/>
          <w:lang w:val="en-AU"/>
        </w:rPr>
        <w:t>Choice and control for participants (44)</w:t>
      </w:r>
    </w:p>
    <w:p w14:paraId="5848FC8A" w14:textId="77777777" w:rsidR="0085726A" w:rsidRPr="00CA7D07" w:rsidRDefault="0085726A" w:rsidP="00357F76">
      <w:pPr>
        <w:pStyle w:val="ListParagraph"/>
        <w:numPr>
          <w:ilvl w:val="0"/>
          <w:numId w:val="4"/>
        </w:numPr>
        <w:spacing w:before="240" w:after="240" w:line="360" w:lineRule="auto"/>
        <w:rPr>
          <w:rFonts w:ascii="Arial" w:hAnsi="Arial" w:cs="Arial"/>
          <w:sz w:val="24"/>
          <w:szCs w:val="24"/>
          <w:lang w:val="en-AU"/>
        </w:rPr>
      </w:pPr>
      <w:r w:rsidRPr="00CA7D07">
        <w:rPr>
          <w:rFonts w:ascii="Arial" w:hAnsi="Arial" w:cs="Arial"/>
          <w:sz w:val="24"/>
          <w:szCs w:val="24"/>
          <w:lang w:val="en-AU"/>
        </w:rPr>
        <w:t>Flexible and individualised funding (50)</w:t>
      </w:r>
    </w:p>
    <w:p w14:paraId="030D1DB7" w14:textId="77777777" w:rsidR="0085726A" w:rsidRPr="00CA7D07" w:rsidRDefault="0085726A" w:rsidP="00357F76">
      <w:pPr>
        <w:pStyle w:val="ListParagraph"/>
        <w:numPr>
          <w:ilvl w:val="0"/>
          <w:numId w:val="4"/>
        </w:numPr>
        <w:spacing w:before="240" w:after="240" w:line="360" w:lineRule="auto"/>
        <w:rPr>
          <w:rFonts w:ascii="Arial" w:hAnsi="Arial" w:cs="Arial"/>
          <w:sz w:val="24"/>
          <w:szCs w:val="24"/>
          <w:lang w:val="en-AU"/>
        </w:rPr>
      </w:pPr>
      <w:r w:rsidRPr="00CA7D07">
        <w:rPr>
          <w:rFonts w:ascii="Arial" w:hAnsi="Arial" w:cs="Arial"/>
          <w:sz w:val="24"/>
          <w:szCs w:val="24"/>
          <w:lang w:val="en-AU"/>
        </w:rPr>
        <w:t>Longer term plans (when approved) (92)</w:t>
      </w:r>
    </w:p>
    <w:p w14:paraId="2939B851" w14:textId="77777777" w:rsidR="0085726A" w:rsidRPr="00CA7D07" w:rsidRDefault="0085726A" w:rsidP="00357F76">
      <w:pPr>
        <w:pStyle w:val="ListParagraph"/>
        <w:numPr>
          <w:ilvl w:val="0"/>
          <w:numId w:val="4"/>
        </w:numPr>
        <w:spacing w:before="240" w:after="240" w:line="360" w:lineRule="auto"/>
        <w:rPr>
          <w:rFonts w:ascii="Arial" w:hAnsi="Arial" w:cs="Arial"/>
          <w:sz w:val="24"/>
          <w:szCs w:val="24"/>
          <w:lang w:val="en-AU"/>
        </w:rPr>
      </w:pPr>
      <w:r w:rsidRPr="00CA7D07">
        <w:rPr>
          <w:rFonts w:ascii="Arial" w:hAnsi="Arial" w:cs="Arial"/>
          <w:sz w:val="24"/>
          <w:szCs w:val="24"/>
          <w:lang w:val="en-AU"/>
        </w:rPr>
        <w:t>Philosophy and guiding principles of the NDIS (33)</w:t>
      </w:r>
    </w:p>
    <w:p w14:paraId="2660D62B" w14:textId="77777777" w:rsidR="0085726A" w:rsidRPr="00CA7D07" w:rsidRDefault="0085726A" w:rsidP="00357F76">
      <w:pPr>
        <w:pStyle w:val="ListParagraph"/>
        <w:numPr>
          <w:ilvl w:val="0"/>
          <w:numId w:val="4"/>
        </w:numPr>
        <w:spacing w:before="240" w:after="240" w:line="360" w:lineRule="auto"/>
        <w:rPr>
          <w:rFonts w:ascii="Arial" w:hAnsi="Arial" w:cs="Arial"/>
          <w:sz w:val="24"/>
          <w:szCs w:val="24"/>
          <w:lang w:val="en-AU"/>
        </w:rPr>
      </w:pPr>
      <w:r w:rsidRPr="00CA7D07">
        <w:rPr>
          <w:rFonts w:ascii="Arial" w:hAnsi="Arial" w:cs="Arial"/>
          <w:sz w:val="24"/>
          <w:szCs w:val="24"/>
          <w:lang w:val="en-AU"/>
        </w:rPr>
        <w:t>Access to specialised supports and services (26)</w:t>
      </w:r>
    </w:p>
    <w:p w14:paraId="7FFDA3D9" w14:textId="77777777" w:rsidR="0085726A" w:rsidRPr="00CA7D07" w:rsidRDefault="0085726A" w:rsidP="00357F76">
      <w:pPr>
        <w:spacing w:before="240" w:after="240" w:line="360" w:lineRule="auto"/>
        <w:rPr>
          <w:rFonts w:ascii="Arial" w:hAnsi="Arial" w:cs="Arial"/>
          <w:sz w:val="24"/>
          <w:szCs w:val="24"/>
          <w:lang w:val="en-AU"/>
        </w:rPr>
      </w:pPr>
      <w:r w:rsidRPr="00CA7D07">
        <w:rPr>
          <w:rFonts w:ascii="Arial" w:hAnsi="Arial" w:cs="Arial"/>
          <w:sz w:val="24"/>
          <w:szCs w:val="24"/>
          <w:lang w:val="en-AU" w:eastAsia="en-AU"/>
        </w:rPr>
        <w:t>What areas of the NDIS need to be improved to work better for your participants and organisation? (262)</w:t>
      </w:r>
    </w:p>
    <w:p w14:paraId="4083BEBB" w14:textId="77777777" w:rsidR="0085726A" w:rsidRPr="00CA7D07" w:rsidRDefault="0085726A" w:rsidP="00357F76">
      <w:pPr>
        <w:pStyle w:val="ListParagraph"/>
        <w:numPr>
          <w:ilvl w:val="0"/>
          <w:numId w:val="5"/>
        </w:numPr>
        <w:spacing w:before="240" w:after="240" w:line="360" w:lineRule="auto"/>
        <w:rPr>
          <w:rFonts w:ascii="Arial" w:hAnsi="Arial" w:cs="Arial"/>
          <w:sz w:val="24"/>
          <w:szCs w:val="24"/>
          <w:lang w:val="en-AU"/>
        </w:rPr>
      </w:pPr>
      <w:r w:rsidRPr="00CA7D07">
        <w:rPr>
          <w:rFonts w:ascii="Arial" w:hAnsi="Arial" w:cs="Arial"/>
          <w:sz w:val="24"/>
          <w:szCs w:val="24"/>
          <w:lang w:val="en-AU"/>
        </w:rPr>
        <w:t>NDIS pricing does not reflect the true cost of doing business (139)</w:t>
      </w:r>
    </w:p>
    <w:p w14:paraId="1938F25D" w14:textId="77777777" w:rsidR="0085726A" w:rsidRPr="00CA7D07" w:rsidRDefault="0085726A" w:rsidP="00357F76">
      <w:pPr>
        <w:pStyle w:val="ListParagraph"/>
        <w:numPr>
          <w:ilvl w:val="0"/>
          <w:numId w:val="5"/>
        </w:numPr>
        <w:spacing w:before="240" w:after="240" w:line="360" w:lineRule="auto"/>
        <w:rPr>
          <w:rFonts w:ascii="Arial" w:hAnsi="Arial" w:cs="Arial"/>
          <w:sz w:val="24"/>
          <w:szCs w:val="24"/>
          <w:lang w:val="en-AU"/>
        </w:rPr>
      </w:pPr>
      <w:r w:rsidRPr="00CA7D07">
        <w:rPr>
          <w:rFonts w:ascii="Arial" w:hAnsi="Arial" w:cs="Arial"/>
          <w:sz w:val="24"/>
          <w:szCs w:val="24"/>
          <w:lang w:val="en-AU"/>
        </w:rPr>
        <w:t>Market sustainability (regional/remote areas, workforce shortages etc.) (9)</w:t>
      </w:r>
    </w:p>
    <w:p w14:paraId="38B698E0" w14:textId="77777777" w:rsidR="0085726A" w:rsidRPr="00CA7D07" w:rsidRDefault="0085726A" w:rsidP="00357F76">
      <w:pPr>
        <w:pStyle w:val="ListParagraph"/>
        <w:numPr>
          <w:ilvl w:val="0"/>
          <w:numId w:val="5"/>
        </w:numPr>
        <w:spacing w:before="240" w:after="240" w:line="360" w:lineRule="auto"/>
        <w:rPr>
          <w:rFonts w:ascii="Arial" w:hAnsi="Arial" w:cs="Arial"/>
          <w:sz w:val="24"/>
          <w:szCs w:val="24"/>
          <w:lang w:val="en-AU"/>
        </w:rPr>
      </w:pPr>
      <w:r w:rsidRPr="00CA7D07">
        <w:rPr>
          <w:rFonts w:ascii="Arial" w:hAnsi="Arial" w:cs="Arial"/>
          <w:sz w:val="24"/>
          <w:szCs w:val="24"/>
          <w:lang w:val="en-AU"/>
        </w:rPr>
        <w:t>Timely and consistent advice to participants and providers (16)</w:t>
      </w:r>
    </w:p>
    <w:p w14:paraId="5013A0F7" w14:textId="77777777" w:rsidR="0085726A" w:rsidRPr="00CA7D07" w:rsidRDefault="0085726A" w:rsidP="00357F76">
      <w:pPr>
        <w:pStyle w:val="ListParagraph"/>
        <w:numPr>
          <w:ilvl w:val="0"/>
          <w:numId w:val="5"/>
        </w:numPr>
        <w:spacing w:before="240" w:after="240" w:line="360" w:lineRule="auto"/>
        <w:rPr>
          <w:rFonts w:ascii="Arial" w:hAnsi="Arial" w:cs="Arial"/>
          <w:sz w:val="24"/>
          <w:szCs w:val="24"/>
          <w:lang w:val="en-AU"/>
        </w:rPr>
      </w:pPr>
      <w:r w:rsidRPr="00CA7D07">
        <w:rPr>
          <w:rFonts w:ascii="Arial" w:hAnsi="Arial" w:cs="Arial"/>
          <w:sz w:val="24"/>
          <w:szCs w:val="24"/>
          <w:lang w:val="en-AU"/>
        </w:rPr>
        <w:t>Plan approval and review processes (32)</w:t>
      </w:r>
    </w:p>
    <w:p w14:paraId="1C130A89" w14:textId="77777777" w:rsidR="0085726A" w:rsidRPr="00CA7D07" w:rsidRDefault="0085726A" w:rsidP="00357F76">
      <w:pPr>
        <w:pStyle w:val="ListParagraph"/>
        <w:numPr>
          <w:ilvl w:val="0"/>
          <w:numId w:val="5"/>
        </w:numPr>
        <w:spacing w:before="240" w:after="240" w:line="360" w:lineRule="auto"/>
        <w:rPr>
          <w:rFonts w:ascii="Arial" w:hAnsi="Arial" w:cs="Arial"/>
          <w:sz w:val="24"/>
          <w:szCs w:val="24"/>
          <w:lang w:val="en-AU"/>
        </w:rPr>
      </w:pPr>
      <w:r w:rsidRPr="00CA7D07">
        <w:rPr>
          <w:rFonts w:ascii="Arial" w:hAnsi="Arial" w:cs="Arial"/>
          <w:sz w:val="24"/>
          <w:szCs w:val="24"/>
          <w:lang w:val="en-AU"/>
        </w:rPr>
        <w:t>Even the playing field between unregistered and registered providers (66)</w:t>
      </w:r>
    </w:p>
    <w:p w14:paraId="681058DE" w14:textId="48FDF09F" w:rsidR="0085726A" w:rsidRPr="00CA7D07" w:rsidRDefault="0085726A" w:rsidP="00357F76">
      <w:pPr>
        <w:spacing w:before="240" w:after="240" w:line="360" w:lineRule="auto"/>
        <w:rPr>
          <w:rFonts w:ascii="Arial" w:hAnsi="Arial" w:cs="Arial"/>
          <w:sz w:val="24"/>
          <w:szCs w:val="24"/>
          <w:lang w:val="en-AU"/>
        </w:rPr>
      </w:pPr>
      <w:r w:rsidRPr="00CA7D07">
        <w:rPr>
          <w:rFonts w:ascii="Arial" w:hAnsi="Arial" w:cs="Arial"/>
          <w:sz w:val="24"/>
          <w:szCs w:val="24"/>
          <w:lang w:val="en-AU"/>
        </w:rPr>
        <w:t xml:space="preserve">What do you think would be a </w:t>
      </w:r>
      <w:r>
        <w:rPr>
          <w:rFonts w:ascii="Arial" w:hAnsi="Arial" w:cs="Arial"/>
          <w:sz w:val="24"/>
          <w:szCs w:val="24"/>
          <w:lang w:val="en-AU"/>
        </w:rPr>
        <w:t>‘</w:t>
      </w:r>
      <w:r w:rsidRPr="00580EAC">
        <w:rPr>
          <w:rFonts w:ascii="Arial" w:hAnsi="Arial" w:cs="Arial"/>
          <w:sz w:val="24"/>
          <w:szCs w:val="24"/>
          <w:lang w:val="en-AU"/>
        </w:rPr>
        <w:t>quick win</w:t>
      </w:r>
      <w:r>
        <w:rPr>
          <w:rFonts w:ascii="Arial" w:hAnsi="Arial" w:cs="Arial"/>
          <w:sz w:val="24"/>
          <w:szCs w:val="24"/>
          <w:lang w:val="en-AU"/>
        </w:rPr>
        <w:t>’</w:t>
      </w:r>
      <w:r w:rsidRPr="00CA7D07">
        <w:rPr>
          <w:rFonts w:ascii="Arial" w:hAnsi="Arial" w:cs="Arial"/>
          <w:sz w:val="24"/>
          <w:szCs w:val="24"/>
          <w:lang w:val="en-AU"/>
        </w:rPr>
        <w:t xml:space="preserve"> to address inefficiencies or waste in the NDIS that would benefit participants and the sector? (</w:t>
      </w:r>
      <w:r w:rsidRPr="009C209E">
        <w:rPr>
          <w:rFonts w:ascii="Arial" w:hAnsi="Arial" w:cs="Arial"/>
          <w:sz w:val="24"/>
          <w:szCs w:val="24"/>
          <w:lang w:val="en-AU"/>
        </w:rPr>
        <w:t>25</w:t>
      </w:r>
      <w:r>
        <w:rPr>
          <w:rFonts w:ascii="Arial" w:hAnsi="Arial" w:cs="Arial"/>
          <w:sz w:val="24"/>
          <w:szCs w:val="24"/>
          <w:lang w:val="en-AU"/>
        </w:rPr>
        <w:t>0</w:t>
      </w:r>
      <w:r w:rsidRPr="00CA7D07">
        <w:rPr>
          <w:rFonts w:ascii="Arial" w:hAnsi="Arial" w:cs="Arial"/>
          <w:sz w:val="24"/>
          <w:szCs w:val="24"/>
          <w:lang w:val="en-AU"/>
        </w:rPr>
        <w:t>)</w:t>
      </w:r>
    </w:p>
    <w:p w14:paraId="37DA7D0E" w14:textId="53D8E6C6" w:rsidR="0085726A" w:rsidRPr="00CA7D07" w:rsidRDefault="0085726A" w:rsidP="00357F76">
      <w:pPr>
        <w:pStyle w:val="ListParagraph"/>
        <w:numPr>
          <w:ilvl w:val="0"/>
          <w:numId w:val="6"/>
        </w:numPr>
        <w:spacing w:before="240" w:after="240" w:line="360" w:lineRule="auto"/>
        <w:rPr>
          <w:rFonts w:ascii="Arial" w:hAnsi="Arial" w:cs="Arial"/>
          <w:sz w:val="24"/>
          <w:szCs w:val="24"/>
          <w:lang w:val="en-AU"/>
        </w:rPr>
      </w:pPr>
      <w:r w:rsidRPr="00CA7D07">
        <w:rPr>
          <w:rFonts w:ascii="Arial" w:hAnsi="Arial" w:cs="Arial"/>
          <w:sz w:val="24"/>
          <w:szCs w:val="24"/>
          <w:lang w:val="en-AU"/>
        </w:rPr>
        <w:t>Longer indexed plans with reviews only when required (94)</w:t>
      </w:r>
    </w:p>
    <w:p w14:paraId="53FC5E8C" w14:textId="022B2B31" w:rsidR="0085726A" w:rsidRPr="00CA7D07" w:rsidRDefault="0085726A" w:rsidP="00357F76">
      <w:pPr>
        <w:pStyle w:val="ListParagraph"/>
        <w:numPr>
          <w:ilvl w:val="0"/>
          <w:numId w:val="6"/>
        </w:numPr>
        <w:spacing w:before="240" w:after="240" w:line="360" w:lineRule="auto"/>
        <w:rPr>
          <w:rFonts w:ascii="Arial" w:hAnsi="Arial" w:cs="Arial"/>
          <w:sz w:val="24"/>
          <w:szCs w:val="24"/>
          <w:lang w:val="en-AU"/>
        </w:rPr>
      </w:pPr>
      <w:r w:rsidRPr="00CA7D07">
        <w:rPr>
          <w:rFonts w:ascii="Arial" w:hAnsi="Arial" w:cs="Arial"/>
          <w:sz w:val="24"/>
          <w:szCs w:val="24"/>
          <w:lang w:val="en-AU"/>
        </w:rPr>
        <w:t>Increased transparency and communication related to planning decisions (27)</w:t>
      </w:r>
    </w:p>
    <w:p w14:paraId="13C4003F" w14:textId="45E0CA26" w:rsidR="0085726A" w:rsidRPr="00CA7D07" w:rsidRDefault="0085726A" w:rsidP="00357F76">
      <w:pPr>
        <w:pStyle w:val="ListParagraph"/>
        <w:numPr>
          <w:ilvl w:val="0"/>
          <w:numId w:val="6"/>
        </w:numPr>
        <w:spacing w:before="240" w:after="240" w:line="360" w:lineRule="auto"/>
        <w:rPr>
          <w:rFonts w:ascii="Arial" w:hAnsi="Arial" w:cs="Arial"/>
          <w:sz w:val="24"/>
          <w:szCs w:val="24"/>
          <w:lang w:val="en-AU"/>
        </w:rPr>
      </w:pPr>
      <w:r w:rsidRPr="00CA7D07">
        <w:rPr>
          <w:rFonts w:ascii="Arial" w:hAnsi="Arial" w:cs="Arial"/>
          <w:sz w:val="24"/>
          <w:szCs w:val="24"/>
          <w:lang w:val="en-AU"/>
        </w:rPr>
        <w:t>Systems that enable minor issues to be resolved at point of contact (</w:t>
      </w:r>
      <w:r w:rsidRPr="009C209E">
        <w:rPr>
          <w:rFonts w:ascii="Arial" w:hAnsi="Arial" w:cs="Arial"/>
          <w:sz w:val="24"/>
          <w:szCs w:val="24"/>
          <w:lang w:val="en-AU"/>
        </w:rPr>
        <w:t>e.g.,</w:t>
      </w:r>
      <w:r w:rsidRPr="00CA7D07">
        <w:rPr>
          <w:rFonts w:ascii="Arial" w:hAnsi="Arial" w:cs="Arial"/>
          <w:sz w:val="24"/>
          <w:szCs w:val="24"/>
          <w:lang w:val="en-AU"/>
        </w:rPr>
        <w:t xml:space="preserve"> provider </w:t>
      </w:r>
      <w:r>
        <w:rPr>
          <w:rFonts w:ascii="Arial" w:hAnsi="Arial" w:cs="Arial"/>
          <w:sz w:val="24"/>
          <w:szCs w:val="24"/>
          <w:lang w:val="en-AU"/>
        </w:rPr>
        <w:t>‘</w:t>
      </w:r>
      <w:r w:rsidRPr="00580EAC">
        <w:rPr>
          <w:rFonts w:ascii="Arial" w:hAnsi="Arial" w:cs="Arial"/>
          <w:sz w:val="24"/>
          <w:szCs w:val="24"/>
          <w:lang w:val="en-AU"/>
        </w:rPr>
        <w:t>hotline</w:t>
      </w:r>
      <w:r>
        <w:rPr>
          <w:rFonts w:ascii="Arial" w:hAnsi="Arial" w:cs="Arial"/>
          <w:sz w:val="24"/>
          <w:szCs w:val="24"/>
          <w:lang w:val="en-AU"/>
        </w:rPr>
        <w:t>’</w:t>
      </w:r>
      <w:r w:rsidRPr="00CA7D07">
        <w:rPr>
          <w:rFonts w:ascii="Arial" w:hAnsi="Arial" w:cs="Arial"/>
          <w:sz w:val="24"/>
          <w:szCs w:val="24"/>
          <w:lang w:val="en-AU"/>
        </w:rPr>
        <w:t>) (45)</w:t>
      </w:r>
    </w:p>
    <w:p w14:paraId="614A2D21" w14:textId="3C070B60" w:rsidR="0085726A" w:rsidRPr="00CA7D07" w:rsidRDefault="0085726A" w:rsidP="00357F76">
      <w:pPr>
        <w:pStyle w:val="ListParagraph"/>
        <w:numPr>
          <w:ilvl w:val="0"/>
          <w:numId w:val="6"/>
        </w:numPr>
        <w:spacing w:before="240" w:after="240" w:line="360" w:lineRule="auto"/>
        <w:rPr>
          <w:rFonts w:ascii="Arial" w:hAnsi="Arial" w:cs="Arial"/>
          <w:sz w:val="24"/>
          <w:szCs w:val="24"/>
          <w:lang w:val="en-AU"/>
        </w:rPr>
      </w:pPr>
      <w:r w:rsidRPr="00CA7D07">
        <w:rPr>
          <w:rFonts w:ascii="Arial" w:hAnsi="Arial" w:cs="Arial"/>
          <w:sz w:val="24"/>
          <w:szCs w:val="24"/>
          <w:lang w:val="en-AU"/>
        </w:rPr>
        <w:t>Target areas of waste and inefficiency (e.g., targeted payment assurance; reduce duplicative reporting/red tape) (44)</w:t>
      </w:r>
    </w:p>
    <w:p w14:paraId="28AD717D" w14:textId="1F4CADCD" w:rsidR="0085726A" w:rsidRPr="00CA7D07" w:rsidRDefault="0085726A" w:rsidP="00357F76">
      <w:pPr>
        <w:pStyle w:val="ListParagraph"/>
        <w:numPr>
          <w:ilvl w:val="0"/>
          <w:numId w:val="6"/>
        </w:numPr>
        <w:spacing w:before="240" w:after="240" w:line="360" w:lineRule="auto"/>
        <w:rPr>
          <w:rFonts w:ascii="Arial" w:hAnsi="Arial" w:cs="Arial"/>
          <w:sz w:val="24"/>
          <w:szCs w:val="24"/>
          <w:lang w:val="en-AU"/>
        </w:rPr>
      </w:pPr>
      <w:r w:rsidRPr="00CA7D07">
        <w:rPr>
          <w:rFonts w:ascii="Arial" w:hAnsi="Arial" w:cs="Arial"/>
          <w:sz w:val="24"/>
          <w:szCs w:val="24"/>
          <w:lang w:val="en-AU"/>
        </w:rPr>
        <w:lastRenderedPageBreak/>
        <w:t>Simplify and improve claiming and plan management options for participants and providers (40)</w:t>
      </w:r>
    </w:p>
    <w:p w14:paraId="6E7C6826" w14:textId="04FE117D" w:rsidR="0085726A" w:rsidRPr="00580EAC" w:rsidRDefault="0085726A" w:rsidP="00357F76">
      <w:pPr>
        <w:pStyle w:val="Heading2"/>
        <w:spacing w:before="240" w:after="240" w:line="360" w:lineRule="auto"/>
        <w:rPr>
          <w:rFonts w:ascii="Arial" w:hAnsi="Arial" w:cs="Arial"/>
        </w:rPr>
      </w:pPr>
      <w:bookmarkStart w:id="11" w:name="_Toc127277085"/>
      <w:r w:rsidRPr="00EE5C24">
        <w:rPr>
          <w:rFonts w:ascii="Arial" w:hAnsi="Arial" w:cs="Arial"/>
        </w:rPr>
        <w:t xml:space="preserve">A note about </w:t>
      </w:r>
      <w:r w:rsidRPr="00BF6171">
        <w:rPr>
          <w:rFonts w:ascii="Arial" w:hAnsi="Arial" w:cs="Arial"/>
        </w:rPr>
        <w:t>‘quick wins’</w:t>
      </w:r>
      <w:bookmarkEnd w:id="11"/>
    </w:p>
    <w:p w14:paraId="78AE26BA" w14:textId="57CA2202" w:rsidR="0085726A" w:rsidRPr="00EE5C24" w:rsidRDefault="0085726A" w:rsidP="00357F76">
      <w:pPr>
        <w:spacing w:before="240" w:after="240" w:line="360" w:lineRule="auto"/>
        <w:rPr>
          <w:rFonts w:ascii="Arial" w:hAnsi="Arial" w:cs="Arial"/>
          <w:sz w:val="24"/>
          <w:szCs w:val="24"/>
        </w:rPr>
      </w:pPr>
      <w:r>
        <w:rPr>
          <w:rFonts w:ascii="Arial" w:hAnsi="Arial" w:cs="Arial"/>
          <w:sz w:val="24"/>
          <w:szCs w:val="24"/>
          <w:lang w:val="en-AU"/>
        </w:rPr>
        <w:t>NDS members</w:t>
      </w:r>
      <w:r w:rsidRPr="009C209E">
        <w:rPr>
          <w:rFonts w:ascii="Arial" w:hAnsi="Arial" w:cs="Arial"/>
          <w:sz w:val="24"/>
          <w:szCs w:val="24"/>
          <w:lang w:val="en-AU"/>
        </w:rPr>
        <w:t xml:space="preserve"> </w:t>
      </w:r>
      <w:r>
        <w:rPr>
          <w:rFonts w:ascii="Arial" w:hAnsi="Arial" w:cs="Arial"/>
          <w:sz w:val="24"/>
          <w:szCs w:val="24"/>
          <w:lang w:val="en-AU"/>
        </w:rPr>
        <w:t>have</w:t>
      </w:r>
      <w:r w:rsidRPr="009C209E">
        <w:rPr>
          <w:rFonts w:ascii="Arial" w:hAnsi="Arial" w:cs="Arial"/>
          <w:sz w:val="24"/>
          <w:szCs w:val="24"/>
          <w:lang w:val="en-AU"/>
        </w:rPr>
        <w:t xml:space="preserve"> identif</w:t>
      </w:r>
      <w:r>
        <w:rPr>
          <w:rFonts w:ascii="Arial" w:hAnsi="Arial" w:cs="Arial"/>
          <w:sz w:val="24"/>
          <w:szCs w:val="24"/>
          <w:lang w:val="en-AU"/>
        </w:rPr>
        <w:t xml:space="preserve">ied key areas for the Independent Review Panel that will positively impact the </w:t>
      </w:r>
      <w:r w:rsidRPr="009C209E">
        <w:rPr>
          <w:rFonts w:ascii="Arial" w:hAnsi="Arial" w:cs="Arial"/>
          <w:sz w:val="24"/>
          <w:szCs w:val="24"/>
          <w:lang w:val="en-AU"/>
        </w:rPr>
        <w:t>inefficiencies and areas of waste in the NDIS</w:t>
      </w:r>
      <w:r>
        <w:rPr>
          <w:rFonts w:ascii="Arial" w:hAnsi="Arial" w:cs="Arial"/>
          <w:sz w:val="24"/>
          <w:szCs w:val="24"/>
          <w:lang w:val="en-AU"/>
        </w:rPr>
        <w:t>.</w:t>
      </w:r>
      <w:r w:rsidRPr="009C209E">
        <w:rPr>
          <w:rFonts w:ascii="Arial" w:hAnsi="Arial" w:cs="Arial"/>
          <w:sz w:val="24"/>
          <w:szCs w:val="24"/>
          <w:lang w:val="en-AU"/>
        </w:rPr>
        <w:t xml:space="preserve"> </w:t>
      </w:r>
      <w:r>
        <w:rPr>
          <w:rFonts w:ascii="Arial" w:hAnsi="Arial" w:cs="Arial"/>
          <w:sz w:val="24"/>
          <w:szCs w:val="24"/>
          <w:lang w:val="en-AU"/>
        </w:rPr>
        <w:t xml:space="preserve">While these have been labelled as ‘quick wins,’ it is important to note that some of these issues are </w:t>
      </w:r>
      <w:r w:rsidRPr="009C209E">
        <w:rPr>
          <w:rFonts w:ascii="Arial" w:hAnsi="Arial" w:cs="Arial"/>
          <w:sz w:val="24"/>
          <w:szCs w:val="24"/>
          <w:lang w:val="en-AU"/>
        </w:rPr>
        <w:t>longstanding issues</w:t>
      </w:r>
      <w:r>
        <w:rPr>
          <w:rFonts w:ascii="Arial" w:hAnsi="Arial" w:cs="Arial"/>
          <w:sz w:val="24"/>
          <w:szCs w:val="24"/>
          <w:lang w:val="en-AU"/>
        </w:rPr>
        <w:t xml:space="preserve"> and </w:t>
      </w:r>
      <w:r w:rsidRPr="009C209E">
        <w:rPr>
          <w:rFonts w:ascii="Arial" w:hAnsi="Arial" w:cs="Arial"/>
          <w:sz w:val="24"/>
          <w:szCs w:val="24"/>
          <w:lang w:val="en-AU"/>
        </w:rPr>
        <w:t>will not be fixed overnight</w:t>
      </w:r>
      <w:r>
        <w:rPr>
          <w:rFonts w:ascii="Arial" w:hAnsi="Arial" w:cs="Arial"/>
          <w:sz w:val="24"/>
          <w:szCs w:val="24"/>
          <w:lang w:val="en-AU"/>
        </w:rPr>
        <w:t>.</w:t>
      </w:r>
      <w:r w:rsidRPr="009C209E">
        <w:rPr>
          <w:rFonts w:ascii="Arial" w:hAnsi="Arial" w:cs="Arial"/>
          <w:sz w:val="24"/>
          <w:szCs w:val="24"/>
          <w:lang w:val="en-AU"/>
        </w:rPr>
        <w:t xml:space="preserve"> </w:t>
      </w:r>
      <w:r>
        <w:rPr>
          <w:rFonts w:ascii="Arial" w:hAnsi="Arial" w:cs="Arial"/>
          <w:sz w:val="24"/>
          <w:szCs w:val="24"/>
          <w:lang w:val="en-AU"/>
        </w:rPr>
        <w:t xml:space="preserve">Even ‘obvious’ solutions and strategies identified through the NDIS Review will still need well considered responses that are codesigned with participants, </w:t>
      </w:r>
      <w:proofErr w:type="gramStart"/>
      <w:r>
        <w:rPr>
          <w:rFonts w:ascii="Arial" w:hAnsi="Arial" w:cs="Arial"/>
          <w:sz w:val="24"/>
          <w:szCs w:val="24"/>
          <w:lang w:val="en-AU"/>
        </w:rPr>
        <w:t>providers</w:t>
      </w:r>
      <w:proofErr w:type="gramEnd"/>
      <w:r>
        <w:rPr>
          <w:rFonts w:ascii="Arial" w:hAnsi="Arial" w:cs="Arial"/>
          <w:sz w:val="24"/>
          <w:szCs w:val="24"/>
          <w:lang w:val="en-AU"/>
        </w:rPr>
        <w:t xml:space="preserve"> and other stakeholders.</w:t>
      </w:r>
    </w:p>
    <w:p w14:paraId="74BF2A8B" w14:textId="055A6A56" w:rsidR="0085726A" w:rsidRPr="00CA7D07" w:rsidRDefault="0085726A" w:rsidP="00357F76">
      <w:pPr>
        <w:pStyle w:val="Heading1"/>
        <w:spacing w:beforeAutospacing="0" w:after="240" w:line="360" w:lineRule="auto"/>
        <w:rPr>
          <w:rFonts w:cs="Arial"/>
        </w:rPr>
      </w:pPr>
      <w:bookmarkStart w:id="12" w:name="_Toc127277086"/>
      <w:r w:rsidRPr="00CA7D07">
        <w:rPr>
          <w:rFonts w:cs="Arial"/>
        </w:rPr>
        <w:t>Relevant Issues</w:t>
      </w:r>
      <w:bookmarkEnd w:id="12"/>
    </w:p>
    <w:p w14:paraId="326D59DE" w14:textId="042D851F" w:rsidR="0085726A" w:rsidRPr="009C209E" w:rsidRDefault="0085726A" w:rsidP="00357F76">
      <w:pPr>
        <w:pStyle w:val="Heading2"/>
        <w:spacing w:before="240" w:after="240" w:line="360" w:lineRule="auto"/>
        <w:rPr>
          <w:rFonts w:ascii="Arial" w:hAnsi="Arial" w:cs="Arial"/>
          <w:lang w:val="en-AU"/>
        </w:rPr>
      </w:pPr>
      <w:bookmarkStart w:id="13" w:name="_Toc127277087"/>
      <w:r w:rsidRPr="009C209E">
        <w:rPr>
          <w:rFonts w:ascii="Arial" w:hAnsi="Arial" w:cs="Arial"/>
          <w:lang w:val="en-AU"/>
        </w:rPr>
        <w:t>Regulation and registration</w:t>
      </w:r>
      <w:bookmarkEnd w:id="13"/>
      <w:r w:rsidRPr="009C209E">
        <w:rPr>
          <w:rFonts w:ascii="Arial" w:hAnsi="Arial" w:cs="Arial"/>
          <w:lang w:val="en-AU"/>
        </w:rPr>
        <w:t xml:space="preserve"> </w:t>
      </w:r>
    </w:p>
    <w:p w14:paraId="610CF6C5" w14:textId="25FD5D6E" w:rsidR="0085726A" w:rsidRDefault="0085726A" w:rsidP="00357F76">
      <w:pPr>
        <w:spacing w:before="240" w:after="240" w:line="360" w:lineRule="auto"/>
        <w:rPr>
          <w:rFonts w:ascii="Arial" w:hAnsi="Arial" w:cs="Arial"/>
          <w:sz w:val="24"/>
          <w:szCs w:val="24"/>
          <w:lang w:val="en-AU"/>
        </w:rPr>
      </w:pPr>
      <w:r>
        <w:rPr>
          <w:rFonts w:ascii="Arial" w:hAnsi="Arial" w:cs="Arial"/>
          <w:sz w:val="24"/>
          <w:szCs w:val="24"/>
          <w:lang w:val="en-AU"/>
        </w:rPr>
        <w:t xml:space="preserve">As indicated in both the State of the Disability Sector report and the pulse survey, providers are concerned about the effectiveness of the current Quality and Safeguarding Framework in supporting and driving safe and quality services for NDIS participants. The sector has been pleased to see some engagement from the NDIS Commission on the issue of registered and unregistered providers. This issue is likely to require a nuanced approach based on the relative risks of the supports being provided with higher levels of oversight required for supports such as personal care and accommodation. However, NDS believes that at a minimum all workers in risk assessed roles should require </w:t>
      </w:r>
      <w:r w:rsidRPr="00580EAC">
        <w:rPr>
          <w:rFonts w:ascii="Arial" w:hAnsi="Arial" w:cs="Arial"/>
          <w:sz w:val="24"/>
          <w:szCs w:val="24"/>
          <w:lang w:val="en-AU"/>
        </w:rPr>
        <w:t>a</w:t>
      </w:r>
      <w:r>
        <w:rPr>
          <w:rFonts w:ascii="Arial" w:hAnsi="Arial" w:cs="Arial"/>
          <w:sz w:val="24"/>
          <w:szCs w:val="24"/>
          <w:lang w:val="en-AU"/>
        </w:rPr>
        <w:t xml:space="preserve"> NDIS Worker Screening. Providers are also keen to see a regulatory approach that balances compliance and auditing with educative and developmental approaches that support good practice and innovation. </w:t>
      </w:r>
    </w:p>
    <w:p w14:paraId="19774C81" w14:textId="0ADAE3A7" w:rsidR="0085726A" w:rsidRDefault="0085726A" w:rsidP="00357F76">
      <w:pPr>
        <w:spacing w:before="240" w:after="240" w:line="360" w:lineRule="auto"/>
        <w:rPr>
          <w:rFonts w:ascii="Arial" w:hAnsi="Arial" w:cs="Arial"/>
          <w:sz w:val="24"/>
          <w:szCs w:val="24"/>
          <w:lang w:val="en-AU"/>
        </w:rPr>
      </w:pPr>
      <w:r>
        <w:rPr>
          <w:rFonts w:ascii="Arial" w:hAnsi="Arial" w:cs="Arial"/>
          <w:sz w:val="24"/>
          <w:szCs w:val="24"/>
          <w:lang w:val="en-AU"/>
        </w:rPr>
        <w:t>Work that has already commenced to</w:t>
      </w:r>
      <w:r w:rsidRPr="00CA7D07">
        <w:rPr>
          <w:rFonts w:ascii="Arial" w:hAnsi="Arial" w:cs="Arial"/>
          <w:sz w:val="24"/>
          <w:szCs w:val="24"/>
          <w:lang w:val="en-AU"/>
        </w:rPr>
        <w:t xml:space="preserve"> better alig</w:t>
      </w:r>
      <w:r>
        <w:rPr>
          <w:rFonts w:ascii="Arial" w:hAnsi="Arial" w:cs="Arial"/>
          <w:sz w:val="24"/>
          <w:szCs w:val="24"/>
          <w:lang w:val="en-AU"/>
        </w:rPr>
        <w:t>n</w:t>
      </w:r>
      <w:r w:rsidRPr="00CA7D07">
        <w:rPr>
          <w:rFonts w:ascii="Arial" w:hAnsi="Arial" w:cs="Arial"/>
          <w:sz w:val="24"/>
          <w:szCs w:val="24"/>
          <w:lang w:val="en-AU"/>
        </w:rPr>
        <w:t xml:space="preserve"> regulation and reduce duplication across the care and support sectors</w:t>
      </w:r>
      <w:r>
        <w:rPr>
          <w:rFonts w:ascii="Arial" w:hAnsi="Arial" w:cs="Arial"/>
          <w:sz w:val="24"/>
          <w:szCs w:val="24"/>
          <w:lang w:val="en-AU"/>
        </w:rPr>
        <w:t xml:space="preserve"> is welcome and holds promise in reducing red tape and duplicative reporting</w:t>
      </w:r>
      <w:r w:rsidRPr="00CA7D07">
        <w:rPr>
          <w:rFonts w:ascii="Arial" w:hAnsi="Arial" w:cs="Arial"/>
          <w:sz w:val="24"/>
          <w:szCs w:val="24"/>
          <w:lang w:val="en-AU"/>
        </w:rPr>
        <w:t xml:space="preserve">. The first reforms saw changes to aged care legislation to recognise NDIS </w:t>
      </w:r>
      <w:r>
        <w:rPr>
          <w:rFonts w:ascii="Arial" w:hAnsi="Arial" w:cs="Arial"/>
          <w:sz w:val="24"/>
          <w:szCs w:val="24"/>
          <w:lang w:val="en-AU"/>
        </w:rPr>
        <w:t>W</w:t>
      </w:r>
      <w:r w:rsidRPr="00580EAC">
        <w:rPr>
          <w:rFonts w:ascii="Arial" w:hAnsi="Arial" w:cs="Arial"/>
          <w:sz w:val="24"/>
          <w:szCs w:val="24"/>
          <w:lang w:val="en-AU"/>
        </w:rPr>
        <w:t xml:space="preserve">orker </w:t>
      </w:r>
      <w:r>
        <w:rPr>
          <w:rFonts w:ascii="Arial" w:hAnsi="Arial" w:cs="Arial"/>
          <w:sz w:val="24"/>
          <w:szCs w:val="24"/>
          <w:lang w:val="en-AU"/>
        </w:rPr>
        <w:t>S</w:t>
      </w:r>
      <w:r w:rsidRPr="00CA7D07">
        <w:rPr>
          <w:rFonts w:ascii="Arial" w:hAnsi="Arial" w:cs="Arial"/>
          <w:sz w:val="24"/>
          <w:szCs w:val="24"/>
          <w:lang w:val="en-AU"/>
        </w:rPr>
        <w:t xml:space="preserve">creening clearances. Other proposals on the table include the development of common core and sector specific supplementary service standards and </w:t>
      </w:r>
      <w:r w:rsidRPr="00CA7D07">
        <w:rPr>
          <w:rFonts w:ascii="Arial" w:hAnsi="Arial" w:cs="Arial"/>
          <w:sz w:val="24"/>
          <w:szCs w:val="24"/>
          <w:lang w:val="en-AU"/>
        </w:rPr>
        <w:lastRenderedPageBreak/>
        <w:t xml:space="preserve">single point monitoring (report once, use often). Such proposals have merit in a sector that has been required to adjust to ongoing changes in policies, </w:t>
      </w:r>
      <w:proofErr w:type="gramStart"/>
      <w:r w:rsidRPr="00CA7D07">
        <w:rPr>
          <w:rFonts w:ascii="Arial" w:hAnsi="Arial" w:cs="Arial"/>
          <w:sz w:val="24"/>
          <w:szCs w:val="24"/>
          <w:lang w:val="en-AU"/>
        </w:rPr>
        <w:t>procedures</w:t>
      </w:r>
      <w:proofErr w:type="gramEnd"/>
      <w:r w:rsidRPr="00CA7D07">
        <w:rPr>
          <w:rFonts w:ascii="Arial" w:hAnsi="Arial" w:cs="Arial"/>
          <w:sz w:val="24"/>
          <w:szCs w:val="24"/>
          <w:lang w:val="en-AU"/>
        </w:rPr>
        <w:t xml:space="preserve"> and processes. Alignment activities need to be minimal and fast-tracked, follow a codesign model, and take every opportunity to streamline compliance requirements without compromising quality or safety. </w:t>
      </w:r>
    </w:p>
    <w:p w14:paraId="502E58D4" w14:textId="0A5C3FD5" w:rsidR="0085726A" w:rsidRPr="00CA7D07" w:rsidRDefault="0085726A" w:rsidP="00357F76">
      <w:pPr>
        <w:spacing w:before="240" w:after="240" w:line="360" w:lineRule="auto"/>
        <w:rPr>
          <w:rFonts w:ascii="Arial" w:hAnsi="Arial" w:cs="Arial"/>
          <w:sz w:val="24"/>
          <w:szCs w:val="24"/>
          <w:lang w:val="en-AU"/>
        </w:rPr>
      </w:pPr>
      <w:r w:rsidRPr="00CA7D07">
        <w:rPr>
          <w:rFonts w:ascii="Arial" w:hAnsi="Arial" w:cs="Arial"/>
          <w:sz w:val="24"/>
          <w:szCs w:val="24"/>
          <w:lang w:val="en-AU"/>
        </w:rPr>
        <w:t xml:space="preserve">The NDIS </w:t>
      </w:r>
      <w:r>
        <w:rPr>
          <w:rFonts w:ascii="Arial" w:hAnsi="Arial" w:cs="Arial"/>
          <w:sz w:val="24"/>
          <w:szCs w:val="24"/>
          <w:lang w:val="en-AU"/>
        </w:rPr>
        <w:t>R</w:t>
      </w:r>
      <w:r w:rsidRPr="00CA7D07">
        <w:rPr>
          <w:rFonts w:ascii="Arial" w:hAnsi="Arial" w:cs="Arial"/>
          <w:sz w:val="24"/>
          <w:szCs w:val="24"/>
          <w:lang w:val="en-AU"/>
        </w:rPr>
        <w:t>eview includes a focus on the Quality and Safeguarding Framework and the role of regulation. This will provide a critical opportunity for the sector to give feedback on how quality and safeguarding mechanisms can continue to be improved.</w:t>
      </w:r>
    </w:p>
    <w:p w14:paraId="3FEE97D5" w14:textId="77777777" w:rsidR="0085726A" w:rsidRPr="00CA7D07" w:rsidRDefault="0085726A" w:rsidP="00357F76">
      <w:pPr>
        <w:pStyle w:val="Heading2"/>
        <w:spacing w:before="240" w:after="240" w:line="360" w:lineRule="auto"/>
        <w:rPr>
          <w:rFonts w:ascii="Arial" w:hAnsi="Arial" w:cs="Arial"/>
          <w:lang w:val="en-AU"/>
        </w:rPr>
      </w:pPr>
      <w:bookmarkStart w:id="14" w:name="_Toc127277088"/>
      <w:r w:rsidRPr="00CA7D07">
        <w:rPr>
          <w:rFonts w:ascii="Arial" w:hAnsi="Arial" w:cs="Arial"/>
          <w:lang w:val="en-AU"/>
        </w:rPr>
        <w:t>Pricing</w:t>
      </w:r>
      <w:bookmarkEnd w:id="14"/>
    </w:p>
    <w:p w14:paraId="2BFC3A8B" w14:textId="6FA3353A" w:rsidR="0085726A" w:rsidRDefault="0085726A" w:rsidP="00357F76">
      <w:pPr>
        <w:spacing w:before="240" w:after="240" w:line="360" w:lineRule="auto"/>
        <w:rPr>
          <w:rFonts w:ascii="Arial" w:hAnsi="Arial" w:cs="Arial"/>
          <w:sz w:val="24"/>
          <w:szCs w:val="24"/>
          <w:lang w:val="en-AU" w:eastAsia="en-AU"/>
        </w:rPr>
      </w:pPr>
      <w:r w:rsidRPr="00CA7D07">
        <w:rPr>
          <w:rFonts w:ascii="Arial" w:hAnsi="Arial" w:cs="Arial"/>
          <w:sz w:val="24"/>
          <w:szCs w:val="24"/>
          <w:lang w:val="en-AU"/>
        </w:rPr>
        <w:t xml:space="preserve">NDS members have called for </w:t>
      </w:r>
      <w:r w:rsidRPr="009C209E">
        <w:rPr>
          <w:rFonts w:ascii="Arial" w:hAnsi="Arial" w:cs="Arial"/>
          <w:sz w:val="24"/>
          <w:szCs w:val="24"/>
          <w:lang w:val="en-AU" w:eastAsia="en-AU"/>
        </w:rPr>
        <w:t>a</w:t>
      </w:r>
      <w:r w:rsidRPr="00CA7D07">
        <w:rPr>
          <w:rFonts w:ascii="Arial" w:hAnsi="Arial" w:cs="Arial"/>
          <w:sz w:val="24"/>
          <w:szCs w:val="24"/>
          <w:lang w:val="en-AU" w:eastAsia="en-AU"/>
        </w:rPr>
        <w:t xml:space="preserve"> NDIS that delivers on its vision by establishing fair and transparent pricing mechanisms that are fit for purpose and support positive participant outcomes.</w:t>
      </w:r>
      <w:r>
        <w:rPr>
          <w:rFonts w:ascii="Arial" w:hAnsi="Arial" w:cs="Arial"/>
          <w:sz w:val="24"/>
          <w:szCs w:val="24"/>
          <w:lang w:val="en-AU" w:eastAsia="en-AU"/>
        </w:rPr>
        <w:t xml:space="preserve"> </w:t>
      </w:r>
      <w:r w:rsidRPr="00CA7D07">
        <w:rPr>
          <w:rFonts w:ascii="Arial" w:hAnsi="Arial" w:cs="Arial"/>
          <w:sz w:val="24"/>
          <w:szCs w:val="24"/>
          <w:lang w:val="en-AU"/>
        </w:rPr>
        <w:t>While the recent increase to the pricing of some support categories was very welcome, the underlying hourly rate still does not adequately reflect the large amount of administration required to operate under the Scheme. Inadequate NDIS prices pose a risk not only to individual disability service providers, but to the Scheme as a whole. Concerningly, NDS’s</w:t>
      </w:r>
      <w:r w:rsidRPr="00580EAC">
        <w:rPr>
          <w:rFonts w:ascii="Arial" w:hAnsi="Arial" w:cs="Arial"/>
          <w:sz w:val="24"/>
          <w:szCs w:val="24"/>
          <w:lang w:val="en-AU"/>
        </w:rPr>
        <w:t xml:space="preserve"> </w:t>
      </w:r>
      <w:r>
        <w:rPr>
          <w:rFonts w:ascii="Arial" w:hAnsi="Arial" w:cs="Arial"/>
          <w:sz w:val="24"/>
          <w:szCs w:val="24"/>
          <w:lang w:val="en-AU"/>
        </w:rPr>
        <w:t>2022</w:t>
      </w:r>
      <w:r w:rsidRPr="00CA7D07">
        <w:rPr>
          <w:rFonts w:ascii="Arial" w:hAnsi="Arial" w:cs="Arial"/>
          <w:sz w:val="24"/>
          <w:szCs w:val="24"/>
          <w:lang w:val="en-AU"/>
        </w:rPr>
        <w:t xml:space="preserve"> State of the Disability Sector Report reflected a sector less confident than ever in </w:t>
      </w:r>
      <w:r>
        <w:rPr>
          <w:rFonts w:ascii="Arial" w:hAnsi="Arial" w:cs="Arial"/>
          <w:sz w:val="24"/>
          <w:szCs w:val="24"/>
          <w:lang w:val="en-AU"/>
        </w:rPr>
        <w:t>its</w:t>
      </w:r>
      <w:r w:rsidRPr="00580EAC">
        <w:rPr>
          <w:rFonts w:ascii="Arial" w:hAnsi="Arial" w:cs="Arial"/>
          <w:sz w:val="24"/>
          <w:szCs w:val="24"/>
          <w:lang w:val="en-AU"/>
        </w:rPr>
        <w:t xml:space="preserve"> </w:t>
      </w:r>
      <w:r w:rsidRPr="00CA7D07">
        <w:rPr>
          <w:rFonts w:ascii="Arial" w:hAnsi="Arial" w:cs="Arial"/>
          <w:sz w:val="24"/>
          <w:szCs w:val="24"/>
          <w:lang w:val="en-AU"/>
        </w:rPr>
        <w:t xml:space="preserve">capacity to operate within current NDIS pricing and funding approaches, with 59 per cent of providers concerned they cannot continue to provide NDIS services at current prices. This is even more the case in remote and very remote areas and other thin markets where cost pressures are more intense. </w:t>
      </w:r>
      <w:r>
        <w:rPr>
          <w:rFonts w:ascii="Arial" w:hAnsi="Arial" w:cs="Arial"/>
          <w:sz w:val="24"/>
          <w:szCs w:val="24"/>
          <w:lang w:val="en-AU" w:eastAsia="en-AU"/>
        </w:rPr>
        <w:t xml:space="preserve">Along with regulation and red tape, prices are seen are as one of the biggest inhibitors of innovation. </w:t>
      </w:r>
    </w:p>
    <w:p w14:paraId="306792EE" w14:textId="77777777" w:rsidR="0085726A" w:rsidRPr="00CA7D07" w:rsidRDefault="0085726A" w:rsidP="00357F76">
      <w:pPr>
        <w:spacing w:before="240" w:after="240" w:line="360" w:lineRule="auto"/>
        <w:jc w:val="right"/>
        <w:rPr>
          <w:rFonts w:ascii="Arial" w:hAnsi="Arial" w:cs="Arial"/>
          <w:i/>
          <w:iCs/>
          <w:sz w:val="24"/>
          <w:szCs w:val="24"/>
          <w:lang w:val="en-AU"/>
        </w:rPr>
      </w:pPr>
      <w:r w:rsidRPr="00CA7D07">
        <w:rPr>
          <w:rFonts w:ascii="Arial" w:hAnsi="Arial" w:cs="Arial"/>
          <w:i/>
          <w:iCs/>
          <w:sz w:val="24"/>
          <w:szCs w:val="24"/>
          <w:lang w:val="en-AU"/>
        </w:rPr>
        <w:t xml:space="preserve">“Inadequate pricing remains a major concern. While the recent increase to the pricing of some support categories was very welcome, the underlying hourly rate still does not adequately reflect the large amount of administration required to operate under the Scheme. Inadequate NDIS prices pose a risk not only to individual disability service providers, but to the Scheme as a </w:t>
      </w:r>
      <w:proofErr w:type="gramStart"/>
      <w:r w:rsidRPr="00CA7D07">
        <w:rPr>
          <w:rFonts w:ascii="Arial" w:hAnsi="Arial" w:cs="Arial"/>
          <w:i/>
          <w:iCs/>
          <w:sz w:val="24"/>
          <w:szCs w:val="24"/>
          <w:lang w:val="en-AU"/>
        </w:rPr>
        <w:t>whole”</w:t>
      </w:r>
      <w:proofErr w:type="gramEnd"/>
    </w:p>
    <w:p w14:paraId="2759859D" w14:textId="03F172E5" w:rsidR="0085726A" w:rsidRPr="00B50241" w:rsidRDefault="0085726A" w:rsidP="00357F76">
      <w:pPr>
        <w:spacing w:before="240" w:after="240" w:line="360" w:lineRule="auto"/>
        <w:jc w:val="right"/>
        <w:rPr>
          <w:rFonts w:ascii="Arial" w:hAnsi="Arial" w:cs="Arial"/>
          <w:sz w:val="24"/>
          <w:szCs w:val="24"/>
          <w:lang w:val="en-AU"/>
        </w:rPr>
      </w:pPr>
      <w:proofErr w:type="spellStart"/>
      <w:r w:rsidRPr="00B50241">
        <w:rPr>
          <w:rFonts w:ascii="Arial" w:hAnsi="Arial" w:cs="Arial"/>
          <w:sz w:val="24"/>
          <w:szCs w:val="24"/>
          <w:lang w:val="en-AU"/>
        </w:rPr>
        <w:t>Koomarri</w:t>
      </w:r>
      <w:proofErr w:type="spellEnd"/>
      <w:r w:rsidRPr="00B50241">
        <w:rPr>
          <w:rFonts w:ascii="Arial" w:hAnsi="Arial" w:cs="Arial"/>
          <w:sz w:val="24"/>
          <w:szCs w:val="24"/>
          <w:lang w:val="en-AU"/>
        </w:rPr>
        <w:t xml:space="preserve"> (Australian Capital Territory)</w:t>
      </w:r>
      <w:r w:rsidRPr="00B50241">
        <w:rPr>
          <w:rStyle w:val="normaltextrun"/>
          <w:rFonts w:ascii="Arial" w:hAnsi="Arial" w:cs="Arial"/>
          <w:i/>
          <w:iCs/>
          <w:sz w:val="24"/>
          <w:szCs w:val="24"/>
          <w:lang w:val="en-AU"/>
        </w:rPr>
        <w:t xml:space="preserve"> 2022 NDS State of the Disability Sector Report</w:t>
      </w:r>
      <w:r w:rsidRPr="00B50241">
        <w:rPr>
          <w:rStyle w:val="EndnoteReference"/>
          <w:rFonts w:ascii="Arial" w:hAnsi="Arial" w:cs="Arial"/>
          <w:sz w:val="24"/>
          <w:szCs w:val="24"/>
          <w:vertAlign w:val="baseline"/>
          <w:lang w:val="en-AU"/>
        </w:rPr>
        <w:t xml:space="preserve"> </w:t>
      </w:r>
      <w:r w:rsidRPr="00B50241">
        <w:rPr>
          <w:rStyle w:val="EndnoteReference"/>
          <w:rFonts w:ascii="Arial" w:hAnsi="Arial" w:cs="Arial"/>
          <w:sz w:val="24"/>
          <w:szCs w:val="24"/>
          <w:vertAlign w:val="baseline"/>
          <w:lang w:val="en-AU"/>
        </w:rPr>
        <w:endnoteReference w:id="6"/>
      </w:r>
    </w:p>
    <w:p w14:paraId="07EE15C2" w14:textId="5B5B07DE" w:rsidR="0085726A" w:rsidRDefault="0085726A" w:rsidP="00357F76">
      <w:pPr>
        <w:spacing w:before="240" w:after="240" w:line="360" w:lineRule="auto"/>
        <w:rPr>
          <w:rFonts w:ascii="Arial" w:hAnsi="Arial" w:cs="Arial"/>
          <w:sz w:val="24"/>
          <w:szCs w:val="24"/>
          <w:lang w:val="en-AU"/>
        </w:rPr>
      </w:pPr>
      <w:r>
        <w:rPr>
          <w:rFonts w:ascii="Arial" w:hAnsi="Arial" w:cs="Arial"/>
          <w:sz w:val="24"/>
          <w:szCs w:val="24"/>
          <w:lang w:val="en-AU"/>
        </w:rPr>
        <w:lastRenderedPageBreak/>
        <w:t xml:space="preserve">Decisions </w:t>
      </w:r>
      <w:r w:rsidRPr="00CA7D07">
        <w:rPr>
          <w:rFonts w:ascii="Arial" w:hAnsi="Arial" w:cs="Arial"/>
          <w:sz w:val="24"/>
          <w:szCs w:val="24"/>
          <w:lang w:val="en-AU"/>
        </w:rPr>
        <w:t>to not index price limits for plan management, level 2 and 3 support coordination and therapy and psychology supports</w:t>
      </w:r>
      <w:r>
        <w:rPr>
          <w:rFonts w:ascii="Arial" w:hAnsi="Arial" w:cs="Arial"/>
          <w:sz w:val="24"/>
          <w:szCs w:val="24"/>
          <w:lang w:val="en-AU"/>
        </w:rPr>
        <w:t xml:space="preserve"> are making it increasingly difficult to deliver these supports</w:t>
      </w:r>
      <w:r w:rsidRPr="00CA7D07">
        <w:rPr>
          <w:rFonts w:ascii="Arial" w:hAnsi="Arial" w:cs="Arial"/>
          <w:sz w:val="24"/>
          <w:szCs w:val="24"/>
          <w:lang w:val="en-AU"/>
        </w:rPr>
        <w:t xml:space="preserve">. These price settings also fail to recognise the specialisations required for NDIS therapists and could drive a more medicalised, clinic-based approach to delivery. The decision to streamline the pricing of high-intensity supports is one that the sector supported. However, </w:t>
      </w:r>
      <w:r>
        <w:rPr>
          <w:rFonts w:ascii="Arial" w:hAnsi="Arial" w:cs="Arial"/>
          <w:sz w:val="24"/>
          <w:szCs w:val="24"/>
          <w:lang w:val="en-AU"/>
        </w:rPr>
        <w:t>the</w:t>
      </w:r>
      <w:r w:rsidRPr="00CA7D07">
        <w:rPr>
          <w:rFonts w:ascii="Arial" w:hAnsi="Arial" w:cs="Arial"/>
          <w:sz w:val="24"/>
          <w:szCs w:val="24"/>
          <w:lang w:val="en-AU"/>
        </w:rPr>
        <w:t xml:space="preserve"> removal of the previous level 3 high intensity </w:t>
      </w:r>
      <w:r>
        <w:rPr>
          <w:rFonts w:ascii="Arial" w:hAnsi="Arial" w:cs="Arial"/>
          <w:sz w:val="24"/>
          <w:szCs w:val="24"/>
          <w:lang w:val="en-AU"/>
        </w:rPr>
        <w:t>supports from the 2022-2023 Pricing Arrangements and Price Limits was met with dismay</w:t>
      </w:r>
      <w:r w:rsidRPr="00CA7D07">
        <w:rPr>
          <w:rFonts w:ascii="Arial" w:hAnsi="Arial" w:cs="Arial"/>
          <w:sz w:val="24"/>
          <w:szCs w:val="24"/>
          <w:lang w:val="en-AU"/>
        </w:rPr>
        <w:t xml:space="preserve">. This is likely to leave some participants with very complex support needs without the level of support that they need. </w:t>
      </w:r>
    </w:p>
    <w:p w14:paraId="381FE33D" w14:textId="15DD3194" w:rsidR="0085726A" w:rsidRPr="00B50241" w:rsidRDefault="0085726A" w:rsidP="00357F76">
      <w:pPr>
        <w:spacing w:before="240" w:after="240" w:line="360" w:lineRule="auto"/>
        <w:jc w:val="right"/>
        <w:rPr>
          <w:rFonts w:ascii="Arial" w:hAnsi="Arial" w:cs="Arial"/>
          <w:i/>
          <w:iCs/>
          <w:sz w:val="24"/>
          <w:szCs w:val="24"/>
          <w:lang w:val="en-AU"/>
        </w:rPr>
      </w:pPr>
      <w:r w:rsidRPr="00B50241">
        <w:rPr>
          <w:rFonts w:ascii="Arial" w:hAnsi="Arial" w:cs="Arial"/>
          <w:i/>
          <w:iCs/>
          <w:sz w:val="24"/>
          <w:szCs w:val="24"/>
          <w:lang w:val="en-AU"/>
        </w:rPr>
        <w:t xml:space="preserve">‘Following the release of June’s price guide for 2022-2023, many providers have expressed their concerns around the sustainability of their services due to inadequate NDIA pricing systems. Current concerns in these areas have focused on lack of indexation for support coordination and plan management and therapy prices. Another issue has been the removal of Level 3 high intensity supports, which has left providers questioning how they can provide adequate </w:t>
      </w:r>
      <w:proofErr w:type="gramStart"/>
      <w:r w:rsidRPr="00B50241">
        <w:rPr>
          <w:rFonts w:ascii="Arial" w:hAnsi="Arial" w:cs="Arial"/>
          <w:i/>
          <w:iCs/>
          <w:sz w:val="24"/>
          <w:szCs w:val="24"/>
          <w:lang w:val="en-AU"/>
        </w:rPr>
        <w:t>services”</w:t>
      </w:r>
      <w:proofErr w:type="gramEnd"/>
    </w:p>
    <w:p w14:paraId="0516A313" w14:textId="16F1A56B" w:rsidR="0085726A" w:rsidRPr="00B50241" w:rsidRDefault="0085726A" w:rsidP="00357F76">
      <w:pPr>
        <w:spacing w:before="240" w:after="240" w:line="360" w:lineRule="auto"/>
        <w:jc w:val="right"/>
        <w:rPr>
          <w:rFonts w:ascii="Arial" w:hAnsi="Arial" w:cs="Arial"/>
          <w:sz w:val="24"/>
          <w:szCs w:val="24"/>
          <w:lang w:val="en-AU"/>
        </w:rPr>
      </w:pPr>
      <w:proofErr w:type="spellStart"/>
      <w:r w:rsidRPr="00B50241">
        <w:rPr>
          <w:rFonts w:ascii="Arial" w:hAnsi="Arial" w:cs="Arial"/>
          <w:sz w:val="24"/>
          <w:szCs w:val="24"/>
          <w:lang w:val="en-AU"/>
        </w:rPr>
        <w:t>Selectability</w:t>
      </w:r>
      <w:proofErr w:type="spellEnd"/>
      <w:r w:rsidRPr="00B50241">
        <w:rPr>
          <w:rFonts w:ascii="Arial" w:hAnsi="Arial" w:cs="Arial"/>
          <w:sz w:val="24"/>
          <w:szCs w:val="24"/>
          <w:lang w:val="en-AU"/>
        </w:rPr>
        <w:t xml:space="preserve"> (Queensland)</w:t>
      </w:r>
      <w:r w:rsidRPr="00B50241">
        <w:rPr>
          <w:rStyle w:val="normaltextrun"/>
          <w:rFonts w:ascii="Arial" w:hAnsi="Arial" w:cs="Arial"/>
          <w:i/>
          <w:iCs/>
          <w:sz w:val="24"/>
          <w:szCs w:val="24"/>
          <w:lang w:val="en-AU"/>
        </w:rPr>
        <w:t xml:space="preserve"> 2022 NDS State of the Disability Sector Report</w:t>
      </w:r>
      <w:r w:rsidRPr="00B50241">
        <w:rPr>
          <w:rStyle w:val="EndnoteReference"/>
          <w:rFonts w:ascii="Arial" w:hAnsi="Arial" w:cs="Arial"/>
          <w:sz w:val="24"/>
          <w:szCs w:val="24"/>
          <w:vertAlign w:val="baseline"/>
          <w:lang w:val="en-AU"/>
        </w:rPr>
        <w:t xml:space="preserve"> </w:t>
      </w:r>
      <w:r w:rsidRPr="00B50241">
        <w:rPr>
          <w:rStyle w:val="EndnoteReference"/>
          <w:rFonts w:ascii="Arial" w:hAnsi="Arial" w:cs="Arial"/>
          <w:sz w:val="24"/>
          <w:szCs w:val="24"/>
          <w:vertAlign w:val="baseline"/>
          <w:lang w:val="en-AU"/>
        </w:rPr>
        <w:endnoteReference w:id="7"/>
      </w:r>
    </w:p>
    <w:p w14:paraId="3E7B72F4" w14:textId="3B63784E" w:rsidR="0085726A" w:rsidRPr="00CA7D07" w:rsidRDefault="0085726A" w:rsidP="00357F76">
      <w:pPr>
        <w:spacing w:before="240" w:after="240" w:line="360" w:lineRule="auto"/>
        <w:rPr>
          <w:rFonts w:ascii="Arial" w:hAnsi="Arial" w:cs="Arial"/>
          <w:sz w:val="24"/>
          <w:szCs w:val="24"/>
          <w:lang w:val="en-AU"/>
        </w:rPr>
      </w:pPr>
      <w:r w:rsidRPr="00CA7D07">
        <w:rPr>
          <w:rFonts w:ascii="Arial" w:hAnsi="Arial" w:cs="Arial"/>
          <w:sz w:val="24"/>
          <w:szCs w:val="24"/>
          <w:lang w:val="en-AU"/>
        </w:rPr>
        <w:t>Regular NDS polling</w:t>
      </w:r>
      <w:r w:rsidRPr="00CA7D07">
        <w:rPr>
          <w:rStyle w:val="EndnoteReference"/>
          <w:rFonts w:ascii="Arial" w:hAnsi="Arial" w:cs="Arial"/>
          <w:sz w:val="24"/>
          <w:szCs w:val="24"/>
          <w:lang w:val="en-AU"/>
        </w:rPr>
        <w:endnoteReference w:id="8"/>
      </w:r>
      <w:r w:rsidRPr="00CA7D07">
        <w:rPr>
          <w:rFonts w:ascii="Arial" w:hAnsi="Arial" w:cs="Arial"/>
          <w:sz w:val="24"/>
          <w:szCs w:val="24"/>
          <w:lang w:val="en-AU"/>
        </w:rPr>
        <w:t xml:space="preserve"> indicates that economic viability is a major concern for disability service providers, with many members facing challenging budget situations. Day services are experiencing challenges with the shift to the new pricing model, and reports of some participants who have chosen not to return to services after the pandemic lockdowns. </w:t>
      </w:r>
    </w:p>
    <w:p w14:paraId="20F5C3C3" w14:textId="25DCA8E6" w:rsidR="0085726A" w:rsidRPr="00CA7D07" w:rsidRDefault="0085726A" w:rsidP="00357F76">
      <w:pPr>
        <w:spacing w:before="240" w:after="240" w:line="360" w:lineRule="auto"/>
        <w:rPr>
          <w:rStyle w:val="normaltextrun"/>
          <w:rFonts w:ascii="Arial" w:hAnsi="Arial" w:cs="Arial"/>
          <w:sz w:val="24"/>
          <w:szCs w:val="24"/>
          <w:lang w:val="en-AU"/>
        </w:rPr>
      </w:pPr>
      <w:r w:rsidRPr="00CA7D07">
        <w:rPr>
          <w:rFonts w:ascii="Arial" w:hAnsi="Arial" w:cs="Arial"/>
          <w:sz w:val="24"/>
          <w:szCs w:val="24"/>
          <w:lang w:val="en-AU"/>
        </w:rPr>
        <w:t xml:space="preserve">A mechanism </w:t>
      </w:r>
      <w:r w:rsidRPr="009C209E">
        <w:rPr>
          <w:rFonts w:ascii="Arial" w:hAnsi="Arial" w:cs="Arial"/>
          <w:sz w:val="24"/>
          <w:szCs w:val="24"/>
          <w:lang w:val="en-AU"/>
        </w:rPr>
        <w:t>like</w:t>
      </w:r>
      <w:r w:rsidRPr="00CA7D07">
        <w:rPr>
          <w:rFonts w:ascii="Arial" w:hAnsi="Arial" w:cs="Arial"/>
          <w:sz w:val="24"/>
          <w:szCs w:val="24"/>
          <w:lang w:val="en-AU"/>
        </w:rPr>
        <w:t xml:space="preserve"> the </w:t>
      </w:r>
      <w:r w:rsidRPr="00CA7D07">
        <w:rPr>
          <w:rFonts w:ascii="Arial" w:hAnsi="Arial" w:cs="Arial"/>
          <w:sz w:val="24"/>
          <w:szCs w:val="24"/>
          <w:lang w:val="en-AU" w:eastAsia="en-AU"/>
        </w:rPr>
        <w:t>Independent Health and Aged Care Pricing Authority (</w:t>
      </w:r>
      <w:r w:rsidRPr="00CA7D07">
        <w:rPr>
          <w:rFonts w:ascii="Arial" w:hAnsi="Arial" w:cs="Arial"/>
          <w:sz w:val="24"/>
          <w:szCs w:val="24"/>
          <w:lang w:val="en-AU"/>
        </w:rPr>
        <w:t xml:space="preserve">IHACPA) that supports responsive pricing with the aim of achieving sustainable and efficient services is required. </w:t>
      </w:r>
      <w:r w:rsidRPr="00CA7D07">
        <w:rPr>
          <w:rStyle w:val="normaltextrun"/>
          <w:rFonts w:ascii="Arial" w:hAnsi="Arial" w:cs="Arial"/>
          <w:sz w:val="24"/>
          <w:szCs w:val="24"/>
          <w:lang w:val="en-AU"/>
        </w:rPr>
        <w:t>Current arrangements that have prices set by the NDIA involve a conflict of interest. The NDIA should be trying to ensure there is a vibrant market for high-quality supports, but it also has a strong agenda on constraining costs, as evidenced by the public debate on the sustainability of the NDIS.</w:t>
      </w:r>
    </w:p>
    <w:p w14:paraId="0F63E530" w14:textId="77777777" w:rsidR="0085726A" w:rsidRPr="00CA7D07" w:rsidRDefault="0085726A" w:rsidP="00357F76">
      <w:pPr>
        <w:spacing w:before="240" w:after="240" w:line="360" w:lineRule="auto"/>
        <w:rPr>
          <w:rFonts w:ascii="Arial" w:hAnsi="Arial" w:cs="Arial"/>
          <w:sz w:val="24"/>
          <w:szCs w:val="24"/>
          <w:lang w:val="en-AU" w:eastAsia="en-AU"/>
        </w:rPr>
      </w:pPr>
      <w:r w:rsidRPr="00CA7D07">
        <w:rPr>
          <w:rFonts w:ascii="Arial" w:hAnsi="Arial" w:cs="Arial"/>
          <w:sz w:val="24"/>
          <w:szCs w:val="24"/>
          <w:lang w:val="en-AU" w:eastAsia="en-AU"/>
        </w:rPr>
        <w:lastRenderedPageBreak/>
        <w:t xml:space="preserve">In passing the legislation to enable the IHACPA, government recognised the importance of an independent assessment of costs and the provision of costing and pricing advice on aged care. Prices for NDIS supports should also be determined by an independent body. </w:t>
      </w:r>
    </w:p>
    <w:p w14:paraId="065C11A5" w14:textId="77777777" w:rsidR="0085726A" w:rsidRPr="00B50241" w:rsidRDefault="0085726A" w:rsidP="00357F76">
      <w:pPr>
        <w:spacing w:before="240" w:after="240" w:line="360" w:lineRule="auto"/>
        <w:textAlignment w:val="center"/>
        <w:rPr>
          <w:rFonts w:ascii="Arial" w:eastAsia="Times New Roman" w:hAnsi="Arial" w:cs="Arial"/>
          <w:sz w:val="24"/>
          <w:szCs w:val="24"/>
          <w:lang w:val="en-AU" w:eastAsia="en-AU"/>
        </w:rPr>
      </w:pPr>
      <w:r w:rsidRPr="00B50241">
        <w:rPr>
          <w:rFonts w:ascii="Arial" w:hAnsi="Arial" w:cs="Arial"/>
          <w:sz w:val="24"/>
          <w:szCs w:val="24"/>
          <w:lang w:val="en-AU"/>
        </w:rPr>
        <w:t>NDS members believe that a new</w:t>
      </w:r>
      <w:r w:rsidRPr="00B50241">
        <w:rPr>
          <w:rFonts w:ascii="Arial" w:hAnsi="Arial" w:cs="Arial"/>
          <w:sz w:val="24"/>
          <w:szCs w:val="24"/>
          <w:lang w:val="en-AU" w:eastAsia="en-AU"/>
        </w:rPr>
        <w:t xml:space="preserve"> NDIS price setting body outside of the Agency </w:t>
      </w:r>
      <w:r w:rsidRPr="00B50241">
        <w:rPr>
          <w:rFonts w:ascii="Arial" w:hAnsi="Arial" w:cs="Arial"/>
          <w:sz w:val="24"/>
          <w:szCs w:val="24"/>
          <w:lang w:val="en-AU"/>
        </w:rPr>
        <w:t>will allow</w:t>
      </w:r>
      <w:r w:rsidRPr="00B50241">
        <w:rPr>
          <w:rFonts w:ascii="Arial" w:hAnsi="Arial" w:cs="Arial"/>
          <w:sz w:val="24"/>
          <w:szCs w:val="24"/>
          <w:lang w:val="en-AU" w:eastAsia="en-AU"/>
        </w:rPr>
        <w:t xml:space="preserve"> welcomed </w:t>
      </w:r>
      <w:r w:rsidRPr="00B50241">
        <w:rPr>
          <w:rFonts w:ascii="Arial" w:hAnsi="Arial" w:cs="Arial"/>
          <w:sz w:val="24"/>
          <w:szCs w:val="24"/>
          <w:lang w:val="en-AU"/>
        </w:rPr>
        <w:t>transparency</w:t>
      </w:r>
      <w:r w:rsidRPr="00B50241">
        <w:rPr>
          <w:rFonts w:ascii="Arial" w:hAnsi="Arial" w:cs="Arial"/>
          <w:sz w:val="24"/>
          <w:szCs w:val="24"/>
          <w:lang w:val="en-AU" w:eastAsia="en-AU"/>
        </w:rPr>
        <w:t xml:space="preserve"> </w:t>
      </w:r>
      <w:r w:rsidRPr="00B50241">
        <w:rPr>
          <w:rFonts w:ascii="Arial" w:hAnsi="Arial" w:cs="Arial"/>
          <w:sz w:val="24"/>
          <w:szCs w:val="24"/>
          <w:lang w:val="en-AU"/>
        </w:rPr>
        <w:t>for</w:t>
      </w:r>
      <w:r w:rsidRPr="00B50241">
        <w:rPr>
          <w:rFonts w:ascii="Arial" w:hAnsi="Arial" w:cs="Arial"/>
          <w:sz w:val="24"/>
          <w:szCs w:val="24"/>
          <w:lang w:val="en-AU" w:eastAsia="en-AU"/>
        </w:rPr>
        <w:t xml:space="preserve"> service providers, </w:t>
      </w:r>
      <w:proofErr w:type="gramStart"/>
      <w:r w:rsidRPr="00B50241">
        <w:rPr>
          <w:rFonts w:ascii="Arial" w:hAnsi="Arial" w:cs="Arial"/>
          <w:sz w:val="24"/>
          <w:szCs w:val="24"/>
          <w:lang w:val="en-AU" w:eastAsia="en-AU"/>
        </w:rPr>
        <w:t>participants</w:t>
      </w:r>
      <w:proofErr w:type="gramEnd"/>
      <w:r w:rsidRPr="00B50241">
        <w:rPr>
          <w:rFonts w:ascii="Arial" w:hAnsi="Arial" w:cs="Arial"/>
          <w:sz w:val="24"/>
          <w:szCs w:val="24"/>
          <w:lang w:val="en-AU" w:eastAsia="en-AU"/>
        </w:rPr>
        <w:t xml:space="preserve"> and taxpayers to contribute to how prices decisions are made</w:t>
      </w:r>
      <w:r w:rsidRPr="00B50241">
        <w:rPr>
          <w:rFonts w:ascii="Arial" w:hAnsi="Arial" w:cs="Arial"/>
          <w:sz w:val="24"/>
          <w:szCs w:val="24"/>
          <w:lang w:val="en-AU"/>
        </w:rPr>
        <w:t xml:space="preserve">, increase </w:t>
      </w:r>
      <w:r w:rsidRPr="00B50241">
        <w:rPr>
          <w:rFonts w:ascii="Arial" w:hAnsi="Arial" w:cs="Arial"/>
          <w:sz w:val="24"/>
          <w:szCs w:val="24"/>
          <w:lang w:val="en-AU" w:eastAsia="en-AU"/>
        </w:rPr>
        <w:t xml:space="preserve">the emphasis of service quality, and </w:t>
      </w:r>
      <w:r w:rsidRPr="00B50241">
        <w:rPr>
          <w:rFonts w:ascii="Arial" w:hAnsi="Arial" w:cs="Arial"/>
          <w:sz w:val="24"/>
          <w:szCs w:val="24"/>
          <w:lang w:val="en-AU"/>
        </w:rPr>
        <w:t>plan</w:t>
      </w:r>
      <w:r w:rsidRPr="00B50241">
        <w:rPr>
          <w:rFonts w:ascii="Arial" w:hAnsi="Arial" w:cs="Arial"/>
          <w:sz w:val="24"/>
          <w:szCs w:val="24"/>
          <w:lang w:val="en-AU" w:eastAsia="en-AU"/>
        </w:rPr>
        <w:t xml:space="preserve"> for eventual NDIS price deregulation.</w:t>
      </w:r>
      <w:r w:rsidRPr="00B50241">
        <w:rPr>
          <w:rStyle w:val="EndnoteReference"/>
          <w:rFonts w:ascii="Arial" w:eastAsia="Times New Roman" w:hAnsi="Arial" w:cs="Arial"/>
          <w:sz w:val="24"/>
          <w:szCs w:val="24"/>
          <w:vertAlign w:val="baseline"/>
          <w:lang w:val="en-AU" w:eastAsia="en-AU"/>
        </w:rPr>
        <w:endnoteReference w:id="9"/>
      </w:r>
      <w:r w:rsidRPr="00B50241">
        <w:rPr>
          <w:rFonts w:ascii="Arial" w:eastAsia="Times New Roman" w:hAnsi="Arial" w:cs="Arial"/>
          <w:sz w:val="24"/>
          <w:szCs w:val="24"/>
          <w:lang w:val="en-AU" w:eastAsia="en-AU"/>
        </w:rPr>
        <w:t xml:space="preserve"> </w:t>
      </w:r>
    </w:p>
    <w:p w14:paraId="151DAB0E" w14:textId="278B24B3" w:rsidR="0085726A" w:rsidRPr="00B50241" w:rsidRDefault="0085726A" w:rsidP="00357F76">
      <w:pPr>
        <w:spacing w:before="240" w:after="240" w:line="360" w:lineRule="auto"/>
        <w:rPr>
          <w:rFonts w:ascii="Arial" w:hAnsi="Arial" w:cs="Arial"/>
          <w:sz w:val="24"/>
          <w:szCs w:val="24"/>
          <w:lang w:val="en-AU"/>
        </w:rPr>
      </w:pPr>
      <w:r w:rsidRPr="00B50241">
        <w:rPr>
          <w:rFonts w:ascii="Arial" w:hAnsi="Arial" w:cs="Arial"/>
          <w:sz w:val="24"/>
          <w:szCs w:val="24"/>
          <w:lang w:val="en-AU"/>
        </w:rPr>
        <w:t xml:space="preserve">For a complex system to effectively operate in a market-based approach, it is reliant on informed and capable consumers. In the case of the NDIS, participants struggle to have sufficient information and capacity to be able to make informed choices to drive a market-based approach and for some participants with more complex needs or for providers that operate in remote and very remote areas. The individualised approach of the NDIS can lead to fragmentation of the system and services, and to poorer outcomes. </w:t>
      </w:r>
    </w:p>
    <w:p w14:paraId="20FEAF2A" w14:textId="78F0CFFF" w:rsidR="0085726A" w:rsidRPr="00CA7D07" w:rsidRDefault="0085726A" w:rsidP="00357F76">
      <w:pPr>
        <w:spacing w:before="240" w:after="240" w:line="360" w:lineRule="auto"/>
        <w:rPr>
          <w:rFonts w:ascii="Arial" w:hAnsi="Arial" w:cs="Arial"/>
          <w:sz w:val="24"/>
          <w:szCs w:val="24"/>
          <w:lang w:val="en-AU" w:eastAsia="en-AU"/>
        </w:rPr>
      </w:pPr>
      <w:r w:rsidRPr="00CA7D07">
        <w:rPr>
          <w:rFonts w:ascii="Arial" w:hAnsi="Arial" w:cs="Arial"/>
          <w:sz w:val="24"/>
          <w:szCs w:val="24"/>
          <w:lang w:val="en-AU" w:eastAsia="en-AU"/>
        </w:rPr>
        <w:t xml:space="preserve">Other ways of commissioning </w:t>
      </w:r>
      <w:proofErr w:type="gramStart"/>
      <w:r w:rsidRPr="00CA7D07">
        <w:rPr>
          <w:rFonts w:ascii="Arial" w:hAnsi="Arial" w:cs="Arial"/>
          <w:sz w:val="24"/>
          <w:szCs w:val="24"/>
          <w:lang w:val="en-AU" w:eastAsia="en-AU"/>
        </w:rPr>
        <w:t>supports</w:t>
      </w:r>
      <w:proofErr w:type="gramEnd"/>
      <w:r w:rsidRPr="00CA7D07">
        <w:rPr>
          <w:rFonts w:ascii="Arial" w:hAnsi="Arial" w:cs="Arial"/>
          <w:sz w:val="24"/>
          <w:szCs w:val="24"/>
          <w:lang w:val="en-AU" w:eastAsia="en-AU"/>
        </w:rPr>
        <w:t xml:space="preserve"> for participants in thin markets </w:t>
      </w:r>
      <w:r>
        <w:rPr>
          <w:rFonts w:ascii="Arial" w:hAnsi="Arial" w:cs="Arial"/>
          <w:sz w:val="24"/>
          <w:szCs w:val="24"/>
          <w:lang w:val="en-AU" w:eastAsia="en-AU"/>
        </w:rPr>
        <w:t>should</w:t>
      </w:r>
      <w:r w:rsidRPr="00CA7D07">
        <w:rPr>
          <w:rFonts w:ascii="Arial" w:hAnsi="Arial" w:cs="Arial"/>
          <w:sz w:val="24"/>
          <w:szCs w:val="24"/>
          <w:lang w:val="en-AU" w:eastAsia="en-AU"/>
        </w:rPr>
        <w:t xml:space="preserve"> be considered. These approaches need to be nuanced, account for the unique characteristics of the ‘market’ and support the sustainability of ongoing support provision rather than a one-off, short-term intervention that solves an immediate issue but does not create longer term outcomes. Where these approaches are aimed at supporting remote communities, the approach needs to be co-designed with the community and the impact of any commissioning process on the community ‘support ecosystem’ considered.</w:t>
      </w:r>
    </w:p>
    <w:p w14:paraId="79C47DA7" w14:textId="77777777" w:rsidR="0085726A" w:rsidRPr="001B2AD3" w:rsidRDefault="0085726A" w:rsidP="00357F76">
      <w:pPr>
        <w:pStyle w:val="Heading2"/>
        <w:spacing w:before="240" w:after="240" w:line="360" w:lineRule="auto"/>
        <w:rPr>
          <w:rFonts w:ascii="Arial" w:hAnsi="Arial" w:cs="Arial"/>
          <w:lang w:val="en-AU"/>
        </w:rPr>
      </w:pPr>
      <w:bookmarkStart w:id="15" w:name="_Toc127277089"/>
      <w:r w:rsidRPr="001B2AD3">
        <w:rPr>
          <w:rFonts w:ascii="Arial" w:hAnsi="Arial" w:cs="Arial"/>
          <w:lang w:val="en-AU"/>
        </w:rPr>
        <w:t>Working together</w:t>
      </w:r>
      <w:bookmarkEnd w:id="15"/>
      <w:r w:rsidRPr="001B2AD3">
        <w:rPr>
          <w:rFonts w:ascii="Arial" w:hAnsi="Arial" w:cs="Arial"/>
          <w:lang w:val="en-AU"/>
        </w:rPr>
        <w:t xml:space="preserve"> </w:t>
      </w:r>
    </w:p>
    <w:p w14:paraId="6584BDE9" w14:textId="2D24153F"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 xml:space="preserve">NDS’s submission to the </w:t>
      </w:r>
      <w:r w:rsidRPr="008D567E">
        <w:rPr>
          <w:rFonts w:ascii="Arial" w:hAnsi="Arial" w:cs="Arial"/>
          <w:i/>
          <w:sz w:val="24"/>
          <w:szCs w:val="24"/>
          <w:lang w:val="en-AU"/>
        </w:rPr>
        <w:t>National Disability Insurance Scheme Amendment (Participant Service Guarantee and Other Measures) Bill 2021</w:t>
      </w:r>
      <w:r w:rsidRPr="005E10EE">
        <w:rPr>
          <w:rFonts w:ascii="Arial" w:hAnsi="Arial" w:cs="Arial"/>
          <w:sz w:val="24"/>
          <w:szCs w:val="24"/>
          <w:lang w:val="en-AU"/>
        </w:rPr>
        <w:t xml:space="preserve"> supported the amendment to the principles proposed but requested a critical addition: that the important role that service providers have in delivering the supports purchased by participants should be </w:t>
      </w:r>
      <w:r w:rsidRPr="005E10EE">
        <w:rPr>
          <w:rFonts w:ascii="Arial" w:hAnsi="Arial" w:cs="Arial"/>
          <w:sz w:val="24"/>
          <w:szCs w:val="24"/>
          <w:lang w:val="en-AU"/>
        </w:rPr>
        <w:lastRenderedPageBreak/>
        <w:t>acknowledged by including them as a partner in co-design activities undertaken by the NDIS.  Too often, provider implications are not considered in decisions and policies of the NDIA to the detriment of both participant choice and the efficient and effective operation of the Scheme. Including providers and utilising their experience (accrued over many years) in co-design activities will deliver better outcomes for participants, families, and carers, the NDIA, as well as providers.</w:t>
      </w:r>
    </w:p>
    <w:p w14:paraId="30768550" w14:textId="5CD673A0"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 xml:space="preserve">Providers should be specifically named in co-design processes as they bring pragmatic and practical expertise in the delivery and design of services, which is essential to delivering a system that works. Providers are unique in the experience that they bring to the table to design service systems </w:t>
      </w:r>
      <w:r>
        <w:rPr>
          <w:rFonts w:ascii="Arial" w:hAnsi="Arial" w:cs="Arial"/>
          <w:sz w:val="24"/>
          <w:szCs w:val="24"/>
          <w:lang w:val="en-AU"/>
        </w:rPr>
        <w:t xml:space="preserve">that operate </w:t>
      </w:r>
      <w:r w:rsidRPr="005E10EE">
        <w:rPr>
          <w:rFonts w:ascii="Arial" w:hAnsi="Arial" w:cs="Arial"/>
          <w:sz w:val="24"/>
          <w:szCs w:val="24"/>
          <w:lang w:val="en-AU"/>
        </w:rPr>
        <w:t xml:space="preserve">effectively and efficiently. </w:t>
      </w:r>
    </w:p>
    <w:p w14:paraId="37E55147" w14:textId="6265D8DD"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The current ‘inform’ engagement approach is one-way</w:t>
      </w:r>
      <w:r>
        <w:rPr>
          <w:rFonts w:ascii="Arial" w:hAnsi="Arial" w:cs="Arial"/>
          <w:sz w:val="24"/>
          <w:szCs w:val="24"/>
          <w:lang w:val="en-AU"/>
        </w:rPr>
        <w:t>. A</w:t>
      </w:r>
      <w:r w:rsidRPr="00580EAC">
        <w:rPr>
          <w:rFonts w:ascii="Arial" w:hAnsi="Arial" w:cs="Arial"/>
          <w:sz w:val="24"/>
          <w:szCs w:val="24"/>
          <w:lang w:val="en-AU"/>
        </w:rPr>
        <w:t xml:space="preserve">uthentic </w:t>
      </w:r>
      <w:r>
        <w:rPr>
          <w:rFonts w:ascii="Arial" w:hAnsi="Arial" w:cs="Arial"/>
          <w:sz w:val="24"/>
          <w:szCs w:val="24"/>
          <w:lang w:val="en-AU"/>
        </w:rPr>
        <w:t>c</w:t>
      </w:r>
      <w:r w:rsidRPr="005E10EE">
        <w:rPr>
          <w:rFonts w:ascii="Arial" w:hAnsi="Arial" w:cs="Arial"/>
          <w:sz w:val="24"/>
          <w:szCs w:val="24"/>
          <w:lang w:val="en-AU"/>
        </w:rPr>
        <w:t xml:space="preserve">o-design is the most effective engagement methodology to seek expertise of stakeholders and understand </w:t>
      </w:r>
      <w:r w:rsidRPr="00580EAC">
        <w:rPr>
          <w:rFonts w:ascii="Arial" w:hAnsi="Arial" w:cs="Arial"/>
          <w:sz w:val="24"/>
          <w:szCs w:val="24"/>
          <w:lang w:val="en-AU"/>
        </w:rPr>
        <w:t>experience</w:t>
      </w:r>
      <w:r>
        <w:rPr>
          <w:rFonts w:ascii="Arial" w:hAnsi="Arial" w:cs="Arial"/>
          <w:sz w:val="24"/>
          <w:szCs w:val="24"/>
          <w:lang w:val="en-AU"/>
        </w:rPr>
        <w:t>s</w:t>
      </w:r>
      <w:r w:rsidRPr="005E10EE">
        <w:rPr>
          <w:rFonts w:ascii="Arial" w:hAnsi="Arial" w:cs="Arial"/>
          <w:sz w:val="24"/>
          <w:szCs w:val="24"/>
          <w:lang w:val="en-AU"/>
        </w:rPr>
        <w:t xml:space="preserve"> from a variety of perspectives, to find and test solutions, and to manage competing values or priorities.</w:t>
      </w:r>
    </w:p>
    <w:p w14:paraId="425670DD" w14:textId="51CFD49D"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Effective and transparent communication with people with disability, advocates, providers, and the community is critically important when planning, designing, and implementing improvements and changes to the Scheme. To date untimely, poor, confusing and at times conflicting communication has been a hallmark of</w:t>
      </w:r>
      <w:r>
        <w:rPr>
          <w:rFonts w:ascii="Arial" w:hAnsi="Arial" w:cs="Arial"/>
          <w:sz w:val="24"/>
          <w:szCs w:val="24"/>
          <w:lang w:val="en-AU"/>
        </w:rPr>
        <w:t xml:space="preserve"> NDIS implementation.</w:t>
      </w:r>
      <w:r w:rsidRPr="005E10EE">
        <w:rPr>
          <w:rFonts w:ascii="Arial" w:hAnsi="Arial" w:cs="Arial"/>
          <w:sz w:val="24"/>
          <w:szCs w:val="24"/>
          <w:lang w:val="en-AU"/>
        </w:rPr>
        <w:t xml:space="preserve"> </w:t>
      </w:r>
      <w:r>
        <w:rPr>
          <w:rFonts w:ascii="Arial" w:hAnsi="Arial" w:cs="Arial"/>
          <w:sz w:val="24"/>
          <w:szCs w:val="24"/>
          <w:lang w:val="en-AU"/>
        </w:rPr>
        <w:t xml:space="preserve">If an effective </w:t>
      </w:r>
      <w:r w:rsidRPr="005E10EE">
        <w:rPr>
          <w:rFonts w:ascii="Arial" w:hAnsi="Arial" w:cs="Arial"/>
          <w:sz w:val="24"/>
          <w:szCs w:val="24"/>
          <w:lang w:val="en-AU"/>
        </w:rPr>
        <w:t xml:space="preserve">communication infrastructure is not </w:t>
      </w:r>
      <w:r>
        <w:rPr>
          <w:rFonts w:ascii="Arial" w:hAnsi="Arial" w:cs="Arial"/>
          <w:sz w:val="24"/>
          <w:szCs w:val="24"/>
          <w:lang w:val="en-AU"/>
        </w:rPr>
        <w:t>established</w:t>
      </w:r>
      <w:r w:rsidRPr="005E10EE">
        <w:rPr>
          <w:rFonts w:ascii="Arial" w:hAnsi="Arial" w:cs="Arial"/>
          <w:sz w:val="24"/>
          <w:szCs w:val="24"/>
          <w:lang w:val="en-AU"/>
        </w:rPr>
        <w:t xml:space="preserve">, then even good news and positive reforms will not deliver the desired outcomes. </w:t>
      </w:r>
    </w:p>
    <w:p w14:paraId="0934AEDF" w14:textId="77777777"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 xml:space="preserve">Providers play a key role in communicating with participants and their families and can assist in translating information for them, however, this can only occur when there is transparency. Providers and participants speak of internal NDIA ‘unwritten/hidden rules’ which impact planning decisions and outcomes for participants. </w:t>
      </w:r>
    </w:p>
    <w:p w14:paraId="452559A8" w14:textId="29BC4879"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 xml:space="preserve">A recent example includes changes to the ways in which Supported Independent Living (SIL) funding was allocated across 2021, where with no consultation or clear communication to participants or providers, participants support levels were downgraded from complex to standard. In many cases this change occurred overnight. </w:t>
      </w:r>
      <w:r w:rsidRPr="005E10EE">
        <w:rPr>
          <w:rFonts w:ascii="Arial" w:hAnsi="Arial" w:cs="Arial"/>
          <w:sz w:val="24"/>
          <w:szCs w:val="24"/>
          <w:lang w:val="en-AU"/>
        </w:rPr>
        <w:lastRenderedPageBreak/>
        <w:t>A survey conducted by NDS in September 2021</w:t>
      </w:r>
      <w:r>
        <w:rPr>
          <w:rStyle w:val="EndnoteReference"/>
          <w:rFonts w:ascii="Arial" w:hAnsi="Arial" w:cs="Arial"/>
          <w:sz w:val="24"/>
          <w:szCs w:val="24"/>
          <w:lang w:val="en-AU"/>
        </w:rPr>
        <w:endnoteReference w:id="10"/>
      </w:r>
      <w:r w:rsidRPr="005E10EE">
        <w:rPr>
          <w:rFonts w:ascii="Arial" w:hAnsi="Arial" w:cs="Arial"/>
          <w:sz w:val="24"/>
          <w:szCs w:val="24"/>
          <w:lang w:val="en-AU"/>
        </w:rPr>
        <w:t xml:space="preserve"> revealed that over half (58 per cent) of responding organisations indicated that downgrades from higher intensity to standard support occurred for 20 per cent or more of their SIL participants. Further, providers reported that communication related to these significant changes was poor, with many indicating that they received no direct communication about this change for participants that they were supporting. In considering the impact of this type of decision it is important to note that most SIL supports are shared with other residents. Any change to one participant’s plan will have an impact on the support provided to other participants living in the same property.</w:t>
      </w:r>
    </w:p>
    <w:p w14:paraId="1AEA0A51" w14:textId="7E89E77A" w:rsidR="0085726A" w:rsidRPr="005E10EE" w:rsidRDefault="0085726A"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To positively influence the implementation, performance, governance, administration, expenditure,</w:t>
      </w:r>
      <w:r>
        <w:rPr>
          <w:rFonts w:ascii="Arial" w:hAnsi="Arial" w:cs="Arial"/>
          <w:sz w:val="24"/>
          <w:szCs w:val="24"/>
          <w:lang w:val="en-AU"/>
        </w:rPr>
        <w:t xml:space="preserve"> of the NDIS</w:t>
      </w:r>
      <w:r w:rsidRPr="005E10EE">
        <w:rPr>
          <w:rFonts w:ascii="Arial" w:hAnsi="Arial" w:cs="Arial"/>
          <w:sz w:val="24"/>
          <w:szCs w:val="24"/>
          <w:lang w:val="en-AU"/>
        </w:rPr>
        <w:t>, changes need to be well thought out, with a</w:t>
      </w:r>
      <w:r>
        <w:rPr>
          <w:rFonts w:ascii="Arial" w:hAnsi="Arial" w:cs="Arial"/>
          <w:sz w:val="24"/>
          <w:szCs w:val="24"/>
          <w:lang w:val="en-AU"/>
        </w:rPr>
        <w:t>n</w:t>
      </w:r>
      <w:r w:rsidRPr="005E10EE">
        <w:rPr>
          <w:rFonts w:ascii="Arial" w:hAnsi="Arial" w:cs="Arial"/>
          <w:sz w:val="24"/>
          <w:szCs w:val="24"/>
          <w:lang w:val="en-AU"/>
        </w:rPr>
        <w:t xml:space="preserve"> examination of potential implications, while enabling innovation through an action-learning approach. </w:t>
      </w:r>
    </w:p>
    <w:p w14:paraId="7C990C27" w14:textId="1276DB94" w:rsidR="0085726A" w:rsidRPr="00CA7D07" w:rsidRDefault="0085726A" w:rsidP="00357F76">
      <w:pPr>
        <w:spacing w:before="240" w:after="240" w:line="360" w:lineRule="auto"/>
        <w:rPr>
          <w:rFonts w:ascii="Arial" w:eastAsiaTheme="majorEastAsia" w:hAnsi="Arial" w:cs="Arial"/>
          <w:color w:val="2F5496" w:themeColor="accent1" w:themeShade="BF"/>
          <w:sz w:val="24"/>
          <w:szCs w:val="24"/>
          <w:lang w:val="en-AU"/>
        </w:rPr>
      </w:pPr>
      <w:r>
        <w:rPr>
          <w:rFonts w:ascii="Arial" w:eastAsiaTheme="majorEastAsia" w:hAnsi="Arial" w:cs="Arial"/>
          <w:color w:val="2F5496" w:themeColor="accent1" w:themeShade="BF"/>
          <w:sz w:val="24"/>
          <w:szCs w:val="24"/>
          <w:lang w:val="en-AU"/>
        </w:rPr>
        <w:t xml:space="preserve">Planning and </w:t>
      </w:r>
      <w:r w:rsidRPr="00CA7D07">
        <w:rPr>
          <w:rFonts w:ascii="Arial" w:eastAsiaTheme="majorEastAsia" w:hAnsi="Arial" w:cs="Arial"/>
          <w:color w:val="2F5496" w:themeColor="accent1" w:themeShade="BF"/>
          <w:sz w:val="24"/>
          <w:szCs w:val="24"/>
          <w:lang w:val="en-AU"/>
        </w:rPr>
        <w:t>Processes</w:t>
      </w:r>
    </w:p>
    <w:p w14:paraId="74D26CDE" w14:textId="6AE046C9" w:rsidR="0085726A" w:rsidRPr="00B50241" w:rsidRDefault="0085726A" w:rsidP="00357F76">
      <w:pPr>
        <w:spacing w:before="240" w:after="240" w:line="360" w:lineRule="auto"/>
        <w:rPr>
          <w:rFonts w:ascii="Arial" w:hAnsi="Arial" w:cs="Arial"/>
          <w:sz w:val="24"/>
          <w:szCs w:val="24"/>
          <w:lang w:val="en-AU"/>
        </w:rPr>
      </w:pPr>
      <w:r w:rsidRPr="00B50241">
        <w:rPr>
          <w:rFonts w:ascii="Arial" w:hAnsi="Arial" w:cs="Arial"/>
          <w:sz w:val="24"/>
          <w:szCs w:val="24"/>
          <w:lang w:val="en-AU"/>
        </w:rPr>
        <w:t>NDS members have been clear on the need for ongoing transparency regarding the NDIA's processes to make funding decisions to assist in effective plan implementation by service providers. The current ‘cookie-cutter approach’ to plans, seems to focus on the sustainability of the Scheme to the detriment of the choice and control of participants. The confidence and capacity of participants is systematically challenged. Concepts such as ‘reasonable and necessary’ by their very nature are subjective and open to interpretation, yet this is the lynchpin of funding decisions. As noted in the Tune Review, participants and providers continue to report a lack of clarity as to how reasonable and necessary is defined and the evidence required to support planning.</w:t>
      </w:r>
      <w:r w:rsidRPr="00B50241">
        <w:rPr>
          <w:rStyle w:val="EndnoteReference"/>
          <w:rFonts w:ascii="Arial" w:hAnsi="Arial" w:cs="Arial"/>
          <w:sz w:val="24"/>
          <w:szCs w:val="24"/>
          <w:vertAlign w:val="baseline"/>
          <w:lang w:val="en-AU"/>
        </w:rPr>
        <w:endnoteReference w:id="11"/>
      </w:r>
    </w:p>
    <w:p w14:paraId="0A8303A7" w14:textId="6BE300AD" w:rsidR="001A1FB8" w:rsidRPr="005E10EE" w:rsidRDefault="00EB5C16"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 xml:space="preserve">The current system fails to provide the conditions to enable it to flourish. It is hard to escape the conclusion that the pricing arrangements </w:t>
      </w:r>
      <w:r w:rsidR="007F033B">
        <w:rPr>
          <w:rFonts w:ascii="Arial" w:hAnsi="Arial" w:cs="Arial"/>
          <w:sz w:val="24"/>
          <w:szCs w:val="24"/>
          <w:lang w:val="en-AU"/>
        </w:rPr>
        <w:t xml:space="preserve">in place </w:t>
      </w:r>
      <w:r w:rsidRPr="005E10EE">
        <w:rPr>
          <w:rFonts w:ascii="Arial" w:hAnsi="Arial" w:cs="Arial"/>
          <w:sz w:val="24"/>
          <w:szCs w:val="24"/>
          <w:lang w:val="en-AU"/>
        </w:rPr>
        <w:t xml:space="preserve">now, together with a general sense of policy </w:t>
      </w:r>
      <w:r w:rsidR="00054209">
        <w:rPr>
          <w:rFonts w:ascii="Arial" w:hAnsi="Arial" w:cs="Arial"/>
          <w:sz w:val="24"/>
          <w:szCs w:val="24"/>
          <w:lang w:val="en-AU"/>
        </w:rPr>
        <w:t xml:space="preserve">(and economic) </w:t>
      </w:r>
      <w:r w:rsidRPr="005E10EE">
        <w:rPr>
          <w:rFonts w:ascii="Arial" w:hAnsi="Arial" w:cs="Arial"/>
          <w:sz w:val="24"/>
          <w:szCs w:val="24"/>
          <w:lang w:val="en-AU"/>
        </w:rPr>
        <w:t xml:space="preserve">uncertainty, </w:t>
      </w:r>
      <w:r w:rsidR="00054209">
        <w:rPr>
          <w:rFonts w:ascii="Arial" w:hAnsi="Arial" w:cs="Arial"/>
          <w:sz w:val="24"/>
          <w:szCs w:val="24"/>
          <w:lang w:val="en-AU"/>
        </w:rPr>
        <w:t xml:space="preserve">makes </w:t>
      </w:r>
      <w:r w:rsidRPr="005E10EE">
        <w:rPr>
          <w:rFonts w:ascii="Arial" w:hAnsi="Arial" w:cs="Arial"/>
          <w:sz w:val="24"/>
          <w:szCs w:val="24"/>
          <w:lang w:val="en-AU"/>
        </w:rPr>
        <w:t xml:space="preserve">it extremely difficult for providers to think far ahead – let alone plan for, and invest in, the future. Nearly half of respondents (48 per cent) in </w:t>
      </w:r>
      <w:r w:rsidR="00054209">
        <w:rPr>
          <w:rFonts w:ascii="Arial" w:hAnsi="Arial" w:cs="Arial"/>
          <w:sz w:val="24"/>
          <w:szCs w:val="24"/>
          <w:lang w:val="en-AU"/>
        </w:rPr>
        <w:t>NDS’</w:t>
      </w:r>
      <w:r w:rsidR="00054209" w:rsidRPr="00580EAC">
        <w:rPr>
          <w:rFonts w:ascii="Arial" w:hAnsi="Arial" w:cs="Arial"/>
          <w:sz w:val="24"/>
          <w:szCs w:val="24"/>
          <w:lang w:val="en-AU"/>
        </w:rPr>
        <w:t xml:space="preserve"> </w:t>
      </w:r>
      <w:r w:rsidRPr="005E10EE">
        <w:rPr>
          <w:rFonts w:ascii="Arial" w:hAnsi="Arial" w:cs="Arial"/>
          <w:sz w:val="24"/>
          <w:szCs w:val="24"/>
          <w:lang w:val="en-AU"/>
        </w:rPr>
        <w:t>State of the Disability Sector</w:t>
      </w:r>
      <w:r w:rsidRPr="00580EAC">
        <w:rPr>
          <w:rFonts w:ascii="Arial" w:hAnsi="Arial" w:cs="Arial"/>
          <w:sz w:val="24"/>
          <w:szCs w:val="24"/>
          <w:lang w:val="en-AU"/>
        </w:rPr>
        <w:t xml:space="preserve"> </w:t>
      </w:r>
      <w:r w:rsidR="00054209">
        <w:rPr>
          <w:rFonts w:ascii="Arial" w:hAnsi="Arial" w:cs="Arial"/>
          <w:sz w:val="24"/>
          <w:szCs w:val="24"/>
          <w:lang w:val="en-AU"/>
        </w:rPr>
        <w:t>report</w:t>
      </w:r>
      <w:r w:rsidRPr="005E10EE">
        <w:rPr>
          <w:rFonts w:ascii="Arial" w:hAnsi="Arial" w:cs="Arial"/>
          <w:sz w:val="24"/>
          <w:szCs w:val="24"/>
          <w:lang w:val="en-AU"/>
        </w:rPr>
        <w:t xml:space="preserve"> survey agreed or strongly agreed that their boards and leadership teams were finding it difficult to develop strategies and set a direction in the current policy and operating environment</w:t>
      </w:r>
      <w:r w:rsidR="00242D67" w:rsidRPr="005E10EE">
        <w:rPr>
          <w:rFonts w:ascii="Arial" w:hAnsi="Arial" w:cs="Arial"/>
          <w:sz w:val="24"/>
          <w:szCs w:val="24"/>
          <w:lang w:val="en-AU"/>
        </w:rPr>
        <w:t xml:space="preserve">. </w:t>
      </w:r>
      <w:r w:rsidRPr="005E10EE">
        <w:rPr>
          <w:rFonts w:ascii="Arial" w:hAnsi="Arial" w:cs="Arial"/>
          <w:sz w:val="24"/>
          <w:szCs w:val="24"/>
          <w:lang w:val="en-AU"/>
        </w:rPr>
        <w:t xml:space="preserve">To put it </w:t>
      </w:r>
      <w:r w:rsidRPr="005E10EE">
        <w:rPr>
          <w:rFonts w:ascii="Arial" w:hAnsi="Arial" w:cs="Arial"/>
          <w:sz w:val="24"/>
          <w:szCs w:val="24"/>
          <w:lang w:val="en-AU"/>
        </w:rPr>
        <w:lastRenderedPageBreak/>
        <w:t>simply, it is hard to move forward when you spend so much time and effort on simply staying afloat. This is a problem because the bar is rising all the time. Participants and their families expect services to improve every year – and, indeed, this is what they deserve</w:t>
      </w:r>
      <w:r w:rsidR="009827EE">
        <w:rPr>
          <w:rFonts w:ascii="Arial" w:hAnsi="Arial" w:cs="Arial"/>
          <w:sz w:val="24"/>
          <w:szCs w:val="24"/>
          <w:lang w:val="en-AU"/>
        </w:rPr>
        <w:t>.</w:t>
      </w:r>
    </w:p>
    <w:p w14:paraId="0B807BC9" w14:textId="77777777" w:rsidR="00BB5A56" w:rsidRPr="005E10EE" w:rsidRDefault="00BB5A56" w:rsidP="00357F76">
      <w:pPr>
        <w:spacing w:before="240" w:after="240" w:line="360" w:lineRule="auto"/>
        <w:rPr>
          <w:rFonts w:ascii="Arial" w:hAnsi="Arial" w:cs="Arial"/>
          <w:sz w:val="24"/>
          <w:szCs w:val="24"/>
          <w:lang w:val="en-AU"/>
        </w:rPr>
      </w:pPr>
      <w:r w:rsidRPr="005E10EE">
        <w:rPr>
          <w:rFonts w:ascii="Arial" w:hAnsi="Arial" w:cs="Arial"/>
          <w:sz w:val="24"/>
          <w:szCs w:val="24"/>
          <w:lang w:val="en-AU"/>
        </w:rPr>
        <w:t>Often reference is made to the market and providers, but there is insufficient focus on the provider experience of interacting with the current NDIA system which is administratively burdensome and costly, full of inefficiencies and waste, inappropriately complex and not assisting the delivery of efficient outcomes for participants. Consequently, for the effective implementation, performance and administration of the NDIS, it is essential to examine providers’ experience of the system and its impact on their ability to innovate and deliver new services and supports.</w:t>
      </w:r>
    </w:p>
    <w:p w14:paraId="220CE27B" w14:textId="6B45AA55" w:rsidR="00155D16" w:rsidRPr="00C50A76" w:rsidRDefault="00526F06" w:rsidP="00357F76">
      <w:pPr>
        <w:pStyle w:val="Heading1"/>
        <w:spacing w:beforeAutospacing="0" w:after="240" w:line="360" w:lineRule="auto"/>
        <w:rPr>
          <w:rFonts w:cs="Arial"/>
        </w:rPr>
      </w:pPr>
      <w:bookmarkStart w:id="16" w:name="_Toc127277090"/>
      <w:r w:rsidRPr="00C50A76">
        <w:rPr>
          <w:rFonts w:cs="Arial"/>
        </w:rPr>
        <w:t>Conclusion</w:t>
      </w:r>
      <w:bookmarkEnd w:id="16"/>
      <w:r w:rsidRPr="00C50A76">
        <w:rPr>
          <w:rFonts w:cs="Arial"/>
        </w:rPr>
        <w:t xml:space="preserve"> </w:t>
      </w:r>
    </w:p>
    <w:p w14:paraId="1D8A9D41" w14:textId="1B56572D" w:rsidR="007A0F9D" w:rsidRDefault="00E058A6" w:rsidP="00357F76">
      <w:pPr>
        <w:spacing w:before="240" w:after="240" w:line="360" w:lineRule="auto"/>
        <w:rPr>
          <w:rFonts w:ascii="Arial" w:hAnsi="Arial" w:cs="Arial"/>
          <w:sz w:val="24"/>
          <w:szCs w:val="24"/>
          <w:lang w:val="en-AU"/>
        </w:rPr>
      </w:pPr>
      <w:r w:rsidRPr="00CA7D07">
        <w:rPr>
          <w:rFonts w:ascii="Arial" w:hAnsi="Arial" w:cs="Arial"/>
          <w:sz w:val="24"/>
          <w:szCs w:val="24"/>
          <w:lang w:val="en-AU"/>
        </w:rPr>
        <w:t xml:space="preserve">While representing a small subsection of providers, the pulse survey provides some valuable insights into areas where the NDIS could be improved across the short, </w:t>
      </w:r>
      <w:proofErr w:type="gramStart"/>
      <w:r w:rsidRPr="00CA7D07">
        <w:rPr>
          <w:rFonts w:ascii="Arial" w:hAnsi="Arial" w:cs="Arial"/>
          <w:sz w:val="24"/>
          <w:szCs w:val="24"/>
          <w:lang w:val="en-AU"/>
        </w:rPr>
        <w:t>medium</w:t>
      </w:r>
      <w:proofErr w:type="gramEnd"/>
      <w:r w:rsidRPr="00CA7D07">
        <w:rPr>
          <w:rFonts w:ascii="Arial" w:hAnsi="Arial" w:cs="Arial"/>
          <w:sz w:val="24"/>
          <w:szCs w:val="24"/>
          <w:lang w:val="en-AU"/>
        </w:rPr>
        <w:t xml:space="preserve"> and long term. These views have also resonated more broadly in the daily and ongoing engagement that NDS has with the sector. Snapshot polling conducted across a range of our engagement activities echoes the areas identified through the pulse survey: regulation and registration, pricing and its impact on financial sustainability and the impact of duplicative and unnecessarily complex and administratively burdensome processes.</w:t>
      </w:r>
    </w:p>
    <w:p w14:paraId="0CB4CDAB" w14:textId="73A540F6" w:rsidR="00115A3B" w:rsidRDefault="00F554FA" w:rsidP="00357F76">
      <w:pPr>
        <w:spacing w:before="240" w:after="240" w:line="360" w:lineRule="auto"/>
        <w:rPr>
          <w:rFonts w:ascii="Arial" w:hAnsi="Arial" w:cs="Arial"/>
          <w:sz w:val="24"/>
          <w:szCs w:val="24"/>
          <w:lang w:val="en-AU"/>
        </w:rPr>
      </w:pPr>
      <w:r>
        <w:rPr>
          <w:rFonts w:ascii="Arial" w:hAnsi="Arial" w:cs="Arial"/>
          <w:sz w:val="24"/>
          <w:szCs w:val="24"/>
          <w:lang w:val="en-AU"/>
        </w:rPr>
        <w:t xml:space="preserve">Providers have emphasised that the NDIS Review needs to focus on </w:t>
      </w:r>
      <w:r w:rsidRPr="00636F2E">
        <w:rPr>
          <w:rFonts w:ascii="Arial" w:hAnsi="Arial" w:cs="Arial"/>
          <w:sz w:val="24"/>
          <w:szCs w:val="24"/>
          <w:lang w:val="en-AU"/>
        </w:rPr>
        <w:t>planning that makes sense, quick and effective issues resolution and simplified processes aimed at reducing red tape and administrative burden for all</w:t>
      </w:r>
      <w:r w:rsidR="00242D67" w:rsidRPr="00636F2E">
        <w:rPr>
          <w:rFonts w:ascii="Arial" w:hAnsi="Arial" w:cs="Arial"/>
          <w:sz w:val="24"/>
          <w:szCs w:val="24"/>
          <w:lang w:val="en-AU"/>
        </w:rPr>
        <w:t>.</w:t>
      </w:r>
      <w:r w:rsidR="00242D67">
        <w:rPr>
          <w:rFonts w:ascii="Arial" w:hAnsi="Arial" w:cs="Arial"/>
          <w:sz w:val="24"/>
          <w:szCs w:val="24"/>
          <w:lang w:val="en-AU"/>
        </w:rPr>
        <w:t xml:space="preserve"> </w:t>
      </w:r>
      <w:r>
        <w:rPr>
          <w:rFonts w:ascii="Arial" w:hAnsi="Arial" w:cs="Arial"/>
          <w:sz w:val="24"/>
          <w:szCs w:val="24"/>
          <w:lang w:val="en-AU"/>
        </w:rPr>
        <w:t>For these issues to be effectively addressed, suggested improvements include</w:t>
      </w:r>
      <w:r w:rsidR="00A1762E">
        <w:rPr>
          <w:rFonts w:ascii="Arial" w:hAnsi="Arial" w:cs="Arial"/>
          <w:sz w:val="24"/>
          <w:szCs w:val="24"/>
          <w:lang w:val="en-AU"/>
        </w:rPr>
        <w:t>:</w:t>
      </w:r>
      <w:r>
        <w:rPr>
          <w:rFonts w:ascii="Arial" w:hAnsi="Arial" w:cs="Arial"/>
          <w:sz w:val="24"/>
          <w:szCs w:val="24"/>
          <w:lang w:val="en-AU"/>
        </w:rPr>
        <w:t xml:space="preserve"> </w:t>
      </w:r>
    </w:p>
    <w:p w14:paraId="2B3037AE" w14:textId="570D74B8" w:rsidR="00115A3B" w:rsidRDefault="00F554FA" w:rsidP="00357F76">
      <w:pPr>
        <w:pStyle w:val="ListParagraph"/>
        <w:numPr>
          <w:ilvl w:val="0"/>
          <w:numId w:val="18"/>
        </w:numPr>
        <w:spacing w:before="240" w:after="240" w:line="360" w:lineRule="auto"/>
        <w:rPr>
          <w:rFonts w:ascii="Arial" w:hAnsi="Arial" w:cs="Arial"/>
          <w:sz w:val="24"/>
          <w:szCs w:val="24"/>
          <w:lang w:val="en-AU"/>
        </w:rPr>
      </w:pPr>
      <w:r w:rsidRPr="00115A3B">
        <w:rPr>
          <w:rFonts w:ascii="Arial" w:hAnsi="Arial" w:cs="Arial"/>
          <w:sz w:val="24"/>
          <w:szCs w:val="24"/>
          <w:lang w:val="en-AU"/>
        </w:rPr>
        <w:t xml:space="preserve">longer indexed plans with reviews only when </w:t>
      </w:r>
      <w:r w:rsidR="00242D67" w:rsidRPr="00115A3B">
        <w:rPr>
          <w:rFonts w:ascii="Arial" w:hAnsi="Arial" w:cs="Arial"/>
          <w:sz w:val="24"/>
          <w:szCs w:val="24"/>
          <w:lang w:val="en-AU"/>
        </w:rPr>
        <w:t>required.</w:t>
      </w:r>
      <w:r w:rsidRPr="00115A3B">
        <w:rPr>
          <w:rFonts w:ascii="Arial" w:hAnsi="Arial" w:cs="Arial"/>
          <w:sz w:val="24"/>
          <w:szCs w:val="24"/>
          <w:lang w:val="en-AU"/>
        </w:rPr>
        <w:t xml:space="preserve"> </w:t>
      </w:r>
    </w:p>
    <w:p w14:paraId="61ED21F8" w14:textId="0EC7707A" w:rsidR="00115A3B" w:rsidRDefault="00F554FA" w:rsidP="00357F76">
      <w:pPr>
        <w:pStyle w:val="ListParagraph"/>
        <w:numPr>
          <w:ilvl w:val="0"/>
          <w:numId w:val="18"/>
        </w:numPr>
        <w:spacing w:before="240" w:after="240" w:line="360" w:lineRule="auto"/>
        <w:rPr>
          <w:rFonts w:ascii="Arial" w:hAnsi="Arial" w:cs="Arial"/>
          <w:sz w:val="24"/>
          <w:szCs w:val="24"/>
          <w:lang w:val="en-AU"/>
        </w:rPr>
      </w:pPr>
      <w:r w:rsidRPr="00115A3B">
        <w:rPr>
          <w:rFonts w:ascii="Arial" w:hAnsi="Arial" w:cs="Arial"/>
          <w:sz w:val="24"/>
          <w:szCs w:val="24"/>
          <w:lang w:val="en-AU"/>
        </w:rPr>
        <w:t xml:space="preserve">increased transparency and communication related to planning </w:t>
      </w:r>
      <w:r w:rsidR="00242D67" w:rsidRPr="00115A3B">
        <w:rPr>
          <w:rFonts w:ascii="Arial" w:hAnsi="Arial" w:cs="Arial"/>
          <w:sz w:val="24"/>
          <w:szCs w:val="24"/>
          <w:lang w:val="en-AU"/>
        </w:rPr>
        <w:t>decisions.</w:t>
      </w:r>
    </w:p>
    <w:p w14:paraId="3395E284" w14:textId="39502987" w:rsidR="00B63E60" w:rsidRDefault="00F554FA" w:rsidP="00357F76">
      <w:pPr>
        <w:pStyle w:val="ListParagraph"/>
        <w:numPr>
          <w:ilvl w:val="0"/>
          <w:numId w:val="18"/>
        </w:numPr>
        <w:spacing w:before="240" w:after="240" w:line="360" w:lineRule="auto"/>
        <w:rPr>
          <w:rFonts w:ascii="Arial" w:hAnsi="Arial" w:cs="Arial"/>
          <w:sz w:val="24"/>
          <w:szCs w:val="24"/>
          <w:lang w:val="en-AU"/>
        </w:rPr>
      </w:pPr>
      <w:r w:rsidRPr="00115A3B">
        <w:rPr>
          <w:rFonts w:ascii="Arial" w:hAnsi="Arial" w:cs="Arial"/>
          <w:sz w:val="24"/>
          <w:szCs w:val="24"/>
          <w:lang w:val="en-AU"/>
        </w:rPr>
        <w:t>systems that enable minor issues to be resolved at point of contact (e.g., provider 'hotline')</w:t>
      </w:r>
      <w:r w:rsidR="00A1762E" w:rsidRPr="00115A3B">
        <w:rPr>
          <w:rFonts w:ascii="Arial" w:hAnsi="Arial" w:cs="Arial"/>
          <w:sz w:val="24"/>
          <w:szCs w:val="24"/>
          <w:lang w:val="en-AU"/>
        </w:rPr>
        <w:t>’</w:t>
      </w:r>
      <w:r w:rsidRPr="00115A3B">
        <w:rPr>
          <w:rFonts w:ascii="Arial" w:hAnsi="Arial" w:cs="Arial"/>
          <w:sz w:val="24"/>
          <w:szCs w:val="24"/>
          <w:lang w:val="en-AU"/>
        </w:rPr>
        <w:t xml:space="preserve"> </w:t>
      </w:r>
    </w:p>
    <w:p w14:paraId="08C205E6" w14:textId="09F1D2F4" w:rsidR="00B63E60" w:rsidRDefault="00F554FA" w:rsidP="00357F76">
      <w:pPr>
        <w:pStyle w:val="ListParagraph"/>
        <w:numPr>
          <w:ilvl w:val="0"/>
          <w:numId w:val="18"/>
        </w:numPr>
        <w:spacing w:before="240" w:after="240" w:line="360" w:lineRule="auto"/>
        <w:rPr>
          <w:rFonts w:ascii="Arial" w:hAnsi="Arial" w:cs="Arial"/>
          <w:sz w:val="24"/>
          <w:szCs w:val="24"/>
          <w:lang w:val="en-AU"/>
        </w:rPr>
      </w:pPr>
      <w:r w:rsidRPr="00115A3B">
        <w:rPr>
          <w:rFonts w:ascii="Arial" w:hAnsi="Arial" w:cs="Arial"/>
          <w:sz w:val="24"/>
          <w:szCs w:val="24"/>
          <w:lang w:val="en-AU"/>
        </w:rPr>
        <w:lastRenderedPageBreak/>
        <w:t>target areas of waste and inefficiency (e.g., targeted payment assurance; reduce duplicative reporting/red tape</w:t>
      </w:r>
      <w:r w:rsidR="00242D67" w:rsidRPr="00115A3B">
        <w:rPr>
          <w:rFonts w:ascii="Arial" w:hAnsi="Arial" w:cs="Arial"/>
          <w:sz w:val="24"/>
          <w:szCs w:val="24"/>
          <w:lang w:val="en-AU"/>
        </w:rPr>
        <w:t>).</w:t>
      </w:r>
      <w:r w:rsidRPr="00115A3B">
        <w:rPr>
          <w:rFonts w:ascii="Arial" w:hAnsi="Arial" w:cs="Arial"/>
          <w:sz w:val="24"/>
          <w:szCs w:val="24"/>
          <w:lang w:val="en-AU"/>
        </w:rPr>
        <w:t xml:space="preserve"> </w:t>
      </w:r>
    </w:p>
    <w:p w14:paraId="20C73FB3" w14:textId="0B564C83" w:rsidR="00F554FA" w:rsidRPr="00115A3B" w:rsidRDefault="00F554FA" w:rsidP="00357F76">
      <w:pPr>
        <w:pStyle w:val="ListParagraph"/>
        <w:numPr>
          <w:ilvl w:val="0"/>
          <w:numId w:val="18"/>
        </w:numPr>
        <w:spacing w:before="240" w:after="240" w:line="360" w:lineRule="auto"/>
        <w:rPr>
          <w:rFonts w:ascii="Arial" w:hAnsi="Arial" w:cs="Arial"/>
          <w:sz w:val="24"/>
          <w:szCs w:val="24"/>
          <w:lang w:val="en-AU"/>
        </w:rPr>
      </w:pPr>
      <w:r w:rsidRPr="00115A3B">
        <w:rPr>
          <w:rFonts w:ascii="Arial" w:hAnsi="Arial" w:cs="Arial"/>
          <w:sz w:val="24"/>
          <w:szCs w:val="24"/>
          <w:lang w:val="en-AU"/>
        </w:rPr>
        <w:t>and the simplification of claiming and plan management options for participants and providers.</w:t>
      </w:r>
    </w:p>
    <w:p w14:paraId="16E3671C" w14:textId="010AAC9D" w:rsidR="00F554FA" w:rsidRPr="009C209E" w:rsidRDefault="00F554FA" w:rsidP="00357F76">
      <w:pPr>
        <w:spacing w:before="240" w:after="240" w:line="360" w:lineRule="auto"/>
        <w:rPr>
          <w:rFonts w:ascii="Arial" w:hAnsi="Arial" w:cs="Arial"/>
          <w:sz w:val="24"/>
          <w:szCs w:val="24"/>
          <w:lang w:val="en-AU"/>
        </w:rPr>
      </w:pPr>
      <w:r w:rsidRPr="002424F6">
        <w:rPr>
          <w:rFonts w:ascii="Arial" w:hAnsi="Arial" w:cs="Arial"/>
          <w:sz w:val="24"/>
          <w:szCs w:val="24"/>
          <w:lang w:val="en-AU"/>
        </w:rPr>
        <w:t xml:space="preserve">The co-design of solutions and improved processes is important for restoring trust in the Scheme. It is vital that all policies are developed in consultation with a diverse range of people with disability, peak </w:t>
      </w:r>
      <w:proofErr w:type="gramStart"/>
      <w:r w:rsidRPr="002424F6">
        <w:rPr>
          <w:rFonts w:ascii="Arial" w:hAnsi="Arial" w:cs="Arial"/>
          <w:sz w:val="24"/>
          <w:szCs w:val="24"/>
          <w:lang w:val="en-AU"/>
        </w:rPr>
        <w:t>bodies</w:t>
      </w:r>
      <w:proofErr w:type="gramEnd"/>
      <w:r w:rsidRPr="002424F6">
        <w:rPr>
          <w:rFonts w:ascii="Arial" w:hAnsi="Arial" w:cs="Arial"/>
          <w:sz w:val="24"/>
          <w:szCs w:val="24"/>
          <w:lang w:val="en-AU"/>
        </w:rPr>
        <w:t xml:space="preserve"> and other stakeholder groups. </w:t>
      </w:r>
    </w:p>
    <w:p w14:paraId="475B7866" w14:textId="5355F430" w:rsidR="00051EFC" w:rsidRDefault="006E6EC9" w:rsidP="00357F76">
      <w:pPr>
        <w:spacing w:before="240" w:after="240" w:line="360" w:lineRule="auto"/>
        <w:rPr>
          <w:rFonts w:ascii="Arial" w:hAnsi="Arial" w:cs="Arial"/>
          <w:sz w:val="24"/>
          <w:szCs w:val="24"/>
          <w:lang w:val="en-AU"/>
        </w:rPr>
      </w:pPr>
      <w:r>
        <w:rPr>
          <w:rFonts w:ascii="Arial" w:hAnsi="Arial" w:cs="Arial"/>
          <w:sz w:val="24"/>
          <w:szCs w:val="24"/>
          <w:lang w:val="en-AU"/>
        </w:rPr>
        <w:t>As illustrated in this submission many of the issues identified by the sector are longstanding</w:t>
      </w:r>
      <w:r w:rsidR="00F7429E">
        <w:rPr>
          <w:rFonts w:ascii="Arial" w:hAnsi="Arial" w:cs="Arial"/>
          <w:sz w:val="24"/>
          <w:szCs w:val="24"/>
          <w:lang w:val="en-AU"/>
        </w:rPr>
        <w:t>. Similarly</w:t>
      </w:r>
      <w:r w:rsidR="00CA1EC3">
        <w:rPr>
          <w:rFonts w:ascii="Arial" w:hAnsi="Arial" w:cs="Arial"/>
          <w:sz w:val="24"/>
          <w:szCs w:val="24"/>
          <w:lang w:val="en-AU"/>
        </w:rPr>
        <w:t xml:space="preserve">, </w:t>
      </w:r>
      <w:r w:rsidR="00C0734B">
        <w:rPr>
          <w:rFonts w:ascii="Arial" w:hAnsi="Arial" w:cs="Arial"/>
          <w:sz w:val="24"/>
          <w:szCs w:val="24"/>
          <w:lang w:val="en-AU"/>
        </w:rPr>
        <w:t xml:space="preserve">many of </w:t>
      </w:r>
      <w:r w:rsidR="00F7429E">
        <w:rPr>
          <w:rFonts w:ascii="Arial" w:hAnsi="Arial" w:cs="Arial"/>
          <w:sz w:val="24"/>
          <w:szCs w:val="24"/>
          <w:lang w:val="en-AU"/>
        </w:rPr>
        <w:t xml:space="preserve">the strategies to address these issues are not new. </w:t>
      </w:r>
      <w:r w:rsidR="001B167F">
        <w:rPr>
          <w:rFonts w:ascii="Arial" w:hAnsi="Arial" w:cs="Arial"/>
          <w:sz w:val="24"/>
          <w:szCs w:val="24"/>
          <w:lang w:val="en-AU"/>
        </w:rPr>
        <w:t>NDIS p</w:t>
      </w:r>
      <w:r w:rsidR="00C0734B">
        <w:rPr>
          <w:rFonts w:ascii="Arial" w:hAnsi="Arial" w:cs="Arial"/>
          <w:sz w:val="24"/>
          <w:szCs w:val="24"/>
          <w:lang w:val="en-AU"/>
        </w:rPr>
        <w:t xml:space="preserve">roviders and participants report a history of </w:t>
      </w:r>
      <w:r w:rsidR="006E66C9">
        <w:rPr>
          <w:rFonts w:ascii="Arial" w:hAnsi="Arial" w:cs="Arial"/>
          <w:sz w:val="24"/>
          <w:szCs w:val="24"/>
          <w:lang w:val="en-AU"/>
        </w:rPr>
        <w:t>change that is poorly managed</w:t>
      </w:r>
      <w:r w:rsidR="00051EFC">
        <w:rPr>
          <w:rFonts w:ascii="Arial" w:hAnsi="Arial" w:cs="Arial"/>
          <w:sz w:val="24"/>
          <w:szCs w:val="24"/>
          <w:lang w:val="en-AU"/>
        </w:rPr>
        <w:t xml:space="preserve"> and</w:t>
      </w:r>
      <w:r w:rsidR="0007783A">
        <w:rPr>
          <w:rFonts w:ascii="Arial" w:hAnsi="Arial" w:cs="Arial"/>
          <w:sz w:val="24"/>
          <w:szCs w:val="24"/>
          <w:lang w:val="en-AU"/>
        </w:rPr>
        <w:t xml:space="preserve"> </w:t>
      </w:r>
      <w:r w:rsidR="00B06A1A">
        <w:rPr>
          <w:rFonts w:ascii="Arial" w:hAnsi="Arial" w:cs="Arial"/>
          <w:sz w:val="24"/>
          <w:szCs w:val="24"/>
          <w:lang w:val="en-AU"/>
        </w:rPr>
        <w:t>that results in a range of unintended consequences</w:t>
      </w:r>
      <w:r w:rsidR="00051EFC">
        <w:rPr>
          <w:rFonts w:ascii="Arial" w:hAnsi="Arial" w:cs="Arial"/>
          <w:sz w:val="24"/>
          <w:szCs w:val="24"/>
          <w:lang w:val="en-AU"/>
        </w:rPr>
        <w:t xml:space="preserve">. </w:t>
      </w:r>
    </w:p>
    <w:p w14:paraId="53CDC121" w14:textId="187DA15F" w:rsidR="006E6EC9" w:rsidRPr="00CA7D07" w:rsidRDefault="00242D67" w:rsidP="00357F76">
      <w:pPr>
        <w:spacing w:before="240" w:after="240" w:line="360" w:lineRule="auto"/>
        <w:rPr>
          <w:rFonts w:ascii="Arial" w:hAnsi="Arial" w:cs="Arial"/>
          <w:sz w:val="24"/>
          <w:szCs w:val="24"/>
          <w:lang w:val="en-AU"/>
        </w:rPr>
      </w:pPr>
      <w:r>
        <w:rPr>
          <w:rFonts w:ascii="Arial" w:hAnsi="Arial" w:cs="Arial"/>
          <w:sz w:val="24"/>
          <w:szCs w:val="24"/>
          <w:lang w:val="en-AU"/>
        </w:rPr>
        <w:t>For</w:t>
      </w:r>
      <w:r w:rsidR="00510707">
        <w:rPr>
          <w:rFonts w:ascii="Arial" w:hAnsi="Arial" w:cs="Arial"/>
          <w:sz w:val="24"/>
          <w:szCs w:val="24"/>
          <w:lang w:val="en-AU"/>
        </w:rPr>
        <w:t xml:space="preserve"> recommendations arising from the NDIS Review to be implemented successfully it will be critical to ex</w:t>
      </w:r>
      <w:r w:rsidR="000B36DF">
        <w:rPr>
          <w:rFonts w:ascii="Arial" w:hAnsi="Arial" w:cs="Arial"/>
          <w:sz w:val="24"/>
          <w:szCs w:val="24"/>
          <w:lang w:val="en-AU"/>
        </w:rPr>
        <w:t>amine</w:t>
      </w:r>
      <w:r w:rsidR="00510707">
        <w:rPr>
          <w:rFonts w:ascii="Arial" w:hAnsi="Arial" w:cs="Arial"/>
          <w:sz w:val="24"/>
          <w:szCs w:val="24"/>
          <w:lang w:val="en-AU"/>
        </w:rPr>
        <w:t xml:space="preserve"> </w:t>
      </w:r>
      <w:r w:rsidR="00051EFC">
        <w:rPr>
          <w:rFonts w:ascii="Arial" w:hAnsi="Arial" w:cs="Arial"/>
          <w:sz w:val="24"/>
          <w:szCs w:val="24"/>
          <w:lang w:val="en-AU"/>
        </w:rPr>
        <w:t xml:space="preserve">the factors that have led </w:t>
      </w:r>
      <w:r w:rsidR="00455050">
        <w:rPr>
          <w:rFonts w:ascii="Arial" w:hAnsi="Arial" w:cs="Arial"/>
          <w:sz w:val="24"/>
          <w:szCs w:val="24"/>
          <w:lang w:val="en-AU"/>
        </w:rPr>
        <w:t xml:space="preserve">to previous reforms </w:t>
      </w:r>
      <w:r w:rsidR="00202F61">
        <w:rPr>
          <w:rFonts w:ascii="Arial" w:hAnsi="Arial" w:cs="Arial"/>
          <w:sz w:val="24"/>
          <w:szCs w:val="24"/>
          <w:lang w:val="en-AU"/>
        </w:rPr>
        <w:t>failing to achieve the desired outcomes. This will in</w:t>
      </w:r>
      <w:r w:rsidR="000B36DF">
        <w:rPr>
          <w:rFonts w:ascii="Arial" w:hAnsi="Arial" w:cs="Arial"/>
          <w:sz w:val="24"/>
          <w:szCs w:val="24"/>
          <w:lang w:val="en-AU"/>
        </w:rPr>
        <w:t>clude e</w:t>
      </w:r>
      <w:r w:rsidR="00A81391">
        <w:rPr>
          <w:rFonts w:ascii="Arial" w:hAnsi="Arial" w:cs="Arial"/>
          <w:sz w:val="24"/>
          <w:szCs w:val="24"/>
          <w:lang w:val="en-AU"/>
        </w:rPr>
        <w:t xml:space="preserve">xploring and naming </w:t>
      </w:r>
      <w:r w:rsidR="00847429">
        <w:rPr>
          <w:rFonts w:ascii="Arial" w:hAnsi="Arial" w:cs="Arial"/>
          <w:sz w:val="24"/>
          <w:szCs w:val="24"/>
          <w:lang w:val="en-AU"/>
        </w:rPr>
        <w:t xml:space="preserve">those barriers </w:t>
      </w:r>
      <w:r w:rsidR="002B6EC1">
        <w:rPr>
          <w:rFonts w:ascii="Arial" w:hAnsi="Arial" w:cs="Arial"/>
          <w:sz w:val="24"/>
          <w:szCs w:val="24"/>
          <w:lang w:val="en-AU"/>
        </w:rPr>
        <w:t xml:space="preserve">in all parts of the system </w:t>
      </w:r>
      <w:r w:rsidR="00847429">
        <w:rPr>
          <w:rFonts w:ascii="Arial" w:hAnsi="Arial" w:cs="Arial"/>
          <w:sz w:val="24"/>
          <w:szCs w:val="24"/>
          <w:lang w:val="en-AU"/>
        </w:rPr>
        <w:t>that have inhibited and are likely to impact successful</w:t>
      </w:r>
      <w:r w:rsidR="005D1A09">
        <w:rPr>
          <w:rFonts w:ascii="Arial" w:hAnsi="Arial" w:cs="Arial"/>
          <w:sz w:val="24"/>
          <w:szCs w:val="24"/>
          <w:lang w:val="en-AU"/>
        </w:rPr>
        <w:t xml:space="preserve"> </w:t>
      </w:r>
      <w:r w:rsidR="00B017CB">
        <w:rPr>
          <w:rFonts w:ascii="Arial" w:hAnsi="Arial" w:cs="Arial"/>
          <w:sz w:val="24"/>
          <w:szCs w:val="24"/>
          <w:lang w:val="en-AU"/>
        </w:rPr>
        <w:t xml:space="preserve">implementation. </w:t>
      </w:r>
      <w:r w:rsidR="002B6EC1">
        <w:rPr>
          <w:rFonts w:ascii="Arial" w:hAnsi="Arial" w:cs="Arial"/>
          <w:sz w:val="24"/>
          <w:szCs w:val="24"/>
          <w:lang w:val="en-AU"/>
        </w:rPr>
        <w:t>This</w:t>
      </w:r>
      <w:r w:rsidR="000568E3">
        <w:rPr>
          <w:rFonts w:ascii="Arial" w:hAnsi="Arial" w:cs="Arial"/>
          <w:sz w:val="24"/>
          <w:szCs w:val="24"/>
          <w:lang w:val="en-AU"/>
        </w:rPr>
        <w:t xml:space="preserve"> will require </w:t>
      </w:r>
      <w:r w:rsidR="00B51DA0">
        <w:rPr>
          <w:rFonts w:ascii="Arial" w:hAnsi="Arial" w:cs="Arial"/>
          <w:sz w:val="24"/>
          <w:szCs w:val="24"/>
          <w:lang w:val="en-AU"/>
        </w:rPr>
        <w:t>frank and at times difficult conversations</w:t>
      </w:r>
      <w:r w:rsidR="00847429">
        <w:rPr>
          <w:rFonts w:ascii="Arial" w:hAnsi="Arial" w:cs="Arial"/>
          <w:sz w:val="24"/>
          <w:szCs w:val="24"/>
          <w:lang w:val="en-AU"/>
        </w:rPr>
        <w:t xml:space="preserve"> to ensure that </w:t>
      </w:r>
      <w:r w:rsidR="00D80429">
        <w:rPr>
          <w:rFonts w:ascii="Arial" w:hAnsi="Arial" w:cs="Arial"/>
          <w:sz w:val="24"/>
          <w:szCs w:val="24"/>
          <w:lang w:val="en-AU"/>
        </w:rPr>
        <w:t xml:space="preserve">they are identified, </w:t>
      </w:r>
      <w:proofErr w:type="gramStart"/>
      <w:r w:rsidR="00D80429">
        <w:rPr>
          <w:rFonts w:ascii="Arial" w:hAnsi="Arial" w:cs="Arial"/>
          <w:sz w:val="24"/>
          <w:szCs w:val="24"/>
          <w:lang w:val="en-AU"/>
        </w:rPr>
        <w:t>understood</w:t>
      </w:r>
      <w:proofErr w:type="gramEnd"/>
      <w:r w:rsidR="00D80429">
        <w:rPr>
          <w:rFonts w:ascii="Arial" w:hAnsi="Arial" w:cs="Arial"/>
          <w:sz w:val="24"/>
          <w:szCs w:val="24"/>
          <w:lang w:val="en-AU"/>
        </w:rPr>
        <w:t xml:space="preserve"> and addressed. </w:t>
      </w:r>
    </w:p>
    <w:p w14:paraId="5B564166" w14:textId="2744587F" w:rsidR="00A7369E" w:rsidRPr="00797E39" w:rsidRDefault="00797E39" w:rsidP="00357F76">
      <w:pPr>
        <w:spacing w:before="240" w:after="240" w:line="360" w:lineRule="auto"/>
        <w:rPr>
          <w:rFonts w:ascii="Arial" w:hAnsi="Arial" w:cs="Arial"/>
          <w:sz w:val="24"/>
          <w:szCs w:val="24"/>
          <w:lang w:val="en-AU"/>
        </w:rPr>
      </w:pPr>
      <w:r w:rsidRPr="00797E39">
        <w:rPr>
          <w:rFonts w:ascii="Arial" w:hAnsi="Arial" w:cs="Arial"/>
          <w:sz w:val="24"/>
          <w:szCs w:val="24"/>
          <w:lang w:val="en-AU"/>
        </w:rPr>
        <w:t xml:space="preserve">NDS and its members welcome the opportunity of </w:t>
      </w:r>
      <w:r w:rsidR="004E39A0">
        <w:rPr>
          <w:rFonts w:ascii="Arial" w:hAnsi="Arial" w:cs="Arial"/>
          <w:sz w:val="24"/>
          <w:szCs w:val="24"/>
          <w:lang w:val="en-AU"/>
        </w:rPr>
        <w:t>the NDIS</w:t>
      </w:r>
      <w:r w:rsidR="004E39A0" w:rsidRPr="00580EAC">
        <w:rPr>
          <w:rFonts w:ascii="Arial" w:hAnsi="Arial" w:cs="Arial"/>
          <w:sz w:val="24"/>
          <w:szCs w:val="24"/>
          <w:lang w:val="en-AU"/>
        </w:rPr>
        <w:t xml:space="preserve"> </w:t>
      </w:r>
      <w:r w:rsidR="005A464F">
        <w:rPr>
          <w:rFonts w:ascii="Arial" w:hAnsi="Arial" w:cs="Arial"/>
          <w:sz w:val="24"/>
          <w:szCs w:val="24"/>
          <w:lang w:val="en-AU"/>
        </w:rPr>
        <w:t>Review</w:t>
      </w:r>
      <w:r w:rsidRPr="00797E39">
        <w:rPr>
          <w:rFonts w:ascii="Arial" w:hAnsi="Arial" w:cs="Arial"/>
          <w:sz w:val="24"/>
          <w:szCs w:val="24"/>
          <w:lang w:val="en-AU"/>
        </w:rPr>
        <w:t xml:space="preserve"> and look forward to working with the </w:t>
      </w:r>
      <w:r w:rsidR="00D1641C">
        <w:rPr>
          <w:rFonts w:ascii="Arial" w:hAnsi="Arial" w:cs="Arial"/>
          <w:sz w:val="24"/>
          <w:szCs w:val="24"/>
          <w:lang w:val="en-AU"/>
        </w:rPr>
        <w:t>Indep</w:t>
      </w:r>
      <w:r w:rsidR="005A464F">
        <w:rPr>
          <w:rFonts w:ascii="Arial" w:hAnsi="Arial" w:cs="Arial"/>
          <w:sz w:val="24"/>
          <w:szCs w:val="24"/>
          <w:lang w:val="en-AU"/>
        </w:rPr>
        <w:t>endent Review Panel</w:t>
      </w:r>
      <w:r w:rsidRPr="00797E39">
        <w:rPr>
          <w:rFonts w:ascii="Arial" w:hAnsi="Arial" w:cs="Arial"/>
          <w:sz w:val="24"/>
          <w:szCs w:val="24"/>
          <w:lang w:val="en-AU"/>
        </w:rPr>
        <w:t xml:space="preserve"> to achieve a NDIS which is vibrant, innovative and delivers the right supports to people with disability to meet the original intent of the Scheme. </w:t>
      </w:r>
      <w:r w:rsidR="00C07269">
        <w:rPr>
          <w:rFonts w:ascii="Arial" w:hAnsi="Arial" w:cs="Arial"/>
          <w:sz w:val="24"/>
          <w:szCs w:val="24"/>
          <w:lang w:val="en-AU"/>
        </w:rPr>
        <w:t>E</w:t>
      </w:r>
      <w:r w:rsidR="000A79FB">
        <w:rPr>
          <w:rFonts w:ascii="Arial" w:hAnsi="Arial" w:cs="Arial"/>
          <w:sz w:val="24"/>
          <w:szCs w:val="24"/>
          <w:lang w:val="en-AU"/>
        </w:rPr>
        <w:t>ven</w:t>
      </w:r>
      <w:r w:rsidR="000E12F9" w:rsidRPr="000B7290">
        <w:rPr>
          <w:rFonts w:ascii="Arial" w:hAnsi="Arial" w:cs="Arial"/>
          <w:sz w:val="24"/>
          <w:szCs w:val="24"/>
          <w:lang w:val="en-AU"/>
        </w:rPr>
        <w:t xml:space="preserve"> despite</w:t>
      </w:r>
      <w:r w:rsidR="00F133E9">
        <w:rPr>
          <w:rFonts w:ascii="Arial" w:hAnsi="Arial" w:cs="Arial"/>
          <w:sz w:val="24"/>
          <w:szCs w:val="24"/>
          <w:lang w:val="en-AU"/>
        </w:rPr>
        <w:t xml:space="preserve"> </w:t>
      </w:r>
      <w:r w:rsidR="005B05F9">
        <w:rPr>
          <w:rFonts w:ascii="Arial" w:hAnsi="Arial" w:cs="Arial"/>
          <w:sz w:val="24"/>
          <w:szCs w:val="24"/>
          <w:lang w:val="en-AU"/>
        </w:rPr>
        <w:t>justified</w:t>
      </w:r>
      <w:r w:rsidR="000E12F9" w:rsidRPr="000B7290">
        <w:rPr>
          <w:rFonts w:ascii="Arial" w:hAnsi="Arial" w:cs="Arial"/>
          <w:sz w:val="24"/>
          <w:szCs w:val="24"/>
          <w:lang w:val="en-AU"/>
        </w:rPr>
        <w:t xml:space="preserve"> frustrations and </w:t>
      </w:r>
      <w:r w:rsidR="00F737D0">
        <w:rPr>
          <w:rFonts w:ascii="Arial" w:hAnsi="Arial" w:cs="Arial"/>
          <w:sz w:val="24"/>
          <w:szCs w:val="24"/>
          <w:lang w:val="en-AU"/>
        </w:rPr>
        <w:t xml:space="preserve">grappling with </w:t>
      </w:r>
      <w:r w:rsidR="005B05F9">
        <w:rPr>
          <w:rFonts w:ascii="Arial" w:hAnsi="Arial" w:cs="Arial"/>
          <w:sz w:val="24"/>
          <w:szCs w:val="24"/>
          <w:lang w:val="en-AU"/>
        </w:rPr>
        <w:t xml:space="preserve">a history of </w:t>
      </w:r>
      <w:r w:rsidR="000E12F9" w:rsidRPr="000B7290">
        <w:rPr>
          <w:rFonts w:ascii="Arial" w:hAnsi="Arial" w:cs="Arial"/>
          <w:sz w:val="24"/>
          <w:szCs w:val="24"/>
          <w:lang w:val="en-AU"/>
        </w:rPr>
        <w:t>poor implementation</w:t>
      </w:r>
      <w:r w:rsidR="00C07269">
        <w:rPr>
          <w:rFonts w:ascii="Arial" w:hAnsi="Arial" w:cs="Arial"/>
          <w:sz w:val="24"/>
          <w:szCs w:val="24"/>
          <w:lang w:val="en-AU"/>
        </w:rPr>
        <w:t xml:space="preserve"> of NDIS reforms</w:t>
      </w:r>
      <w:r w:rsidR="00F133E9">
        <w:rPr>
          <w:rFonts w:ascii="Arial" w:hAnsi="Arial" w:cs="Arial"/>
          <w:sz w:val="24"/>
          <w:szCs w:val="24"/>
          <w:lang w:val="en-AU"/>
        </w:rPr>
        <w:t>,</w:t>
      </w:r>
      <w:r w:rsidR="000E12F9" w:rsidRPr="000B7290">
        <w:rPr>
          <w:rFonts w:ascii="Arial" w:hAnsi="Arial" w:cs="Arial"/>
          <w:sz w:val="24"/>
          <w:szCs w:val="24"/>
          <w:lang w:val="en-AU"/>
        </w:rPr>
        <w:t xml:space="preserve"> the sector continues to have faith in the NDIS</w:t>
      </w:r>
      <w:r w:rsidR="005B05F9">
        <w:rPr>
          <w:rFonts w:ascii="Arial" w:hAnsi="Arial" w:cs="Arial"/>
          <w:sz w:val="24"/>
          <w:szCs w:val="24"/>
          <w:lang w:val="en-AU"/>
        </w:rPr>
        <w:t>,</w:t>
      </w:r>
      <w:r w:rsidR="000E12F9" w:rsidRPr="000B7290">
        <w:rPr>
          <w:rFonts w:ascii="Arial" w:hAnsi="Arial" w:cs="Arial"/>
          <w:sz w:val="24"/>
          <w:szCs w:val="24"/>
          <w:lang w:val="en-AU"/>
        </w:rPr>
        <w:t xml:space="preserve"> and stands ready to </w:t>
      </w:r>
      <w:r w:rsidR="00270697">
        <w:rPr>
          <w:rFonts w:ascii="Arial" w:hAnsi="Arial" w:cs="Arial"/>
          <w:sz w:val="24"/>
          <w:szCs w:val="24"/>
          <w:lang w:val="en-AU"/>
        </w:rPr>
        <w:t xml:space="preserve">fully </w:t>
      </w:r>
      <w:r w:rsidR="000E12F9" w:rsidRPr="000B7290">
        <w:rPr>
          <w:rFonts w:ascii="Arial" w:hAnsi="Arial" w:cs="Arial"/>
          <w:sz w:val="24"/>
          <w:szCs w:val="24"/>
          <w:lang w:val="en-AU"/>
        </w:rPr>
        <w:t xml:space="preserve">engage with </w:t>
      </w:r>
      <w:r w:rsidR="00352B49">
        <w:rPr>
          <w:rFonts w:ascii="Arial" w:hAnsi="Arial" w:cs="Arial"/>
          <w:sz w:val="24"/>
          <w:szCs w:val="24"/>
          <w:lang w:val="en-AU"/>
        </w:rPr>
        <w:t xml:space="preserve">and play a role in shaping and implementing </w:t>
      </w:r>
      <w:r w:rsidR="00352B49" w:rsidRPr="000B7290">
        <w:rPr>
          <w:rFonts w:ascii="Arial" w:hAnsi="Arial" w:cs="Arial"/>
          <w:sz w:val="24"/>
          <w:szCs w:val="24"/>
          <w:lang w:val="en-AU"/>
        </w:rPr>
        <w:t>future reforms</w:t>
      </w:r>
      <w:r w:rsidR="00352B49">
        <w:rPr>
          <w:rFonts w:ascii="Arial" w:hAnsi="Arial" w:cs="Arial"/>
          <w:sz w:val="24"/>
          <w:szCs w:val="24"/>
          <w:lang w:val="en-AU"/>
        </w:rPr>
        <w:t>.</w:t>
      </w:r>
    </w:p>
    <w:p w14:paraId="72258E2D" w14:textId="77777777" w:rsidR="00D1641C" w:rsidRPr="00D1641C" w:rsidRDefault="00D1641C" w:rsidP="00AB3789">
      <w:pPr>
        <w:spacing w:before="100" w:beforeAutospacing="1" w:line="276" w:lineRule="auto"/>
        <w:contextualSpacing/>
        <w:textAlignment w:val="baseline"/>
        <w:rPr>
          <w:rFonts w:ascii="Arial" w:eastAsia="Times New Roman" w:hAnsi="Arial" w:cs="Arial"/>
          <w:sz w:val="18"/>
          <w:szCs w:val="18"/>
          <w:lang w:val="en-AU" w:eastAsia="en-AU"/>
        </w:rPr>
      </w:pPr>
      <w:r w:rsidRPr="00D1641C">
        <w:rPr>
          <w:rFonts w:ascii="Arial" w:eastAsia="Times New Roman" w:hAnsi="Arial" w:cs="Arial"/>
          <w:color w:val="0070C0"/>
          <w:sz w:val="24"/>
          <w:szCs w:val="24"/>
          <w:lang w:val="en-AU" w:eastAsia="en-AU"/>
        </w:rPr>
        <w:t xml:space="preserve">Contact: </w:t>
      </w:r>
      <w:r w:rsidRPr="00D1641C">
        <w:rPr>
          <w:rFonts w:ascii="Arial" w:eastAsia="Times New Roman" w:hAnsi="Arial" w:cs="Arial"/>
          <w:color w:val="0070C0"/>
          <w:sz w:val="24"/>
          <w:szCs w:val="24"/>
          <w:lang w:val="en-AU" w:eastAsia="en-AU"/>
        </w:rPr>
        <w:tab/>
      </w:r>
      <w:r w:rsidRPr="00D1641C">
        <w:rPr>
          <w:rFonts w:ascii="Arial" w:eastAsia="Times New Roman" w:hAnsi="Arial" w:cs="Arial"/>
          <w:sz w:val="24"/>
          <w:szCs w:val="24"/>
          <w:lang w:val="en-AU" w:eastAsia="en-AU"/>
        </w:rPr>
        <w:t>Laurie Leigh </w:t>
      </w:r>
    </w:p>
    <w:p w14:paraId="25CC506E" w14:textId="77777777" w:rsidR="00D1641C" w:rsidRPr="00D1641C" w:rsidRDefault="00D1641C" w:rsidP="00AB3789">
      <w:pPr>
        <w:spacing w:before="100" w:beforeAutospacing="1" w:line="276" w:lineRule="auto"/>
        <w:ind w:firstLine="1440"/>
        <w:contextualSpacing/>
        <w:textAlignment w:val="baseline"/>
        <w:rPr>
          <w:rFonts w:ascii="Arial" w:eastAsia="Times New Roman" w:hAnsi="Arial" w:cs="Arial"/>
          <w:sz w:val="18"/>
          <w:szCs w:val="18"/>
          <w:lang w:val="en-AU" w:eastAsia="en-AU"/>
        </w:rPr>
      </w:pPr>
      <w:r w:rsidRPr="00D1641C">
        <w:rPr>
          <w:rFonts w:ascii="Arial" w:eastAsia="Times New Roman" w:hAnsi="Arial" w:cs="Arial"/>
          <w:sz w:val="24"/>
          <w:szCs w:val="24"/>
          <w:lang w:val="en-AU" w:eastAsia="en-AU"/>
        </w:rPr>
        <w:t>CEO </w:t>
      </w:r>
    </w:p>
    <w:p w14:paraId="2A365E02" w14:textId="77777777" w:rsidR="00D1641C" w:rsidRPr="00D1641C" w:rsidRDefault="00D1641C" w:rsidP="00AB3789">
      <w:pPr>
        <w:spacing w:before="100" w:beforeAutospacing="1" w:line="276" w:lineRule="auto"/>
        <w:ind w:firstLine="1440"/>
        <w:contextualSpacing/>
        <w:textAlignment w:val="baseline"/>
        <w:rPr>
          <w:rFonts w:ascii="Arial" w:eastAsia="Times New Roman" w:hAnsi="Arial" w:cs="Arial"/>
          <w:sz w:val="18"/>
          <w:szCs w:val="18"/>
          <w:lang w:val="en-AU" w:eastAsia="en-AU"/>
        </w:rPr>
      </w:pPr>
      <w:r w:rsidRPr="00D1641C">
        <w:rPr>
          <w:rFonts w:ascii="Arial" w:eastAsia="Times New Roman" w:hAnsi="Arial" w:cs="Arial"/>
          <w:sz w:val="24"/>
          <w:szCs w:val="24"/>
          <w:lang w:val="en-AU" w:eastAsia="en-AU"/>
        </w:rPr>
        <w:t>National Disability Services </w:t>
      </w:r>
    </w:p>
    <w:p w14:paraId="4C0ACF34" w14:textId="348835A0" w:rsidR="00D1641C" w:rsidRPr="00D1641C" w:rsidRDefault="00000000" w:rsidP="00AB3789">
      <w:pPr>
        <w:spacing w:before="100" w:beforeAutospacing="1" w:line="276" w:lineRule="auto"/>
        <w:ind w:firstLine="1440"/>
        <w:contextualSpacing/>
        <w:textAlignment w:val="baseline"/>
        <w:rPr>
          <w:rFonts w:ascii="Arial" w:eastAsia="Times New Roman" w:hAnsi="Arial" w:cs="Arial"/>
          <w:sz w:val="18"/>
          <w:szCs w:val="18"/>
          <w:lang w:val="en-AU" w:eastAsia="en-AU"/>
        </w:rPr>
      </w:pPr>
      <w:hyperlink r:id="rId15" w:tgtFrame="_blank" w:history="1">
        <w:r w:rsidR="00D1641C" w:rsidRPr="00D1641C">
          <w:rPr>
            <w:rFonts w:ascii="Arial" w:eastAsia="Times New Roman" w:hAnsi="Arial" w:cs="Arial"/>
            <w:color w:val="0563C1"/>
            <w:sz w:val="24"/>
            <w:szCs w:val="24"/>
            <w:u w:val="single"/>
            <w:lang w:val="en-AU" w:eastAsia="en-AU"/>
          </w:rPr>
          <w:t>laurie.leigh@nds.org.au</w:t>
        </w:r>
      </w:hyperlink>
      <w:r w:rsidR="00D1641C" w:rsidRPr="00D1641C">
        <w:rPr>
          <w:rFonts w:ascii="Arial" w:eastAsia="Times New Roman" w:hAnsi="Arial" w:cs="Arial"/>
          <w:sz w:val="24"/>
          <w:szCs w:val="24"/>
          <w:lang w:val="en-AU" w:eastAsia="en-AU"/>
        </w:rPr>
        <w:t> </w:t>
      </w:r>
    </w:p>
    <w:p w14:paraId="55BBCB85" w14:textId="77777777" w:rsidR="00D1641C" w:rsidRPr="00D1641C" w:rsidRDefault="00D1641C" w:rsidP="00AB3789">
      <w:pPr>
        <w:spacing w:before="100" w:beforeAutospacing="1" w:line="276" w:lineRule="auto"/>
        <w:ind w:left="720" w:firstLine="720"/>
        <w:textAlignment w:val="baseline"/>
        <w:rPr>
          <w:rFonts w:ascii="Arial" w:eastAsia="Times New Roman" w:hAnsi="Arial" w:cs="Arial"/>
          <w:sz w:val="18"/>
          <w:szCs w:val="18"/>
          <w:lang w:val="en-AU" w:eastAsia="en-AU"/>
        </w:rPr>
      </w:pPr>
      <w:r w:rsidRPr="00D1641C">
        <w:rPr>
          <w:rFonts w:ascii="Arial" w:eastAsia="Times New Roman" w:hAnsi="Arial" w:cs="Arial"/>
          <w:sz w:val="24"/>
          <w:szCs w:val="24"/>
          <w:lang w:val="en-AU" w:eastAsia="en-AU"/>
        </w:rPr>
        <w:t>December 2022 </w:t>
      </w:r>
    </w:p>
    <w:p w14:paraId="74C601F3" w14:textId="6AF90697" w:rsidR="00611534" w:rsidRPr="00B50241" w:rsidRDefault="00155D16" w:rsidP="00B50241">
      <w:pPr>
        <w:pStyle w:val="Heading1"/>
      </w:pPr>
      <w:bookmarkStart w:id="17" w:name="_Toc127277091"/>
      <w:r w:rsidRPr="00B50241">
        <w:lastRenderedPageBreak/>
        <w:t>Attached</w:t>
      </w:r>
      <w:bookmarkEnd w:id="17"/>
      <w:r w:rsidRPr="00B50241">
        <w:t xml:space="preserve"> </w:t>
      </w:r>
    </w:p>
    <w:p w14:paraId="5999388C" w14:textId="6FDEE1F6" w:rsidR="004D4097" w:rsidRPr="00CA7D07" w:rsidRDefault="00FA70F8" w:rsidP="00B50241">
      <w:pPr>
        <w:pStyle w:val="ListParagraph"/>
        <w:numPr>
          <w:ilvl w:val="0"/>
          <w:numId w:val="10"/>
        </w:numPr>
        <w:spacing w:before="100" w:beforeAutospacing="1" w:after="240" w:line="360" w:lineRule="auto"/>
        <w:ind w:left="714" w:hanging="357"/>
        <w:rPr>
          <w:rFonts w:ascii="Arial" w:hAnsi="Arial" w:cs="Arial"/>
          <w:sz w:val="24"/>
          <w:szCs w:val="24"/>
          <w:lang w:val="en-AU"/>
        </w:rPr>
      </w:pPr>
      <w:r>
        <w:rPr>
          <w:rFonts w:ascii="Arial" w:hAnsi="Arial" w:cs="Arial"/>
          <w:sz w:val="24"/>
          <w:szCs w:val="24"/>
          <w:lang w:val="en-AU"/>
        </w:rPr>
        <w:t xml:space="preserve">NDS submission to the </w:t>
      </w:r>
      <w:r w:rsidR="004D4097" w:rsidRPr="00CA7D07">
        <w:rPr>
          <w:rFonts w:ascii="Arial" w:hAnsi="Arial" w:cs="Arial"/>
          <w:sz w:val="24"/>
          <w:szCs w:val="24"/>
          <w:lang w:val="en-AU"/>
        </w:rPr>
        <w:t xml:space="preserve">SDA Price Review </w:t>
      </w:r>
    </w:p>
    <w:p w14:paraId="3F8832EB" w14:textId="2B25968E" w:rsidR="004D4097" w:rsidRPr="00CA7D07" w:rsidRDefault="00FA70F8" w:rsidP="00B50241">
      <w:pPr>
        <w:pStyle w:val="ListParagraph"/>
        <w:numPr>
          <w:ilvl w:val="0"/>
          <w:numId w:val="10"/>
        </w:numPr>
        <w:spacing w:before="100" w:beforeAutospacing="1" w:after="240" w:line="360" w:lineRule="auto"/>
        <w:ind w:left="714" w:hanging="357"/>
        <w:rPr>
          <w:rFonts w:ascii="Arial" w:hAnsi="Arial" w:cs="Arial"/>
          <w:sz w:val="24"/>
          <w:szCs w:val="24"/>
          <w:lang w:val="en-AU"/>
        </w:rPr>
      </w:pPr>
      <w:r>
        <w:rPr>
          <w:rFonts w:ascii="Arial" w:hAnsi="Arial" w:cs="Arial"/>
          <w:sz w:val="24"/>
          <w:szCs w:val="24"/>
          <w:lang w:val="en-AU"/>
        </w:rPr>
        <w:t xml:space="preserve">NDS submission to the </w:t>
      </w:r>
      <w:r w:rsidR="00EB19AD">
        <w:rPr>
          <w:rFonts w:ascii="Arial" w:hAnsi="Arial" w:cs="Arial"/>
          <w:sz w:val="24"/>
          <w:szCs w:val="24"/>
          <w:lang w:val="en-AU"/>
        </w:rPr>
        <w:t xml:space="preserve">Jobs and Skills Summit </w:t>
      </w:r>
      <w:r w:rsidR="3229D7AA" w:rsidRPr="00580EAC">
        <w:rPr>
          <w:rFonts w:ascii="Arial" w:hAnsi="Arial" w:cs="Arial"/>
          <w:sz w:val="24"/>
          <w:szCs w:val="24"/>
          <w:lang w:val="en-AU"/>
        </w:rPr>
        <w:t>Employment</w:t>
      </w:r>
      <w:r w:rsidR="004D4097" w:rsidRPr="00580EAC">
        <w:rPr>
          <w:rFonts w:ascii="Arial" w:hAnsi="Arial" w:cs="Arial"/>
          <w:sz w:val="24"/>
          <w:szCs w:val="24"/>
          <w:lang w:val="en-AU"/>
        </w:rPr>
        <w:t xml:space="preserve"> White Paper</w:t>
      </w:r>
    </w:p>
    <w:p w14:paraId="0F08A471" w14:textId="1A21EB1E" w:rsidR="004D4097" w:rsidRPr="00CA7D07" w:rsidRDefault="00FA70F8" w:rsidP="00B50241">
      <w:pPr>
        <w:pStyle w:val="ListParagraph"/>
        <w:numPr>
          <w:ilvl w:val="0"/>
          <w:numId w:val="10"/>
        </w:numPr>
        <w:spacing w:before="100" w:beforeAutospacing="1" w:after="240" w:line="360" w:lineRule="auto"/>
        <w:ind w:left="714" w:hanging="357"/>
        <w:rPr>
          <w:rFonts w:ascii="Arial" w:hAnsi="Arial" w:cs="Arial"/>
          <w:sz w:val="24"/>
          <w:szCs w:val="24"/>
          <w:lang w:val="en-AU"/>
        </w:rPr>
      </w:pPr>
      <w:r>
        <w:rPr>
          <w:rFonts w:ascii="Arial" w:hAnsi="Arial" w:cs="Arial"/>
          <w:sz w:val="24"/>
          <w:szCs w:val="24"/>
          <w:lang w:val="en-AU"/>
        </w:rPr>
        <w:t xml:space="preserve">NDS submission to the </w:t>
      </w:r>
      <w:r w:rsidR="004D4097" w:rsidRPr="00CA7D07">
        <w:rPr>
          <w:rFonts w:ascii="Arial" w:hAnsi="Arial" w:cs="Arial"/>
          <w:sz w:val="24"/>
          <w:szCs w:val="24"/>
          <w:lang w:val="en-AU"/>
        </w:rPr>
        <w:t xml:space="preserve">Australian National Audit Office (ANAO): NDIA’s management of assistance with daily life supports </w:t>
      </w:r>
    </w:p>
    <w:p w14:paraId="5466A894" w14:textId="1145D786" w:rsidR="009D1866" w:rsidRPr="00CA7D07" w:rsidRDefault="00EB19AD" w:rsidP="00B50241">
      <w:pPr>
        <w:pStyle w:val="ListParagraph"/>
        <w:numPr>
          <w:ilvl w:val="0"/>
          <w:numId w:val="10"/>
        </w:numPr>
        <w:spacing w:before="100" w:beforeAutospacing="1" w:after="240" w:line="360" w:lineRule="auto"/>
        <w:ind w:left="714" w:hanging="357"/>
        <w:rPr>
          <w:rFonts w:ascii="Arial" w:hAnsi="Arial" w:cs="Arial"/>
          <w:sz w:val="24"/>
          <w:szCs w:val="24"/>
          <w:lang w:val="en-AU"/>
        </w:rPr>
      </w:pPr>
      <w:r>
        <w:rPr>
          <w:rFonts w:ascii="Arial" w:hAnsi="Arial" w:cs="Arial"/>
          <w:sz w:val="24"/>
          <w:szCs w:val="24"/>
          <w:lang w:val="en-AU"/>
        </w:rPr>
        <w:t xml:space="preserve">NDS </w:t>
      </w:r>
      <w:r w:rsidR="009D1866" w:rsidRPr="00CA7D07">
        <w:rPr>
          <w:rFonts w:ascii="Arial" w:hAnsi="Arial" w:cs="Arial"/>
          <w:sz w:val="24"/>
          <w:szCs w:val="24"/>
          <w:lang w:val="en-AU"/>
        </w:rPr>
        <w:t xml:space="preserve">State of the Disability Sector </w:t>
      </w:r>
      <w:r>
        <w:rPr>
          <w:rFonts w:ascii="Arial" w:hAnsi="Arial" w:cs="Arial"/>
          <w:sz w:val="24"/>
          <w:szCs w:val="24"/>
          <w:lang w:val="en-AU"/>
        </w:rPr>
        <w:t xml:space="preserve">report </w:t>
      </w:r>
      <w:r w:rsidR="009D1866" w:rsidRPr="00CA7D07">
        <w:rPr>
          <w:rFonts w:ascii="Arial" w:hAnsi="Arial" w:cs="Arial"/>
          <w:sz w:val="24"/>
          <w:szCs w:val="24"/>
          <w:lang w:val="en-AU"/>
        </w:rPr>
        <w:t>2022</w:t>
      </w:r>
    </w:p>
    <w:p w14:paraId="3D827D60" w14:textId="7F3B269F" w:rsidR="004D4097" w:rsidRPr="00B82932" w:rsidRDefault="00B82932" w:rsidP="00BB16DE">
      <w:pPr>
        <w:pStyle w:val="Heading1"/>
        <w:spacing w:before="100"/>
      </w:pPr>
      <w:r w:rsidRPr="002F3BF5">
        <w:t>References</w:t>
      </w:r>
    </w:p>
    <w:sectPr w:rsidR="004D4097" w:rsidRPr="00B82932">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36BC" w14:textId="77777777" w:rsidR="007D5625" w:rsidRDefault="007D5625" w:rsidP="0066002F">
      <w:pPr>
        <w:spacing w:after="0" w:line="240" w:lineRule="auto"/>
      </w:pPr>
      <w:r>
        <w:separator/>
      </w:r>
    </w:p>
  </w:endnote>
  <w:endnote w:type="continuationSeparator" w:id="0">
    <w:p w14:paraId="2641145A" w14:textId="77777777" w:rsidR="007D5625" w:rsidRDefault="007D5625" w:rsidP="0066002F">
      <w:pPr>
        <w:spacing w:after="0" w:line="240" w:lineRule="auto"/>
      </w:pPr>
      <w:r>
        <w:continuationSeparator/>
      </w:r>
    </w:p>
  </w:endnote>
  <w:endnote w:type="continuationNotice" w:id="1">
    <w:p w14:paraId="5B6AA16D" w14:textId="77777777" w:rsidR="007D5625" w:rsidRDefault="007D5625">
      <w:pPr>
        <w:spacing w:after="0" w:line="240" w:lineRule="auto"/>
      </w:pPr>
    </w:p>
  </w:endnote>
  <w:endnote w:id="2">
    <w:p w14:paraId="5D09DEED" w14:textId="4D4A40B4" w:rsidR="0085726A" w:rsidRPr="002F3BF5" w:rsidRDefault="0085726A" w:rsidP="00102C6F">
      <w:pPr>
        <w:pStyle w:val="pf0"/>
        <w:spacing w:before="0" w:beforeAutospacing="0" w:after="240" w:afterAutospacing="0" w:line="360" w:lineRule="auto"/>
        <w:rPr>
          <w:rFonts w:ascii="Arial" w:hAnsi="Arial" w:cs="Arial"/>
        </w:rPr>
      </w:pPr>
      <w:r w:rsidRPr="002F3BF5">
        <w:rPr>
          <w:rStyle w:val="EndnoteReference"/>
          <w:rFonts w:ascii="Arial" w:hAnsi="Arial" w:cs="Arial"/>
          <w:vertAlign w:val="baseline"/>
        </w:rPr>
        <w:endnoteRef/>
      </w:r>
      <w:r w:rsidRPr="002F3BF5">
        <w:rPr>
          <w:rFonts w:ascii="Arial" w:hAnsi="Arial" w:cs="Arial"/>
        </w:rPr>
        <w:t xml:space="preserve"> </w:t>
      </w:r>
      <w:r w:rsidRPr="002F3BF5">
        <w:rPr>
          <w:rStyle w:val="cf01"/>
          <w:rFonts w:ascii="Arial" w:hAnsi="Arial" w:cs="Arial"/>
          <w:sz w:val="24"/>
          <w:szCs w:val="24"/>
        </w:rPr>
        <w:t xml:space="preserve">National Disability Services (2022) Victoria, State of the Disability Sector 2022, accessed 1 December 2022, </w:t>
      </w:r>
      <w:hyperlink r:id="rId1" w:history="1">
        <w:r w:rsidRPr="002F3BF5">
          <w:rPr>
            <w:rStyle w:val="Hyperlink"/>
            <w:rFonts w:ascii="Arial" w:hAnsi="Arial" w:cs="Arial"/>
          </w:rPr>
          <w:t>https://www.nds.org.au/about/state-of-the-disability-sector-report</w:t>
        </w:r>
      </w:hyperlink>
      <w:r w:rsidRPr="002F3BF5">
        <w:rPr>
          <w:rStyle w:val="cf01"/>
          <w:rFonts w:ascii="Arial" w:hAnsi="Arial" w:cs="Arial"/>
          <w:sz w:val="24"/>
          <w:szCs w:val="24"/>
        </w:rPr>
        <w:t xml:space="preserve"> </w:t>
      </w:r>
    </w:p>
  </w:endnote>
  <w:endnote w:id="3">
    <w:p w14:paraId="5EBA1385" w14:textId="77777777"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w:t>
      </w:r>
      <w:r w:rsidRPr="002F3BF5">
        <w:rPr>
          <w:rStyle w:val="cf01"/>
          <w:rFonts w:ascii="Arial" w:hAnsi="Arial" w:cs="Arial"/>
          <w:sz w:val="24"/>
          <w:szCs w:val="24"/>
        </w:rPr>
        <w:t xml:space="preserve">National Disability Services (2022) Victoria, State of the Disability Sector 2022, accessed 1 December 2022, </w:t>
      </w:r>
      <w:hyperlink r:id="rId2" w:history="1">
        <w:r w:rsidRPr="002F3BF5">
          <w:rPr>
            <w:rStyle w:val="Hyperlink"/>
            <w:rFonts w:ascii="Arial" w:hAnsi="Arial" w:cs="Arial"/>
            <w:sz w:val="24"/>
            <w:szCs w:val="24"/>
          </w:rPr>
          <w:t>https://www.nds.org.au/about/state-of-the-disability-sector-report</w:t>
        </w:r>
      </w:hyperlink>
    </w:p>
  </w:endnote>
  <w:endnote w:id="4">
    <w:p w14:paraId="26761263" w14:textId="77777777"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w:t>
      </w:r>
      <w:r w:rsidRPr="002F3BF5">
        <w:rPr>
          <w:rStyle w:val="cf01"/>
          <w:rFonts w:ascii="Arial" w:hAnsi="Arial" w:cs="Arial"/>
          <w:sz w:val="24"/>
          <w:szCs w:val="24"/>
        </w:rPr>
        <w:t xml:space="preserve">National Disability Services (2022) Victoria, State of the Disability Sector 2022, accessed 1 December 2022, </w:t>
      </w:r>
      <w:hyperlink r:id="rId3" w:history="1">
        <w:r w:rsidRPr="002F3BF5">
          <w:rPr>
            <w:rStyle w:val="Hyperlink"/>
            <w:rFonts w:ascii="Arial" w:hAnsi="Arial" w:cs="Arial"/>
            <w:sz w:val="24"/>
            <w:szCs w:val="24"/>
          </w:rPr>
          <w:t>https://www.nds.org.au/about/state-of-the-disability-sector-report</w:t>
        </w:r>
      </w:hyperlink>
    </w:p>
  </w:endnote>
  <w:endnote w:id="5">
    <w:p w14:paraId="1AAC36BC" w14:textId="77777777"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w:t>
      </w:r>
      <w:r w:rsidRPr="002F3BF5">
        <w:rPr>
          <w:rStyle w:val="cf01"/>
          <w:rFonts w:ascii="Arial" w:hAnsi="Arial" w:cs="Arial"/>
          <w:sz w:val="24"/>
          <w:szCs w:val="24"/>
        </w:rPr>
        <w:t xml:space="preserve">National Disability Services (2022) Victoria, State of the Disability Sector 2022, accessed 1 December 2022, </w:t>
      </w:r>
      <w:hyperlink r:id="rId4" w:history="1">
        <w:r w:rsidRPr="002F3BF5">
          <w:rPr>
            <w:rStyle w:val="Hyperlink"/>
            <w:rFonts w:ascii="Arial" w:hAnsi="Arial" w:cs="Arial"/>
            <w:sz w:val="24"/>
            <w:szCs w:val="24"/>
          </w:rPr>
          <w:t>https://www.nds.org.au/about/state-of-the-disability-sector-report</w:t>
        </w:r>
      </w:hyperlink>
    </w:p>
  </w:endnote>
  <w:endnote w:id="6">
    <w:p w14:paraId="1418C0E8" w14:textId="77777777"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w:t>
      </w:r>
      <w:r w:rsidRPr="002F3BF5">
        <w:rPr>
          <w:rStyle w:val="cf01"/>
          <w:rFonts w:ascii="Arial" w:hAnsi="Arial" w:cs="Arial"/>
          <w:sz w:val="24"/>
          <w:szCs w:val="24"/>
        </w:rPr>
        <w:t xml:space="preserve">National Disability Services (2022) Victoria, State of the Disability Sector 2022, accessed 20 December 2022, </w:t>
      </w:r>
      <w:hyperlink r:id="rId5" w:history="1">
        <w:r w:rsidRPr="002F3BF5">
          <w:rPr>
            <w:rStyle w:val="Hyperlink"/>
            <w:rFonts w:ascii="Arial" w:hAnsi="Arial" w:cs="Arial"/>
            <w:sz w:val="24"/>
            <w:szCs w:val="24"/>
          </w:rPr>
          <w:t>https://www.nds.org.au/about/state-of-the-disability-sector-report</w:t>
        </w:r>
      </w:hyperlink>
      <w:r w:rsidRPr="002F3BF5">
        <w:rPr>
          <w:rFonts w:ascii="Arial" w:hAnsi="Arial" w:cs="Arial"/>
          <w:sz w:val="24"/>
          <w:szCs w:val="24"/>
        </w:rPr>
        <w:t xml:space="preserve"> </w:t>
      </w:r>
    </w:p>
  </w:endnote>
  <w:endnote w:id="7">
    <w:p w14:paraId="4943FC79" w14:textId="20F95E91"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w:t>
      </w:r>
      <w:r w:rsidRPr="002F3BF5">
        <w:rPr>
          <w:rStyle w:val="cf01"/>
          <w:rFonts w:ascii="Arial" w:hAnsi="Arial" w:cs="Arial"/>
          <w:sz w:val="24"/>
          <w:szCs w:val="24"/>
        </w:rPr>
        <w:t xml:space="preserve">National Disability Services (2022) Victoria, State of the Disability Sector 2022, accessed 20 December 2022, </w:t>
      </w:r>
      <w:hyperlink r:id="rId6" w:history="1">
        <w:r w:rsidRPr="002F3BF5">
          <w:rPr>
            <w:rStyle w:val="Hyperlink"/>
            <w:rFonts w:ascii="Arial" w:hAnsi="Arial" w:cs="Arial"/>
            <w:sz w:val="24"/>
            <w:szCs w:val="24"/>
          </w:rPr>
          <w:t>https://www.nds.org.au/about/state-of-the-disability-sector-report</w:t>
        </w:r>
      </w:hyperlink>
    </w:p>
  </w:endnote>
  <w:endnote w:id="8">
    <w:p w14:paraId="32F89D9D" w14:textId="77777777"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Style w:val="cf01"/>
          <w:rFonts w:ascii="Arial" w:hAnsi="Arial" w:cs="Arial"/>
          <w:sz w:val="24"/>
          <w:szCs w:val="24"/>
        </w:rPr>
        <w:t xml:space="preserve"> National Disability Services (2022) Victoria, State of the Disability Sector 2022, accessed 1 December 2022, </w:t>
      </w:r>
      <w:hyperlink r:id="rId7" w:history="1">
        <w:r w:rsidRPr="002F3BF5">
          <w:rPr>
            <w:rStyle w:val="Hyperlink"/>
            <w:rFonts w:ascii="Arial" w:hAnsi="Arial" w:cs="Arial"/>
            <w:sz w:val="24"/>
            <w:szCs w:val="24"/>
          </w:rPr>
          <w:t>https://www.nds.org.au/about/state-of-the-disability-sector-report</w:t>
        </w:r>
      </w:hyperlink>
      <w:r w:rsidRPr="002F3BF5">
        <w:rPr>
          <w:rFonts w:ascii="Arial" w:hAnsi="Arial" w:cs="Arial"/>
          <w:sz w:val="24"/>
          <w:szCs w:val="24"/>
        </w:rPr>
        <w:t xml:space="preserve"> </w:t>
      </w:r>
    </w:p>
  </w:endnote>
  <w:endnote w:id="9">
    <w:p w14:paraId="06C364B5" w14:textId="77777777" w:rsidR="0085726A" w:rsidRPr="002F3BF5" w:rsidRDefault="0085726A" w:rsidP="002F3BF5">
      <w:pPr>
        <w:pStyle w:val="Heading1"/>
        <w:shd w:val="clear" w:color="auto" w:fill="FFFFFF"/>
        <w:spacing w:beforeAutospacing="0" w:after="240" w:line="360" w:lineRule="auto"/>
        <w:rPr>
          <w:rFonts w:cs="Arial"/>
          <w:color w:val="222222"/>
          <w:sz w:val="24"/>
          <w:szCs w:val="24"/>
        </w:rPr>
      </w:pPr>
      <w:r w:rsidRPr="002F3BF5">
        <w:rPr>
          <w:rFonts w:cs="Arial"/>
          <w:color w:val="222222"/>
          <w:sz w:val="24"/>
          <w:szCs w:val="24"/>
        </w:rPr>
        <w:endnoteRef/>
      </w:r>
      <w:r w:rsidRPr="002F3BF5">
        <w:rPr>
          <w:rFonts w:cs="Arial"/>
          <w:color w:val="222222"/>
          <w:sz w:val="24"/>
          <w:szCs w:val="24"/>
        </w:rPr>
        <w:t xml:space="preserve"> </w:t>
      </w:r>
      <w:proofErr w:type="spellStart"/>
      <w:r w:rsidRPr="002F3BF5">
        <w:rPr>
          <w:rFonts w:cs="Arial"/>
          <w:color w:val="222222"/>
          <w:sz w:val="24"/>
          <w:szCs w:val="24"/>
        </w:rPr>
        <w:t>Aruma</w:t>
      </w:r>
      <w:proofErr w:type="spellEnd"/>
      <w:r w:rsidRPr="002F3BF5">
        <w:rPr>
          <w:rFonts w:cs="Arial"/>
          <w:color w:val="222222"/>
          <w:sz w:val="24"/>
          <w:szCs w:val="24"/>
        </w:rPr>
        <w:t xml:space="preserve"> Submission to the Joint Standing Committee on the National Disability Insurance Scheme inquiry into the Capability and Culture of the NDIA accessed 10 November 2022</w:t>
      </w:r>
    </w:p>
    <w:p w14:paraId="10FB30F9" w14:textId="77777777" w:rsidR="0085726A" w:rsidRPr="002F3BF5" w:rsidRDefault="0085726A" w:rsidP="002F3BF5">
      <w:pPr>
        <w:pStyle w:val="EndnoteText"/>
        <w:spacing w:before="240" w:after="240" w:line="360" w:lineRule="auto"/>
        <w:rPr>
          <w:rFonts w:ascii="Arial" w:hAnsi="Arial" w:cs="Arial"/>
          <w:sz w:val="24"/>
          <w:szCs w:val="24"/>
          <w:lang w:val="en-AU"/>
        </w:rPr>
      </w:pPr>
      <w:hyperlink r:id="rId8" w:history="1">
        <w:r w:rsidRPr="002F3BF5">
          <w:rPr>
            <w:rStyle w:val="Hyperlink"/>
            <w:rFonts w:ascii="Arial" w:hAnsi="Arial" w:cs="Arial"/>
            <w:sz w:val="24"/>
            <w:szCs w:val="24"/>
          </w:rPr>
          <w:t>https://www.aph.gov.au/Parliamentary_Business/Committees/Joint/National_Disability_Insurance_Scheme/CapabilityandCulture/Submissions</w:t>
        </w:r>
      </w:hyperlink>
    </w:p>
  </w:endnote>
  <w:endnote w:id="10">
    <w:p w14:paraId="373509DF" w14:textId="3C740864" w:rsidR="0085726A" w:rsidRPr="002F3BF5" w:rsidRDefault="0085726A" w:rsidP="002F3BF5">
      <w:pPr>
        <w:pStyle w:val="EndnoteText"/>
        <w:spacing w:before="240" w:after="240" w:line="360" w:lineRule="auto"/>
        <w:rPr>
          <w:rFonts w:ascii="Arial" w:hAnsi="Arial" w:cs="Arial"/>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w:t>
      </w:r>
      <w:r w:rsidRPr="002F3BF5">
        <w:rPr>
          <w:rStyle w:val="cf01"/>
          <w:rFonts w:ascii="Arial" w:hAnsi="Arial" w:cs="Arial"/>
          <w:sz w:val="24"/>
          <w:szCs w:val="24"/>
        </w:rPr>
        <w:t xml:space="preserve">National Disability Services (2021) Victoria, Supported Independent Living Survey Results, </w:t>
      </w:r>
      <w:r w:rsidRPr="002F3BF5">
        <w:rPr>
          <w:rStyle w:val="Hyperlink"/>
          <w:rFonts w:ascii="Arial" w:hAnsi="Arial" w:cs="Arial"/>
          <w:sz w:val="24"/>
          <w:szCs w:val="24"/>
        </w:rPr>
        <w:t>http://</w:t>
      </w:r>
      <w:hyperlink r:id="rId9" w:history="1">
        <w:r w:rsidRPr="002F3BF5">
          <w:rPr>
            <w:rStyle w:val="Hyperlink"/>
            <w:rFonts w:ascii="Arial" w:hAnsi="Arial" w:cs="Arial"/>
            <w:sz w:val="24"/>
            <w:szCs w:val="24"/>
          </w:rPr>
          <w:t>www.nds.org.au/index.php/policy-library/supported-independent-living-survey-results-2021</w:t>
        </w:r>
      </w:hyperlink>
      <w:r w:rsidRPr="002F3BF5">
        <w:rPr>
          <w:rStyle w:val="Hyperlink"/>
          <w:rFonts w:ascii="Arial" w:hAnsi="Arial" w:cs="Arial"/>
          <w:sz w:val="24"/>
          <w:szCs w:val="24"/>
        </w:rPr>
        <w:t>,</w:t>
      </w:r>
      <w:r w:rsidRPr="002F3BF5">
        <w:rPr>
          <w:rStyle w:val="cf01"/>
          <w:rFonts w:ascii="Arial" w:hAnsi="Arial" w:cs="Arial"/>
          <w:sz w:val="24"/>
          <w:szCs w:val="24"/>
        </w:rPr>
        <w:t xml:space="preserve"> accessed 9 December 2022</w:t>
      </w:r>
    </w:p>
  </w:endnote>
  <w:endnote w:id="11">
    <w:p w14:paraId="39089038" w14:textId="1E401F2A" w:rsidR="0085726A" w:rsidRPr="002F3BF5" w:rsidRDefault="0085726A" w:rsidP="002F3BF5">
      <w:pPr>
        <w:pStyle w:val="EndnoteText"/>
        <w:spacing w:before="240" w:after="240" w:line="360" w:lineRule="auto"/>
        <w:rPr>
          <w:sz w:val="24"/>
          <w:szCs w:val="24"/>
          <w:lang w:val="en-AU"/>
        </w:rPr>
      </w:pPr>
      <w:r w:rsidRPr="002F3BF5">
        <w:rPr>
          <w:rStyle w:val="EndnoteReference"/>
          <w:rFonts w:ascii="Arial" w:hAnsi="Arial" w:cs="Arial"/>
          <w:sz w:val="24"/>
          <w:szCs w:val="24"/>
          <w:vertAlign w:val="baseline"/>
        </w:rPr>
        <w:endnoteRef/>
      </w:r>
      <w:r w:rsidRPr="002F3BF5">
        <w:rPr>
          <w:rFonts w:ascii="Arial" w:hAnsi="Arial" w:cs="Arial"/>
          <w:sz w:val="24"/>
          <w:szCs w:val="24"/>
        </w:rPr>
        <w:t xml:space="preserve"> Tune, D (2019), Review of the National Disability Insurance Scheme Act 2013; Removing Red</w:t>
      </w:r>
      <w:r w:rsidRPr="002F3BF5">
        <w:rPr>
          <w:rFonts w:cs="Arial"/>
          <w:sz w:val="24"/>
          <w:szCs w:val="24"/>
        </w:rPr>
        <w:t xml:space="preserve"> Tape </w:t>
      </w:r>
      <w:r w:rsidRPr="002F3BF5">
        <w:rPr>
          <w:rFonts w:ascii="Arial" w:hAnsi="Arial" w:cs="Arial"/>
          <w:sz w:val="24"/>
          <w:szCs w:val="24"/>
        </w:rPr>
        <w:t>and Implementing the NDIS Participant Service Guarantee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1236"/>
      <w:docPartObj>
        <w:docPartGallery w:val="Page Numbers (Bottom of Page)"/>
        <w:docPartUnique/>
      </w:docPartObj>
    </w:sdtPr>
    <w:sdtEndPr>
      <w:rPr>
        <w:noProof/>
      </w:rPr>
    </w:sdtEndPr>
    <w:sdtContent>
      <w:p w14:paraId="6A93967C" w14:textId="61F5B138" w:rsidR="0001786F" w:rsidRDefault="000178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2C10F" w14:textId="77777777" w:rsidR="00F72099" w:rsidRDefault="00F7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F49D" w14:textId="77777777" w:rsidR="007D5625" w:rsidRDefault="007D5625" w:rsidP="0066002F">
      <w:pPr>
        <w:spacing w:after="0" w:line="240" w:lineRule="auto"/>
      </w:pPr>
      <w:r>
        <w:separator/>
      </w:r>
    </w:p>
  </w:footnote>
  <w:footnote w:type="continuationSeparator" w:id="0">
    <w:p w14:paraId="1A18C33A" w14:textId="77777777" w:rsidR="007D5625" w:rsidRDefault="007D5625" w:rsidP="0066002F">
      <w:pPr>
        <w:spacing w:after="0" w:line="240" w:lineRule="auto"/>
      </w:pPr>
      <w:r>
        <w:continuationSeparator/>
      </w:r>
    </w:p>
  </w:footnote>
  <w:footnote w:type="continuationNotice" w:id="1">
    <w:p w14:paraId="605844D7" w14:textId="77777777" w:rsidR="007D5625" w:rsidRDefault="007D5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BFC"/>
    <w:multiLevelType w:val="hybridMultilevel"/>
    <w:tmpl w:val="EC0C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268CD"/>
    <w:multiLevelType w:val="hybridMultilevel"/>
    <w:tmpl w:val="96D2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83A41"/>
    <w:multiLevelType w:val="hybridMultilevel"/>
    <w:tmpl w:val="44BE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26860"/>
    <w:multiLevelType w:val="hybridMultilevel"/>
    <w:tmpl w:val="D50E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D4C00"/>
    <w:multiLevelType w:val="hybridMultilevel"/>
    <w:tmpl w:val="E670EF90"/>
    <w:lvl w:ilvl="0" w:tplc="2398E578">
      <w:start w:val="5"/>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14F"/>
    <w:multiLevelType w:val="hybridMultilevel"/>
    <w:tmpl w:val="A3D2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B4C95"/>
    <w:multiLevelType w:val="hybridMultilevel"/>
    <w:tmpl w:val="521A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E5443"/>
    <w:multiLevelType w:val="hybridMultilevel"/>
    <w:tmpl w:val="9B20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E3112"/>
    <w:multiLevelType w:val="hybridMultilevel"/>
    <w:tmpl w:val="785A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20DF8"/>
    <w:multiLevelType w:val="hybridMultilevel"/>
    <w:tmpl w:val="1CD0A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3E230A"/>
    <w:multiLevelType w:val="hybridMultilevel"/>
    <w:tmpl w:val="D398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0F28F2"/>
    <w:multiLevelType w:val="hybridMultilevel"/>
    <w:tmpl w:val="EC32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91121"/>
    <w:multiLevelType w:val="hybridMultilevel"/>
    <w:tmpl w:val="D0C21D18"/>
    <w:lvl w:ilvl="0" w:tplc="0C090001">
      <w:start w:val="1"/>
      <w:numFmt w:val="bullet"/>
      <w:lvlText w:val=""/>
      <w:lvlJc w:val="left"/>
      <w:pPr>
        <w:ind w:left="720" w:hanging="360"/>
      </w:pPr>
      <w:rPr>
        <w:rFonts w:ascii="Symbol" w:hAnsi="Symbol" w:hint="default"/>
      </w:rPr>
    </w:lvl>
    <w:lvl w:ilvl="1" w:tplc="939C30B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451E44"/>
    <w:multiLevelType w:val="hybridMultilevel"/>
    <w:tmpl w:val="8BD4E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0F7340"/>
    <w:multiLevelType w:val="hybridMultilevel"/>
    <w:tmpl w:val="418E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D373F2"/>
    <w:multiLevelType w:val="hybridMultilevel"/>
    <w:tmpl w:val="C322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60B33"/>
    <w:multiLevelType w:val="hybridMultilevel"/>
    <w:tmpl w:val="E180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2017652">
    <w:abstractNumId w:val="11"/>
  </w:num>
  <w:num w:numId="2" w16cid:durableId="918755232">
    <w:abstractNumId w:val="16"/>
  </w:num>
  <w:num w:numId="3" w16cid:durableId="476537210">
    <w:abstractNumId w:val="9"/>
  </w:num>
  <w:num w:numId="4" w16cid:durableId="1170949200">
    <w:abstractNumId w:val="10"/>
  </w:num>
  <w:num w:numId="5" w16cid:durableId="1403794819">
    <w:abstractNumId w:val="3"/>
  </w:num>
  <w:num w:numId="6" w16cid:durableId="1367834429">
    <w:abstractNumId w:val="2"/>
  </w:num>
  <w:num w:numId="7" w16cid:durableId="1280189155">
    <w:abstractNumId w:val="5"/>
  </w:num>
  <w:num w:numId="8" w16cid:durableId="1566254171">
    <w:abstractNumId w:val="12"/>
  </w:num>
  <w:num w:numId="9" w16cid:durableId="1964657095">
    <w:abstractNumId w:val="6"/>
  </w:num>
  <w:num w:numId="10" w16cid:durableId="1963993720">
    <w:abstractNumId w:val="13"/>
  </w:num>
  <w:num w:numId="11" w16cid:durableId="1752004057">
    <w:abstractNumId w:val="14"/>
  </w:num>
  <w:num w:numId="12" w16cid:durableId="1725376064">
    <w:abstractNumId w:val="1"/>
  </w:num>
  <w:num w:numId="13" w16cid:durableId="1710959719">
    <w:abstractNumId w:val="7"/>
  </w:num>
  <w:num w:numId="14" w16cid:durableId="40519156">
    <w:abstractNumId w:val="15"/>
  </w:num>
  <w:num w:numId="15" w16cid:durableId="2126732274">
    <w:abstractNumId w:val="0"/>
  </w:num>
  <w:num w:numId="16" w16cid:durableId="1625693110">
    <w:abstractNumId w:val="4"/>
  </w:num>
  <w:num w:numId="17" w16cid:durableId="978920089">
    <w:abstractNumId w:val="4"/>
  </w:num>
  <w:num w:numId="18" w16cid:durableId="1686249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AFF77"/>
    <w:rsid w:val="000023AB"/>
    <w:rsid w:val="000055B1"/>
    <w:rsid w:val="00006616"/>
    <w:rsid w:val="00012576"/>
    <w:rsid w:val="00014012"/>
    <w:rsid w:val="00015440"/>
    <w:rsid w:val="0001786F"/>
    <w:rsid w:val="00020354"/>
    <w:rsid w:val="00024A1A"/>
    <w:rsid w:val="000269BE"/>
    <w:rsid w:val="00027F54"/>
    <w:rsid w:val="00032752"/>
    <w:rsid w:val="000331FB"/>
    <w:rsid w:val="00033AA9"/>
    <w:rsid w:val="00035CB6"/>
    <w:rsid w:val="000362CA"/>
    <w:rsid w:val="00037DB8"/>
    <w:rsid w:val="00040394"/>
    <w:rsid w:val="000428AC"/>
    <w:rsid w:val="00042C1F"/>
    <w:rsid w:val="00045AFE"/>
    <w:rsid w:val="00050A34"/>
    <w:rsid w:val="00051EFC"/>
    <w:rsid w:val="000532FB"/>
    <w:rsid w:val="00053362"/>
    <w:rsid w:val="00054209"/>
    <w:rsid w:val="000568E3"/>
    <w:rsid w:val="00056C63"/>
    <w:rsid w:val="00060471"/>
    <w:rsid w:val="000607CB"/>
    <w:rsid w:val="000618DF"/>
    <w:rsid w:val="000621A4"/>
    <w:rsid w:val="00064A3F"/>
    <w:rsid w:val="000724E0"/>
    <w:rsid w:val="000731EE"/>
    <w:rsid w:val="00073950"/>
    <w:rsid w:val="00074181"/>
    <w:rsid w:val="00075798"/>
    <w:rsid w:val="00076405"/>
    <w:rsid w:val="0007783A"/>
    <w:rsid w:val="000806ED"/>
    <w:rsid w:val="00086FCF"/>
    <w:rsid w:val="000874D4"/>
    <w:rsid w:val="0009043D"/>
    <w:rsid w:val="00090F64"/>
    <w:rsid w:val="00094583"/>
    <w:rsid w:val="000A3DE1"/>
    <w:rsid w:val="000A539F"/>
    <w:rsid w:val="000A79FB"/>
    <w:rsid w:val="000B243E"/>
    <w:rsid w:val="000B36DF"/>
    <w:rsid w:val="000B4922"/>
    <w:rsid w:val="000B6AB9"/>
    <w:rsid w:val="000B7290"/>
    <w:rsid w:val="000C5004"/>
    <w:rsid w:val="000D0F9B"/>
    <w:rsid w:val="000D1DBF"/>
    <w:rsid w:val="000D4FCB"/>
    <w:rsid w:val="000D5185"/>
    <w:rsid w:val="000D6C8F"/>
    <w:rsid w:val="000E12F9"/>
    <w:rsid w:val="000E13B6"/>
    <w:rsid w:val="000E74E4"/>
    <w:rsid w:val="000E7933"/>
    <w:rsid w:val="000F5A36"/>
    <w:rsid w:val="000F6CCA"/>
    <w:rsid w:val="00100544"/>
    <w:rsid w:val="00102C6F"/>
    <w:rsid w:val="00103667"/>
    <w:rsid w:val="001047C9"/>
    <w:rsid w:val="00105A82"/>
    <w:rsid w:val="0010634F"/>
    <w:rsid w:val="00110143"/>
    <w:rsid w:val="0011017D"/>
    <w:rsid w:val="00115A3B"/>
    <w:rsid w:val="00116D79"/>
    <w:rsid w:val="0012284B"/>
    <w:rsid w:val="00124574"/>
    <w:rsid w:val="00132607"/>
    <w:rsid w:val="001326CC"/>
    <w:rsid w:val="00142DE0"/>
    <w:rsid w:val="001505DE"/>
    <w:rsid w:val="00150737"/>
    <w:rsid w:val="001509CB"/>
    <w:rsid w:val="0015190C"/>
    <w:rsid w:val="00152E3E"/>
    <w:rsid w:val="001535D5"/>
    <w:rsid w:val="00155D16"/>
    <w:rsid w:val="00162C4E"/>
    <w:rsid w:val="00163AA4"/>
    <w:rsid w:val="00164865"/>
    <w:rsid w:val="0016518A"/>
    <w:rsid w:val="00167318"/>
    <w:rsid w:val="00172A0F"/>
    <w:rsid w:val="00173DEB"/>
    <w:rsid w:val="001764FE"/>
    <w:rsid w:val="001814B7"/>
    <w:rsid w:val="00182352"/>
    <w:rsid w:val="001836FF"/>
    <w:rsid w:val="00183A49"/>
    <w:rsid w:val="0018503F"/>
    <w:rsid w:val="00187C5F"/>
    <w:rsid w:val="001922DC"/>
    <w:rsid w:val="001A1FB8"/>
    <w:rsid w:val="001A3CD3"/>
    <w:rsid w:val="001A57EB"/>
    <w:rsid w:val="001A74B6"/>
    <w:rsid w:val="001B03FF"/>
    <w:rsid w:val="001B0E36"/>
    <w:rsid w:val="001B167F"/>
    <w:rsid w:val="001B2AD3"/>
    <w:rsid w:val="001C1844"/>
    <w:rsid w:val="001C4FB4"/>
    <w:rsid w:val="001D346B"/>
    <w:rsid w:val="001D3813"/>
    <w:rsid w:val="001D6F55"/>
    <w:rsid w:val="001E0AB1"/>
    <w:rsid w:val="001E37F5"/>
    <w:rsid w:val="001E6DC1"/>
    <w:rsid w:val="001F418F"/>
    <w:rsid w:val="001F44CC"/>
    <w:rsid w:val="001F46B8"/>
    <w:rsid w:val="00200810"/>
    <w:rsid w:val="00202F61"/>
    <w:rsid w:val="00206D6F"/>
    <w:rsid w:val="00210CE6"/>
    <w:rsid w:val="0021398C"/>
    <w:rsid w:val="00214220"/>
    <w:rsid w:val="00215024"/>
    <w:rsid w:val="002206D6"/>
    <w:rsid w:val="00222178"/>
    <w:rsid w:val="00224989"/>
    <w:rsid w:val="00227264"/>
    <w:rsid w:val="00230FD9"/>
    <w:rsid w:val="002341A6"/>
    <w:rsid w:val="00236990"/>
    <w:rsid w:val="002420BA"/>
    <w:rsid w:val="002424F6"/>
    <w:rsid w:val="00242CDA"/>
    <w:rsid w:val="00242D67"/>
    <w:rsid w:val="0024351F"/>
    <w:rsid w:val="00243C71"/>
    <w:rsid w:val="002465A2"/>
    <w:rsid w:val="00246C7D"/>
    <w:rsid w:val="002524B2"/>
    <w:rsid w:val="00252CBF"/>
    <w:rsid w:val="00262E02"/>
    <w:rsid w:val="00264575"/>
    <w:rsid w:val="00270697"/>
    <w:rsid w:val="00271B02"/>
    <w:rsid w:val="00274266"/>
    <w:rsid w:val="00282A33"/>
    <w:rsid w:val="00286945"/>
    <w:rsid w:val="0028729D"/>
    <w:rsid w:val="0028760F"/>
    <w:rsid w:val="00293A5A"/>
    <w:rsid w:val="0029656A"/>
    <w:rsid w:val="00297B33"/>
    <w:rsid w:val="002A193E"/>
    <w:rsid w:val="002A2650"/>
    <w:rsid w:val="002A66E4"/>
    <w:rsid w:val="002A6F57"/>
    <w:rsid w:val="002A7C7A"/>
    <w:rsid w:val="002B1309"/>
    <w:rsid w:val="002B222D"/>
    <w:rsid w:val="002B4EDB"/>
    <w:rsid w:val="002B6EC1"/>
    <w:rsid w:val="002C1173"/>
    <w:rsid w:val="002C1351"/>
    <w:rsid w:val="002C643C"/>
    <w:rsid w:val="002C67C9"/>
    <w:rsid w:val="002D47D8"/>
    <w:rsid w:val="002E6B03"/>
    <w:rsid w:val="002F3ADE"/>
    <w:rsid w:val="002F3BF5"/>
    <w:rsid w:val="002F3D42"/>
    <w:rsid w:val="002F6B01"/>
    <w:rsid w:val="002F6B3B"/>
    <w:rsid w:val="002F78F6"/>
    <w:rsid w:val="00306133"/>
    <w:rsid w:val="00313F80"/>
    <w:rsid w:val="0031485E"/>
    <w:rsid w:val="00317B1F"/>
    <w:rsid w:val="003204DC"/>
    <w:rsid w:val="00320573"/>
    <w:rsid w:val="0032777A"/>
    <w:rsid w:val="00330247"/>
    <w:rsid w:val="00330BF0"/>
    <w:rsid w:val="00331AF6"/>
    <w:rsid w:val="003320FD"/>
    <w:rsid w:val="00340EF6"/>
    <w:rsid w:val="00341817"/>
    <w:rsid w:val="003422E2"/>
    <w:rsid w:val="00345285"/>
    <w:rsid w:val="0035098C"/>
    <w:rsid w:val="00351AD6"/>
    <w:rsid w:val="003522FF"/>
    <w:rsid w:val="00352B49"/>
    <w:rsid w:val="00357F76"/>
    <w:rsid w:val="00371B99"/>
    <w:rsid w:val="00381886"/>
    <w:rsid w:val="003841EA"/>
    <w:rsid w:val="00385F2E"/>
    <w:rsid w:val="00386962"/>
    <w:rsid w:val="00393AD4"/>
    <w:rsid w:val="00395729"/>
    <w:rsid w:val="003A34DB"/>
    <w:rsid w:val="003A4042"/>
    <w:rsid w:val="003B07D4"/>
    <w:rsid w:val="003B2106"/>
    <w:rsid w:val="003B35F4"/>
    <w:rsid w:val="003B3955"/>
    <w:rsid w:val="003B5A9D"/>
    <w:rsid w:val="003D0487"/>
    <w:rsid w:val="003D52B9"/>
    <w:rsid w:val="003D61DC"/>
    <w:rsid w:val="003D66AD"/>
    <w:rsid w:val="003D6853"/>
    <w:rsid w:val="003D7636"/>
    <w:rsid w:val="003E15B0"/>
    <w:rsid w:val="003E207E"/>
    <w:rsid w:val="003E3998"/>
    <w:rsid w:val="003E47A4"/>
    <w:rsid w:val="003E560D"/>
    <w:rsid w:val="003E5C7E"/>
    <w:rsid w:val="003E5D96"/>
    <w:rsid w:val="003F10D6"/>
    <w:rsid w:val="003F63BF"/>
    <w:rsid w:val="00400454"/>
    <w:rsid w:val="00402EBF"/>
    <w:rsid w:val="004031C9"/>
    <w:rsid w:val="00410762"/>
    <w:rsid w:val="00414451"/>
    <w:rsid w:val="00414D97"/>
    <w:rsid w:val="004176D9"/>
    <w:rsid w:val="00423D5D"/>
    <w:rsid w:val="00423F00"/>
    <w:rsid w:val="00425AA4"/>
    <w:rsid w:val="00426FA1"/>
    <w:rsid w:val="0043125D"/>
    <w:rsid w:val="00436896"/>
    <w:rsid w:val="00437AA1"/>
    <w:rsid w:val="00441F05"/>
    <w:rsid w:val="00451377"/>
    <w:rsid w:val="00455050"/>
    <w:rsid w:val="004607D0"/>
    <w:rsid w:val="004626FB"/>
    <w:rsid w:val="00463D56"/>
    <w:rsid w:val="004743A6"/>
    <w:rsid w:val="0047472E"/>
    <w:rsid w:val="004747DE"/>
    <w:rsid w:val="0048553E"/>
    <w:rsid w:val="00491B52"/>
    <w:rsid w:val="00493094"/>
    <w:rsid w:val="0049392F"/>
    <w:rsid w:val="004A127D"/>
    <w:rsid w:val="004A1876"/>
    <w:rsid w:val="004A2D00"/>
    <w:rsid w:val="004A6264"/>
    <w:rsid w:val="004B47BC"/>
    <w:rsid w:val="004C4415"/>
    <w:rsid w:val="004C7C20"/>
    <w:rsid w:val="004D1331"/>
    <w:rsid w:val="004D14D0"/>
    <w:rsid w:val="004D15CA"/>
    <w:rsid w:val="004D28DB"/>
    <w:rsid w:val="004D3321"/>
    <w:rsid w:val="004D4097"/>
    <w:rsid w:val="004D6296"/>
    <w:rsid w:val="004D7F17"/>
    <w:rsid w:val="004E09F1"/>
    <w:rsid w:val="004E2CCB"/>
    <w:rsid w:val="004E39A0"/>
    <w:rsid w:val="004E6F09"/>
    <w:rsid w:val="004F2C76"/>
    <w:rsid w:val="004F3D7A"/>
    <w:rsid w:val="004F47B2"/>
    <w:rsid w:val="004F4EB6"/>
    <w:rsid w:val="005015D4"/>
    <w:rsid w:val="0050409D"/>
    <w:rsid w:val="0050497D"/>
    <w:rsid w:val="00504A7A"/>
    <w:rsid w:val="00510707"/>
    <w:rsid w:val="005129E4"/>
    <w:rsid w:val="005138F6"/>
    <w:rsid w:val="0052268A"/>
    <w:rsid w:val="005228F0"/>
    <w:rsid w:val="00523D53"/>
    <w:rsid w:val="005262B3"/>
    <w:rsid w:val="00526F06"/>
    <w:rsid w:val="00536BFC"/>
    <w:rsid w:val="00536C4B"/>
    <w:rsid w:val="005407AD"/>
    <w:rsid w:val="00541656"/>
    <w:rsid w:val="00545764"/>
    <w:rsid w:val="00545983"/>
    <w:rsid w:val="00550028"/>
    <w:rsid w:val="005551D5"/>
    <w:rsid w:val="00557FB9"/>
    <w:rsid w:val="0056054F"/>
    <w:rsid w:val="00561635"/>
    <w:rsid w:val="0056509B"/>
    <w:rsid w:val="00565327"/>
    <w:rsid w:val="00565BC1"/>
    <w:rsid w:val="00570721"/>
    <w:rsid w:val="00580EAC"/>
    <w:rsid w:val="00581540"/>
    <w:rsid w:val="00582B6C"/>
    <w:rsid w:val="00584F4D"/>
    <w:rsid w:val="00586303"/>
    <w:rsid w:val="005901B7"/>
    <w:rsid w:val="005A056C"/>
    <w:rsid w:val="005A1474"/>
    <w:rsid w:val="005A3B07"/>
    <w:rsid w:val="005A4325"/>
    <w:rsid w:val="005A464F"/>
    <w:rsid w:val="005B05F9"/>
    <w:rsid w:val="005B0B25"/>
    <w:rsid w:val="005B351C"/>
    <w:rsid w:val="005B3782"/>
    <w:rsid w:val="005B784D"/>
    <w:rsid w:val="005B7F0D"/>
    <w:rsid w:val="005C11B6"/>
    <w:rsid w:val="005C2539"/>
    <w:rsid w:val="005C5033"/>
    <w:rsid w:val="005C79F9"/>
    <w:rsid w:val="005D1321"/>
    <w:rsid w:val="005D1A09"/>
    <w:rsid w:val="005D1BE3"/>
    <w:rsid w:val="005D383F"/>
    <w:rsid w:val="005D3955"/>
    <w:rsid w:val="005D5DE1"/>
    <w:rsid w:val="005D630B"/>
    <w:rsid w:val="005D6E77"/>
    <w:rsid w:val="005E10EE"/>
    <w:rsid w:val="005F363F"/>
    <w:rsid w:val="005F38DA"/>
    <w:rsid w:val="00600579"/>
    <w:rsid w:val="00603C24"/>
    <w:rsid w:val="00607EE7"/>
    <w:rsid w:val="00607FCE"/>
    <w:rsid w:val="00611534"/>
    <w:rsid w:val="0061431A"/>
    <w:rsid w:val="00616213"/>
    <w:rsid w:val="0062556C"/>
    <w:rsid w:val="00626F1E"/>
    <w:rsid w:val="006304EF"/>
    <w:rsid w:val="006355A2"/>
    <w:rsid w:val="006363B6"/>
    <w:rsid w:val="00636F2E"/>
    <w:rsid w:val="0065126D"/>
    <w:rsid w:val="006533F7"/>
    <w:rsid w:val="00654382"/>
    <w:rsid w:val="00654DCB"/>
    <w:rsid w:val="00655753"/>
    <w:rsid w:val="00656184"/>
    <w:rsid w:val="0066002F"/>
    <w:rsid w:val="00663994"/>
    <w:rsid w:val="00664A19"/>
    <w:rsid w:val="006716AA"/>
    <w:rsid w:val="00673867"/>
    <w:rsid w:val="00676A1F"/>
    <w:rsid w:val="00677283"/>
    <w:rsid w:val="00680B32"/>
    <w:rsid w:val="00681006"/>
    <w:rsid w:val="00681F49"/>
    <w:rsid w:val="00684B17"/>
    <w:rsid w:val="006851A0"/>
    <w:rsid w:val="00691412"/>
    <w:rsid w:val="00693FB1"/>
    <w:rsid w:val="00694FA7"/>
    <w:rsid w:val="006951E4"/>
    <w:rsid w:val="00696729"/>
    <w:rsid w:val="00696AE8"/>
    <w:rsid w:val="006A1027"/>
    <w:rsid w:val="006A4C61"/>
    <w:rsid w:val="006A53A7"/>
    <w:rsid w:val="006B14F6"/>
    <w:rsid w:val="006B1B25"/>
    <w:rsid w:val="006B5B3C"/>
    <w:rsid w:val="006C0044"/>
    <w:rsid w:val="006D195B"/>
    <w:rsid w:val="006D27AE"/>
    <w:rsid w:val="006D6CE8"/>
    <w:rsid w:val="006D724B"/>
    <w:rsid w:val="006D7E9F"/>
    <w:rsid w:val="006E01F9"/>
    <w:rsid w:val="006E0E11"/>
    <w:rsid w:val="006E66C9"/>
    <w:rsid w:val="006E6EC9"/>
    <w:rsid w:val="006F24A2"/>
    <w:rsid w:val="006F4258"/>
    <w:rsid w:val="006F4765"/>
    <w:rsid w:val="006F4957"/>
    <w:rsid w:val="006F5687"/>
    <w:rsid w:val="006F6B8C"/>
    <w:rsid w:val="00701FC2"/>
    <w:rsid w:val="00705AF7"/>
    <w:rsid w:val="00706678"/>
    <w:rsid w:val="00706785"/>
    <w:rsid w:val="0071058F"/>
    <w:rsid w:val="0071223E"/>
    <w:rsid w:val="007125FC"/>
    <w:rsid w:val="00714505"/>
    <w:rsid w:val="00716E4A"/>
    <w:rsid w:val="00723974"/>
    <w:rsid w:val="00723F98"/>
    <w:rsid w:val="00724317"/>
    <w:rsid w:val="00725A84"/>
    <w:rsid w:val="00734F07"/>
    <w:rsid w:val="007354EE"/>
    <w:rsid w:val="00736451"/>
    <w:rsid w:val="007446A9"/>
    <w:rsid w:val="00751311"/>
    <w:rsid w:val="00754617"/>
    <w:rsid w:val="007555B4"/>
    <w:rsid w:val="00756DF1"/>
    <w:rsid w:val="007625B6"/>
    <w:rsid w:val="00762F2D"/>
    <w:rsid w:val="007635F2"/>
    <w:rsid w:val="00763DCB"/>
    <w:rsid w:val="0076570E"/>
    <w:rsid w:val="00776A48"/>
    <w:rsid w:val="00777A4F"/>
    <w:rsid w:val="00777E04"/>
    <w:rsid w:val="00780FA4"/>
    <w:rsid w:val="0078266E"/>
    <w:rsid w:val="00782FF4"/>
    <w:rsid w:val="00783B55"/>
    <w:rsid w:val="00784470"/>
    <w:rsid w:val="00786832"/>
    <w:rsid w:val="00792971"/>
    <w:rsid w:val="00793C72"/>
    <w:rsid w:val="00796586"/>
    <w:rsid w:val="00797E39"/>
    <w:rsid w:val="007A0908"/>
    <w:rsid w:val="007A0F9D"/>
    <w:rsid w:val="007A36F3"/>
    <w:rsid w:val="007A47EB"/>
    <w:rsid w:val="007A663E"/>
    <w:rsid w:val="007A667F"/>
    <w:rsid w:val="007B12A4"/>
    <w:rsid w:val="007B1E11"/>
    <w:rsid w:val="007B2F67"/>
    <w:rsid w:val="007B4558"/>
    <w:rsid w:val="007B4B02"/>
    <w:rsid w:val="007B77F5"/>
    <w:rsid w:val="007C08DC"/>
    <w:rsid w:val="007C1EBC"/>
    <w:rsid w:val="007C3ADE"/>
    <w:rsid w:val="007C3D29"/>
    <w:rsid w:val="007C5011"/>
    <w:rsid w:val="007C74CE"/>
    <w:rsid w:val="007D1048"/>
    <w:rsid w:val="007D2D35"/>
    <w:rsid w:val="007D3D10"/>
    <w:rsid w:val="007D5625"/>
    <w:rsid w:val="007D6A54"/>
    <w:rsid w:val="007E7573"/>
    <w:rsid w:val="007E7981"/>
    <w:rsid w:val="007F033B"/>
    <w:rsid w:val="007F5BA6"/>
    <w:rsid w:val="007F5D44"/>
    <w:rsid w:val="008006F9"/>
    <w:rsid w:val="008018A8"/>
    <w:rsid w:val="008100FB"/>
    <w:rsid w:val="00815E69"/>
    <w:rsid w:val="00817201"/>
    <w:rsid w:val="00832DDD"/>
    <w:rsid w:val="00840A09"/>
    <w:rsid w:val="00841A11"/>
    <w:rsid w:val="0084273E"/>
    <w:rsid w:val="0084354B"/>
    <w:rsid w:val="00847429"/>
    <w:rsid w:val="008523E1"/>
    <w:rsid w:val="0085726A"/>
    <w:rsid w:val="00865933"/>
    <w:rsid w:val="00865E0E"/>
    <w:rsid w:val="008744E2"/>
    <w:rsid w:val="00875CDC"/>
    <w:rsid w:val="00876569"/>
    <w:rsid w:val="0088012F"/>
    <w:rsid w:val="0088105B"/>
    <w:rsid w:val="00884969"/>
    <w:rsid w:val="00886DD8"/>
    <w:rsid w:val="008925B7"/>
    <w:rsid w:val="00894BF9"/>
    <w:rsid w:val="00895235"/>
    <w:rsid w:val="00896FBD"/>
    <w:rsid w:val="008A4305"/>
    <w:rsid w:val="008A6D6F"/>
    <w:rsid w:val="008A75A8"/>
    <w:rsid w:val="008B04D6"/>
    <w:rsid w:val="008B40CD"/>
    <w:rsid w:val="008B48F3"/>
    <w:rsid w:val="008B7C70"/>
    <w:rsid w:val="008C5F4B"/>
    <w:rsid w:val="008C67C0"/>
    <w:rsid w:val="008D3B70"/>
    <w:rsid w:val="008D567E"/>
    <w:rsid w:val="008E39BF"/>
    <w:rsid w:val="008E74D6"/>
    <w:rsid w:val="008F69D0"/>
    <w:rsid w:val="00902C3E"/>
    <w:rsid w:val="0090683A"/>
    <w:rsid w:val="00907775"/>
    <w:rsid w:val="00907C99"/>
    <w:rsid w:val="00911DDD"/>
    <w:rsid w:val="00911FEC"/>
    <w:rsid w:val="0091521B"/>
    <w:rsid w:val="00920128"/>
    <w:rsid w:val="00927079"/>
    <w:rsid w:val="009275F1"/>
    <w:rsid w:val="00927E00"/>
    <w:rsid w:val="00930C81"/>
    <w:rsid w:val="009347C1"/>
    <w:rsid w:val="009351F5"/>
    <w:rsid w:val="00941E35"/>
    <w:rsid w:val="009531D0"/>
    <w:rsid w:val="00960B2A"/>
    <w:rsid w:val="009616D0"/>
    <w:rsid w:val="00964192"/>
    <w:rsid w:val="00964F15"/>
    <w:rsid w:val="0097358D"/>
    <w:rsid w:val="009827EE"/>
    <w:rsid w:val="00985D56"/>
    <w:rsid w:val="0099163C"/>
    <w:rsid w:val="009A6CF4"/>
    <w:rsid w:val="009B216D"/>
    <w:rsid w:val="009C1144"/>
    <w:rsid w:val="009C1884"/>
    <w:rsid w:val="009C209E"/>
    <w:rsid w:val="009C3FEF"/>
    <w:rsid w:val="009D1866"/>
    <w:rsid w:val="009D1F15"/>
    <w:rsid w:val="009D39D2"/>
    <w:rsid w:val="009D5D04"/>
    <w:rsid w:val="009E0070"/>
    <w:rsid w:val="009E065A"/>
    <w:rsid w:val="009E1152"/>
    <w:rsid w:val="009E1EAA"/>
    <w:rsid w:val="009E2FA6"/>
    <w:rsid w:val="009E6B9C"/>
    <w:rsid w:val="009E6E47"/>
    <w:rsid w:val="009F04A1"/>
    <w:rsid w:val="009F184B"/>
    <w:rsid w:val="009F3B52"/>
    <w:rsid w:val="009F43F3"/>
    <w:rsid w:val="009F4EB4"/>
    <w:rsid w:val="009F5250"/>
    <w:rsid w:val="009F7715"/>
    <w:rsid w:val="00A02EFA"/>
    <w:rsid w:val="00A03CD8"/>
    <w:rsid w:val="00A04EF4"/>
    <w:rsid w:val="00A05241"/>
    <w:rsid w:val="00A0561A"/>
    <w:rsid w:val="00A101D9"/>
    <w:rsid w:val="00A1762E"/>
    <w:rsid w:val="00A17669"/>
    <w:rsid w:val="00A2005E"/>
    <w:rsid w:val="00A21135"/>
    <w:rsid w:val="00A21BF6"/>
    <w:rsid w:val="00A24DF8"/>
    <w:rsid w:val="00A272D6"/>
    <w:rsid w:val="00A34659"/>
    <w:rsid w:val="00A36870"/>
    <w:rsid w:val="00A37ED4"/>
    <w:rsid w:val="00A4276E"/>
    <w:rsid w:val="00A51EA5"/>
    <w:rsid w:val="00A60D0C"/>
    <w:rsid w:val="00A6114D"/>
    <w:rsid w:val="00A67D9D"/>
    <w:rsid w:val="00A7369E"/>
    <w:rsid w:val="00A81391"/>
    <w:rsid w:val="00A9347D"/>
    <w:rsid w:val="00A94650"/>
    <w:rsid w:val="00AA2336"/>
    <w:rsid w:val="00AA4D29"/>
    <w:rsid w:val="00AA4DF0"/>
    <w:rsid w:val="00AB0859"/>
    <w:rsid w:val="00AB2664"/>
    <w:rsid w:val="00AB2EB3"/>
    <w:rsid w:val="00AB3789"/>
    <w:rsid w:val="00AB478A"/>
    <w:rsid w:val="00AC067D"/>
    <w:rsid w:val="00AC1583"/>
    <w:rsid w:val="00AC15DC"/>
    <w:rsid w:val="00AC3918"/>
    <w:rsid w:val="00AC39A5"/>
    <w:rsid w:val="00AC4A2D"/>
    <w:rsid w:val="00AC4F99"/>
    <w:rsid w:val="00AC580A"/>
    <w:rsid w:val="00AD1798"/>
    <w:rsid w:val="00AE010E"/>
    <w:rsid w:val="00AE0163"/>
    <w:rsid w:val="00AE068C"/>
    <w:rsid w:val="00AE07FB"/>
    <w:rsid w:val="00AE5296"/>
    <w:rsid w:val="00AF0C8A"/>
    <w:rsid w:val="00AF15EE"/>
    <w:rsid w:val="00AF5FAD"/>
    <w:rsid w:val="00B017CB"/>
    <w:rsid w:val="00B02403"/>
    <w:rsid w:val="00B06A1A"/>
    <w:rsid w:val="00B12475"/>
    <w:rsid w:val="00B12853"/>
    <w:rsid w:val="00B15DF2"/>
    <w:rsid w:val="00B162A2"/>
    <w:rsid w:val="00B21988"/>
    <w:rsid w:val="00B32D64"/>
    <w:rsid w:val="00B3368D"/>
    <w:rsid w:val="00B344B5"/>
    <w:rsid w:val="00B356DA"/>
    <w:rsid w:val="00B368DE"/>
    <w:rsid w:val="00B36DC2"/>
    <w:rsid w:val="00B407E6"/>
    <w:rsid w:val="00B41200"/>
    <w:rsid w:val="00B41209"/>
    <w:rsid w:val="00B42C9B"/>
    <w:rsid w:val="00B43C99"/>
    <w:rsid w:val="00B4616E"/>
    <w:rsid w:val="00B50241"/>
    <w:rsid w:val="00B510B0"/>
    <w:rsid w:val="00B51DA0"/>
    <w:rsid w:val="00B52895"/>
    <w:rsid w:val="00B57627"/>
    <w:rsid w:val="00B6262F"/>
    <w:rsid w:val="00B63E60"/>
    <w:rsid w:val="00B65A3F"/>
    <w:rsid w:val="00B663C1"/>
    <w:rsid w:val="00B66A33"/>
    <w:rsid w:val="00B70443"/>
    <w:rsid w:val="00B73295"/>
    <w:rsid w:val="00B7621E"/>
    <w:rsid w:val="00B80CCF"/>
    <w:rsid w:val="00B82518"/>
    <w:rsid w:val="00B82932"/>
    <w:rsid w:val="00B8588B"/>
    <w:rsid w:val="00B86C64"/>
    <w:rsid w:val="00B8781F"/>
    <w:rsid w:val="00B908F7"/>
    <w:rsid w:val="00B91875"/>
    <w:rsid w:val="00B92FC7"/>
    <w:rsid w:val="00B977C1"/>
    <w:rsid w:val="00BB006D"/>
    <w:rsid w:val="00BB16DE"/>
    <w:rsid w:val="00BB56CA"/>
    <w:rsid w:val="00BB5A56"/>
    <w:rsid w:val="00BC1AA2"/>
    <w:rsid w:val="00BC443E"/>
    <w:rsid w:val="00BC65FD"/>
    <w:rsid w:val="00BD6EE9"/>
    <w:rsid w:val="00BE2748"/>
    <w:rsid w:val="00BF0490"/>
    <w:rsid w:val="00BF4CB3"/>
    <w:rsid w:val="00BF569A"/>
    <w:rsid w:val="00BF6171"/>
    <w:rsid w:val="00BF6453"/>
    <w:rsid w:val="00BF6898"/>
    <w:rsid w:val="00C024AD"/>
    <w:rsid w:val="00C0649B"/>
    <w:rsid w:val="00C06DBD"/>
    <w:rsid w:val="00C07269"/>
    <w:rsid w:val="00C0734B"/>
    <w:rsid w:val="00C20631"/>
    <w:rsid w:val="00C22853"/>
    <w:rsid w:val="00C2366C"/>
    <w:rsid w:val="00C248E2"/>
    <w:rsid w:val="00C30D24"/>
    <w:rsid w:val="00C31029"/>
    <w:rsid w:val="00C32B15"/>
    <w:rsid w:val="00C34B84"/>
    <w:rsid w:val="00C34F11"/>
    <w:rsid w:val="00C37D46"/>
    <w:rsid w:val="00C37FB9"/>
    <w:rsid w:val="00C41480"/>
    <w:rsid w:val="00C447CC"/>
    <w:rsid w:val="00C47747"/>
    <w:rsid w:val="00C50A76"/>
    <w:rsid w:val="00C52466"/>
    <w:rsid w:val="00C52FF7"/>
    <w:rsid w:val="00C53AA3"/>
    <w:rsid w:val="00C53DEB"/>
    <w:rsid w:val="00C54206"/>
    <w:rsid w:val="00C5487E"/>
    <w:rsid w:val="00C556B0"/>
    <w:rsid w:val="00C5783B"/>
    <w:rsid w:val="00C579E5"/>
    <w:rsid w:val="00C62C21"/>
    <w:rsid w:val="00C664E0"/>
    <w:rsid w:val="00C701FB"/>
    <w:rsid w:val="00C757B7"/>
    <w:rsid w:val="00C76469"/>
    <w:rsid w:val="00C86771"/>
    <w:rsid w:val="00C94439"/>
    <w:rsid w:val="00C97D6B"/>
    <w:rsid w:val="00CA1EC3"/>
    <w:rsid w:val="00CA2873"/>
    <w:rsid w:val="00CA5359"/>
    <w:rsid w:val="00CA7D07"/>
    <w:rsid w:val="00CB11E0"/>
    <w:rsid w:val="00CB4F96"/>
    <w:rsid w:val="00CB5552"/>
    <w:rsid w:val="00CB6B84"/>
    <w:rsid w:val="00CC118D"/>
    <w:rsid w:val="00CC538F"/>
    <w:rsid w:val="00CD3E84"/>
    <w:rsid w:val="00CE036F"/>
    <w:rsid w:val="00CE1FB5"/>
    <w:rsid w:val="00CE22B2"/>
    <w:rsid w:val="00CE37E4"/>
    <w:rsid w:val="00CE3CCB"/>
    <w:rsid w:val="00CE5933"/>
    <w:rsid w:val="00CE7514"/>
    <w:rsid w:val="00CF03BE"/>
    <w:rsid w:val="00CF0EB0"/>
    <w:rsid w:val="00CF1021"/>
    <w:rsid w:val="00CF25BF"/>
    <w:rsid w:val="00CF324E"/>
    <w:rsid w:val="00CF46FC"/>
    <w:rsid w:val="00CF4F5F"/>
    <w:rsid w:val="00CF7F71"/>
    <w:rsid w:val="00D00B05"/>
    <w:rsid w:val="00D011D6"/>
    <w:rsid w:val="00D14175"/>
    <w:rsid w:val="00D14468"/>
    <w:rsid w:val="00D14B87"/>
    <w:rsid w:val="00D14D44"/>
    <w:rsid w:val="00D1641C"/>
    <w:rsid w:val="00D16C17"/>
    <w:rsid w:val="00D1799E"/>
    <w:rsid w:val="00D22DCB"/>
    <w:rsid w:val="00D233ED"/>
    <w:rsid w:val="00D247A9"/>
    <w:rsid w:val="00D26730"/>
    <w:rsid w:val="00D26843"/>
    <w:rsid w:val="00D26EDB"/>
    <w:rsid w:val="00D3566F"/>
    <w:rsid w:val="00D40106"/>
    <w:rsid w:val="00D407C0"/>
    <w:rsid w:val="00D42398"/>
    <w:rsid w:val="00D42895"/>
    <w:rsid w:val="00D476F7"/>
    <w:rsid w:val="00D519AB"/>
    <w:rsid w:val="00D60527"/>
    <w:rsid w:val="00D611E4"/>
    <w:rsid w:val="00D6197E"/>
    <w:rsid w:val="00D628D3"/>
    <w:rsid w:val="00D66651"/>
    <w:rsid w:val="00D66F60"/>
    <w:rsid w:val="00D70524"/>
    <w:rsid w:val="00D71B5F"/>
    <w:rsid w:val="00D73928"/>
    <w:rsid w:val="00D75B15"/>
    <w:rsid w:val="00D760C3"/>
    <w:rsid w:val="00D77391"/>
    <w:rsid w:val="00D80429"/>
    <w:rsid w:val="00D8269B"/>
    <w:rsid w:val="00D8467E"/>
    <w:rsid w:val="00D91951"/>
    <w:rsid w:val="00D92BF7"/>
    <w:rsid w:val="00D95BB4"/>
    <w:rsid w:val="00D966BF"/>
    <w:rsid w:val="00D9717D"/>
    <w:rsid w:val="00DA34F1"/>
    <w:rsid w:val="00DA5BCA"/>
    <w:rsid w:val="00DC4811"/>
    <w:rsid w:val="00DC564B"/>
    <w:rsid w:val="00DC640F"/>
    <w:rsid w:val="00DC6685"/>
    <w:rsid w:val="00DD4A7C"/>
    <w:rsid w:val="00DD5BFE"/>
    <w:rsid w:val="00DE0C0E"/>
    <w:rsid w:val="00DE2B96"/>
    <w:rsid w:val="00DE542D"/>
    <w:rsid w:val="00DF1D03"/>
    <w:rsid w:val="00DF3B77"/>
    <w:rsid w:val="00E008DF"/>
    <w:rsid w:val="00E058A6"/>
    <w:rsid w:val="00E05AA6"/>
    <w:rsid w:val="00E107C0"/>
    <w:rsid w:val="00E12263"/>
    <w:rsid w:val="00E14F12"/>
    <w:rsid w:val="00E201D1"/>
    <w:rsid w:val="00E24B0F"/>
    <w:rsid w:val="00E25024"/>
    <w:rsid w:val="00E26685"/>
    <w:rsid w:val="00E273D7"/>
    <w:rsid w:val="00E31329"/>
    <w:rsid w:val="00E31E6A"/>
    <w:rsid w:val="00E32BB7"/>
    <w:rsid w:val="00E35C3C"/>
    <w:rsid w:val="00E4060E"/>
    <w:rsid w:val="00E41514"/>
    <w:rsid w:val="00E43ED3"/>
    <w:rsid w:val="00E44256"/>
    <w:rsid w:val="00E5708A"/>
    <w:rsid w:val="00E60F95"/>
    <w:rsid w:val="00E64DE6"/>
    <w:rsid w:val="00E64E53"/>
    <w:rsid w:val="00E72F24"/>
    <w:rsid w:val="00E73A6E"/>
    <w:rsid w:val="00E75D74"/>
    <w:rsid w:val="00E77248"/>
    <w:rsid w:val="00E80241"/>
    <w:rsid w:val="00E81839"/>
    <w:rsid w:val="00E83AD9"/>
    <w:rsid w:val="00E83EE9"/>
    <w:rsid w:val="00E86CE3"/>
    <w:rsid w:val="00E90000"/>
    <w:rsid w:val="00E927E0"/>
    <w:rsid w:val="00E93CA6"/>
    <w:rsid w:val="00E94D6C"/>
    <w:rsid w:val="00EA33B5"/>
    <w:rsid w:val="00EA4AAD"/>
    <w:rsid w:val="00EA7B5F"/>
    <w:rsid w:val="00EB1269"/>
    <w:rsid w:val="00EB19AD"/>
    <w:rsid w:val="00EB5C16"/>
    <w:rsid w:val="00EB7AB9"/>
    <w:rsid w:val="00EC2E6A"/>
    <w:rsid w:val="00EC4518"/>
    <w:rsid w:val="00EC4D7B"/>
    <w:rsid w:val="00EC5030"/>
    <w:rsid w:val="00ED658D"/>
    <w:rsid w:val="00ED7FC4"/>
    <w:rsid w:val="00EE3AE6"/>
    <w:rsid w:val="00EE5A4F"/>
    <w:rsid w:val="00EE5C24"/>
    <w:rsid w:val="00EE7C2F"/>
    <w:rsid w:val="00EF5C50"/>
    <w:rsid w:val="00EF6DC6"/>
    <w:rsid w:val="00F012FD"/>
    <w:rsid w:val="00F02296"/>
    <w:rsid w:val="00F022FB"/>
    <w:rsid w:val="00F02D3F"/>
    <w:rsid w:val="00F02D5B"/>
    <w:rsid w:val="00F0330A"/>
    <w:rsid w:val="00F03CFF"/>
    <w:rsid w:val="00F133E9"/>
    <w:rsid w:val="00F16EC6"/>
    <w:rsid w:val="00F20076"/>
    <w:rsid w:val="00F20264"/>
    <w:rsid w:val="00F241F9"/>
    <w:rsid w:val="00F30498"/>
    <w:rsid w:val="00F373C3"/>
    <w:rsid w:val="00F4022A"/>
    <w:rsid w:val="00F438A4"/>
    <w:rsid w:val="00F554FA"/>
    <w:rsid w:val="00F566E5"/>
    <w:rsid w:val="00F56D98"/>
    <w:rsid w:val="00F61DFD"/>
    <w:rsid w:val="00F62D28"/>
    <w:rsid w:val="00F63996"/>
    <w:rsid w:val="00F63EB7"/>
    <w:rsid w:val="00F70525"/>
    <w:rsid w:val="00F72099"/>
    <w:rsid w:val="00F737D0"/>
    <w:rsid w:val="00F7429E"/>
    <w:rsid w:val="00F7521D"/>
    <w:rsid w:val="00F8196C"/>
    <w:rsid w:val="00F8264D"/>
    <w:rsid w:val="00F82A95"/>
    <w:rsid w:val="00F841B6"/>
    <w:rsid w:val="00F85A79"/>
    <w:rsid w:val="00F903EA"/>
    <w:rsid w:val="00F9072A"/>
    <w:rsid w:val="00F913C7"/>
    <w:rsid w:val="00F96CB9"/>
    <w:rsid w:val="00FA05C0"/>
    <w:rsid w:val="00FA0E88"/>
    <w:rsid w:val="00FA0FF8"/>
    <w:rsid w:val="00FA70F8"/>
    <w:rsid w:val="00FB2371"/>
    <w:rsid w:val="00FB23F0"/>
    <w:rsid w:val="00FB69BB"/>
    <w:rsid w:val="00FB7A4A"/>
    <w:rsid w:val="00FD06E4"/>
    <w:rsid w:val="00FD0BF9"/>
    <w:rsid w:val="00FD5A67"/>
    <w:rsid w:val="00FF0E58"/>
    <w:rsid w:val="00FF4504"/>
    <w:rsid w:val="00FF46B7"/>
    <w:rsid w:val="00FF5BE0"/>
    <w:rsid w:val="00FF6084"/>
    <w:rsid w:val="13D83048"/>
    <w:rsid w:val="165FBBE7"/>
    <w:rsid w:val="2C25675A"/>
    <w:rsid w:val="30C855A8"/>
    <w:rsid w:val="3229D7AA"/>
    <w:rsid w:val="3301FD9E"/>
    <w:rsid w:val="44218098"/>
    <w:rsid w:val="45037CB6"/>
    <w:rsid w:val="48AAFF77"/>
    <w:rsid w:val="4F77C2FF"/>
    <w:rsid w:val="4F97C5BD"/>
    <w:rsid w:val="5F1A1923"/>
    <w:rsid w:val="60335368"/>
    <w:rsid w:val="621E0698"/>
    <w:rsid w:val="62AF4AC0"/>
    <w:rsid w:val="6F69AAEA"/>
    <w:rsid w:val="6FE4FB4B"/>
    <w:rsid w:val="721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FF77"/>
  <w15:chartTrackingRefBased/>
  <w15:docId w15:val="{F7B162FD-5176-44A5-A773-3E7FDBE4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02F"/>
    <w:pPr>
      <w:keepNext/>
      <w:keepLines/>
      <w:spacing w:before="240" w:beforeAutospacing="1" w:after="0"/>
      <w:outlineLvl w:val="0"/>
    </w:pPr>
    <w:rPr>
      <w:rFonts w:ascii="Arial" w:eastAsiaTheme="majorEastAsia" w:hAnsi="Arial" w:cstheme="majorBidi"/>
      <w:color w:val="4472C4" w:themeColor="accent1"/>
      <w:sz w:val="36"/>
      <w:szCs w:val="32"/>
      <w:lang w:val="en-AU"/>
    </w:rPr>
  </w:style>
  <w:style w:type="paragraph" w:styleId="Heading2">
    <w:name w:val="heading 2"/>
    <w:basedOn w:val="Normal"/>
    <w:next w:val="Normal"/>
    <w:link w:val="Heading2Char"/>
    <w:uiPriority w:val="9"/>
    <w:unhideWhenUsed/>
    <w:qFormat/>
    <w:rsid w:val="00155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2F"/>
    <w:rPr>
      <w:rFonts w:ascii="Arial" w:eastAsiaTheme="majorEastAsia" w:hAnsi="Arial" w:cstheme="majorBidi"/>
      <w:color w:val="4472C4" w:themeColor="accent1"/>
      <w:sz w:val="36"/>
      <w:szCs w:val="32"/>
      <w:lang w:val="en-AU"/>
    </w:rPr>
  </w:style>
  <w:style w:type="character" w:customStyle="1" w:styleId="normaltextrun">
    <w:name w:val="normaltextrun"/>
    <w:basedOn w:val="DefaultParagraphFont"/>
    <w:rsid w:val="0066002F"/>
  </w:style>
  <w:style w:type="character" w:customStyle="1" w:styleId="tabchar">
    <w:name w:val="tabchar"/>
    <w:basedOn w:val="DefaultParagraphFont"/>
    <w:rsid w:val="0066002F"/>
  </w:style>
  <w:style w:type="character" w:styleId="Hyperlink">
    <w:name w:val="Hyperlink"/>
    <w:basedOn w:val="DefaultParagraphFont"/>
    <w:uiPriority w:val="99"/>
    <w:unhideWhenUsed/>
    <w:rsid w:val="0066002F"/>
    <w:rPr>
      <w:color w:val="0563C1" w:themeColor="hyperlink"/>
      <w:u w:val="single"/>
    </w:rPr>
  </w:style>
  <w:style w:type="paragraph" w:styleId="FootnoteText">
    <w:name w:val="footnote text"/>
    <w:basedOn w:val="Normal"/>
    <w:link w:val="FootnoteTextChar"/>
    <w:uiPriority w:val="99"/>
    <w:semiHidden/>
    <w:unhideWhenUsed/>
    <w:rsid w:val="0066002F"/>
    <w:pPr>
      <w:spacing w:before="100" w:beforeAutospacing="1"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6002F"/>
    <w:rPr>
      <w:rFonts w:ascii="Arial" w:hAnsi="Arial"/>
      <w:sz w:val="20"/>
      <w:szCs w:val="20"/>
    </w:rPr>
  </w:style>
  <w:style w:type="character" w:styleId="FootnoteReference">
    <w:name w:val="footnote reference"/>
    <w:basedOn w:val="DefaultParagraphFont"/>
    <w:uiPriority w:val="99"/>
    <w:semiHidden/>
    <w:unhideWhenUsed/>
    <w:rsid w:val="0066002F"/>
    <w:rPr>
      <w:vertAlign w:val="superscript"/>
    </w:rPr>
  </w:style>
  <w:style w:type="character" w:styleId="CommentReference">
    <w:name w:val="annotation reference"/>
    <w:basedOn w:val="DefaultParagraphFont"/>
    <w:uiPriority w:val="99"/>
    <w:semiHidden/>
    <w:unhideWhenUsed/>
    <w:rsid w:val="0066002F"/>
    <w:rPr>
      <w:sz w:val="16"/>
      <w:szCs w:val="16"/>
    </w:rPr>
  </w:style>
  <w:style w:type="paragraph" w:styleId="CommentText">
    <w:name w:val="annotation text"/>
    <w:basedOn w:val="Normal"/>
    <w:link w:val="CommentTextChar"/>
    <w:uiPriority w:val="99"/>
    <w:unhideWhenUsed/>
    <w:rsid w:val="0066002F"/>
    <w:pPr>
      <w:spacing w:before="100" w:beforeAutospacing="1"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66002F"/>
    <w:rPr>
      <w:rFonts w:ascii="Arial" w:hAnsi="Arial"/>
      <w:sz w:val="20"/>
      <w:szCs w:val="20"/>
    </w:rPr>
  </w:style>
  <w:style w:type="character" w:styleId="Mention">
    <w:name w:val="Mention"/>
    <w:basedOn w:val="DefaultParagraphFont"/>
    <w:uiPriority w:val="99"/>
    <w:unhideWhenUsed/>
    <w:rsid w:val="0066002F"/>
    <w:rPr>
      <w:color w:val="2B579A"/>
      <w:shd w:val="clear" w:color="auto" w:fill="E1DFDD"/>
    </w:rPr>
  </w:style>
  <w:style w:type="character" w:customStyle="1" w:styleId="cf01">
    <w:name w:val="cf01"/>
    <w:basedOn w:val="DefaultParagraphFont"/>
    <w:rsid w:val="0066002F"/>
    <w:rPr>
      <w:rFonts w:ascii="Segoe UI" w:hAnsi="Segoe UI" w:cs="Segoe UI" w:hint="default"/>
      <w:sz w:val="18"/>
      <w:szCs w:val="18"/>
    </w:rPr>
  </w:style>
  <w:style w:type="paragraph" w:customStyle="1" w:styleId="pf0">
    <w:name w:val="pf0"/>
    <w:basedOn w:val="Normal"/>
    <w:rsid w:val="0066002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EF6DC6"/>
    <w:pPr>
      <w:ind w:left="720"/>
      <w:contextualSpacing/>
    </w:pPr>
  </w:style>
  <w:style w:type="character" w:customStyle="1" w:styleId="Heading2Char">
    <w:name w:val="Heading 2 Char"/>
    <w:basedOn w:val="DefaultParagraphFont"/>
    <w:link w:val="Heading2"/>
    <w:uiPriority w:val="9"/>
    <w:rsid w:val="00155D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6570E"/>
    <w:pPr>
      <w:spacing w:beforeAutospacing="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E75D74"/>
    <w:pPr>
      <w:tabs>
        <w:tab w:val="right" w:leader="dot" w:pos="9350"/>
      </w:tabs>
      <w:spacing w:after="100"/>
    </w:pPr>
  </w:style>
  <w:style w:type="paragraph" w:styleId="TOC2">
    <w:name w:val="toc 2"/>
    <w:basedOn w:val="Normal"/>
    <w:next w:val="Normal"/>
    <w:autoRedefine/>
    <w:uiPriority w:val="39"/>
    <w:unhideWhenUsed/>
    <w:rsid w:val="0076570E"/>
    <w:pPr>
      <w:spacing w:after="100"/>
      <w:ind w:left="220"/>
    </w:pPr>
  </w:style>
  <w:style w:type="paragraph" w:styleId="Header">
    <w:name w:val="header"/>
    <w:basedOn w:val="Normal"/>
    <w:link w:val="HeaderChar"/>
    <w:uiPriority w:val="99"/>
    <w:unhideWhenUsed/>
    <w:rsid w:val="00E4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14"/>
  </w:style>
  <w:style w:type="paragraph" w:styleId="Footer">
    <w:name w:val="footer"/>
    <w:basedOn w:val="Normal"/>
    <w:link w:val="FooterChar"/>
    <w:uiPriority w:val="99"/>
    <w:unhideWhenUsed/>
    <w:rsid w:val="00E4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14"/>
  </w:style>
  <w:style w:type="paragraph" w:styleId="CommentSubject">
    <w:name w:val="annotation subject"/>
    <w:basedOn w:val="CommentText"/>
    <w:next w:val="CommentText"/>
    <w:link w:val="CommentSubjectChar"/>
    <w:uiPriority w:val="99"/>
    <w:semiHidden/>
    <w:unhideWhenUsed/>
    <w:rsid w:val="00414451"/>
    <w:pPr>
      <w:spacing w:before="0" w:beforeAutospacing="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14451"/>
    <w:rPr>
      <w:rFonts w:ascii="Arial" w:hAnsi="Arial"/>
      <w:b/>
      <w:bCs/>
      <w:sz w:val="20"/>
      <w:szCs w:val="20"/>
    </w:rPr>
  </w:style>
  <w:style w:type="paragraph" w:styleId="Revision">
    <w:name w:val="Revision"/>
    <w:hidden/>
    <w:uiPriority w:val="99"/>
    <w:semiHidden/>
    <w:rsid w:val="00414451"/>
    <w:pPr>
      <w:spacing w:after="0" w:line="240" w:lineRule="auto"/>
    </w:pPr>
  </w:style>
  <w:style w:type="table" w:styleId="GridTable5Dark-Accent1">
    <w:name w:val="Grid Table 5 Dark Accent 1"/>
    <w:basedOn w:val="TableNormal"/>
    <w:uiPriority w:val="50"/>
    <w:rsid w:val="007C3D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
    <w:name w:val="Grid Table 7 Colorful"/>
    <w:basedOn w:val="TableNormal"/>
    <w:uiPriority w:val="52"/>
    <w:rsid w:val="007C3D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9B21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B21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E31E6A"/>
    <w:rPr>
      <w:color w:val="605E5C"/>
      <w:shd w:val="clear" w:color="auto" w:fill="E1DFDD"/>
    </w:rPr>
  </w:style>
  <w:style w:type="paragraph" w:styleId="Title">
    <w:name w:val="Title"/>
    <w:basedOn w:val="Normal"/>
    <w:next w:val="Normal"/>
    <w:link w:val="TitleChar"/>
    <w:uiPriority w:val="10"/>
    <w:qFormat/>
    <w:rsid w:val="00F7209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F72099"/>
    <w:rPr>
      <w:rFonts w:asciiTheme="majorHAnsi" w:eastAsiaTheme="majorEastAsia" w:hAnsiTheme="majorHAnsi" w:cstheme="majorBidi"/>
      <w:spacing w:val="-10"/>
      <w:kern w:val="28"/>
      <w:sz w:val="56"/>
      <w:szCs w:val="56"/>
      <w:lang w:val="en-AU"/>
    </w:rPr>
  </w:style>
  <w:style w:type="paragraph" w:styleId="EndnoteText">
    <w:name w:val="endnote text"/>
    <w:basedOn w:val="Normal"/>
    <w:link w:val="EndnoteTextChar"/>
    <w:uiPriority w:val="99"/>
    <w:semiHidden/>
    <w:unhideWhenUsed/>
    <w:rsid w:val="008572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26A"/>
    <w:rPr>
      <w:sz w:val="20"/>
      <w:szCs w:val="20"/>
    </w:rPr>
  </w:style>
  <w:style w:type="character" w:styleId="EndnoteReference">
    <w:name w:val="endnote reference"/>
    <w:basedOn w:val="DefaultParagraphFont"/>
    <w:uiPriority w:val="99"/>
    <w:semiHidden/>
    <w:unhideWhenUsed/>
    <w:rsid w:val="0085726A"/>
    <w:rPr>
      <w:vertAlign w:val="superscript"/>
    </w:rPr>
  </w:style>
  <w:style w:type="table" w:styleId="TableGrid">
    <w:name w:val="Table Grid"/>
    <w:basedOn w:val="TableNormal"/>
    <w:uiPriority w:val="59"/>
    <w:rsid w:val="0046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052">
      <w:bodyDiv w:val="1"/>
      <w:marLeft w:val="0"/>
      <w:marRight w:val="0"/>
      <w:marTop w:val="0"/>
      <w:marBottom w:val="0"/>
      <w:divBdr>
        <w:top w:val="none" w:sz="0" w:space="0" w:color="auto"/>
        <w:left w:val="none" w:sz="0" w:space="0" w:color="auto"/>
        <w:bottom w:val="none" w:sz="0" w:space="0" w:color="auto"/>
        <w:right w:val="none" w:sz="0" w:space="0" w:color="auto"/>
      </w:divBdr>
      <w:divsChild>
        <w:div w:id="691690115">
          <w:marLeft w:val="0"/>
          <w:marRight w:val="0"/>
          <w:marTop w:val="0"/>
          <w:marBottom w:val="0"/>
          <w:divBdr>
            <w:top w:val="none" w:sz="0" w:space="0" w:color="auto"/>
            <w:left w:val="none" w:sz="0" w:space="0" w:color="auto"/>
            <w:bottom w:val="none" w:sz="0" w:space="0" w:color="auto"/>
            <w:right w:val="none" w:sz="0" w:space="0" w:color="auto"/>
          </w:divBdr>
        </w:div>
      </w:divsChild>
    </w:div>
    <w:div w:id="88887957">
      <w:bodyDiv w:val="1"/>
      <w:marLeft w:val="0"/>
      <w:marRight w:val="0"/>
      <w:marTop w:val="0"/>
      <w:marBottom w:val="0"/>
      <w:divBdr>
        <w:top w:val="none" w:sz="0" w:space="0" w:color="auto"/>
        <w:left w:val="none" w:sz="0" w:space="0" w:color="auto"/>
        <w:bottom w:val="none" w:sz="0" w:space="0" w:color="auto"/>
        <w:right w:val="none" w:sz="0" w:space="0" w:color="auto"/>
      </w:divBdr>
      <w:divsChild>
        <w:div w:id="504130301">
          <w:marLeft w:val="0"/>
          <w:marRight w:val="0"/>
          <w:marTop w:val="0"/>
          <w:marBottom w:val="0"/>
          <w:divBdr>
            <w:top w:val="none" w:sz="0" w:space="0" w:color="auto"/>
            <w:left w:val="none" w:sz="0" w:space="0" w:color="auto"/>
            <w:bottom w:val="none" w:sz="0" w:space="0" w:color="auto"/>
            <w:right w:val="none" w:sz="0" w:space="0" w:color="auto"/>
          </w:divBdr>
        </w:div>
      </w:divsChild>
    </w:div>
    <w:div w:id="158734863">
      <w:bodyDiv w:val="1"/>
      <w:marLeft w:val="0"/>
      <w:marRight w:val="0"/>
      <w:marTop w:val="0"/>
      <w:marBottom w:val="0"/>
      <w:divBdr>
        <w:top w:val="none" w:sz="0" w:space="0" w:color="auto"/>
        <w:left w:val="none" w:sz="0" w:space="0" w:color="auto"/>
        <w:bottom w:val="none" w:sz="0" w:space="0" w:color="auto"/>
        <w:right w:val="none" w:sz="0" w:space="0" w:color="auto"/>
      </w:divBdr>
      <w:divsChild>
        <w:div w:id="445738632">
          <w:marLeft w:val="0"/>
          <w:marRight w:val="0"/>
          <w:marTop w:val="0"/>
          <w:marBottom w:val="0"/>
          <w:divBdr>
            <w:top w:val="none" w:sz="0" w:space="0" w:color="auto"/>
            <w:left w:val="none" w:sz="0" w:space="0" w:color="auto"/>
            <w:bottom w:val="none" w:sz="0" w:space="0" w:color="auto"/>
            <w:right w:val="none" w:sz="0" w:space="0" w:color="auto"/>
          </w:divBdr>
        </w:div>
      </w:divsChild>
    </w:div>
    <w:div w:id="177625922">
      <w:bodyDiv w:val="1"/>
      <w:marLeft w:val="0"/>
      <w:marRight w:val="0"/>
      <w:marTop w:val="0"/>
      <w:marBottom w:val="0"/>
      <w:divBdr>
        <w:top w:val="none" w:sz="0" w:space="0" w:color="auto"/>
        <w:left w:val="none" w:sz="0" w:space="0" w:color="auto"/>
        <w:bottom w:val="none" w:sz="0" w:space="0" w:color="auto"/>
        <w:right w:val="none" w:sz="0" w:space="0" w:color="auto"/>
      </w:divBdr>
      <w:divsChild>
        <w:div w:id="2052415869">
          <w:marLeft w:val="0"/>
          <w:marRight w:val="0"/>
          <w:marTop w:val="0"/>
          <w:marBottom w:val="0"/>
          <w:divBdr>
            <w:top w:val="none" w:sz="0" w:space="0" w:color="auto"/>
            <w:left w:val="none" w:sz="0" w:space="0" w:color="auto"/>
            <w:bottom w:val="none" w:sz="0" w:space="0" w:color="auto"/>
            <w:right w:val="none" w:sz="0" w:space="0" w:color="auto"/>
          </w:divBdr>
        </w:div>
      </w:divsChild>
    </w:div>
    <w:div w:id="220798028">
      <w:bodyDiv w:val="1"/>
      <w:marLeft w:val="0"/>
      <w:marRight w:val="0"/>
      <w:marTop w:val="0"/>
      <w:marBottom w:val="0"/>
      <w:divBdr>
        <w:top w:val="none" w:sz="0" w:space="0" w:color="auto"/>
        <w:left w:val="none" w:sz="0" w:space="0" w:color="auto"/>
        <w:bottom w:val="none" w:sz="0" w:space="0" w:color="auto"/>
        <w:right w:val="none" w:sz="0" w:space="0" w:color="auto"/>
      </w:divBdr>
      <w:divsChild>
        <w:div w:id="209925191">
          <w:marLeft w:val="0"/>
          <w:marRight w:val="0"/>
          <w:marTop w:val="0"/>
          <w:marBottom w:val="0"/>
          <w:divBdr>
            <w:top w:val="none" w:sz="0" w:space="0" w:color="auto"/>
            <w:left w:val="none" w:sz="0" w:space="0" w:color="auto"/>
            <w:bottom w:val="none" w:sz="0" w:space="0" w:color="auto"/>
            <w:right w:val="none" w:sz="0" w:space="0" w:color="auto"/>
          </w:divBdr>
        </w:div>
      </w:divsChild>
    </w:div>
    <w:div w:id="223835196">
      <w:bodyDiv w:val="1"/>
      <w:marLeft w:val="0"/>
      <w:marRight w:val="0"/>
      <w:marTop w:val="0"/>
      <w:marBottom w:val="0"/>
      <w:divBdr>
        <w:top w:val="none" w:sz="0" w:space="0" w:color="auto"/>
        <w:left w:val="none" w:sz="0" w:space="0" w:color="auto"/>
        <w:bottom w:val="none" w:sz="0" w:space="0" w:color="auto"/>
        <w:right w:val="none" w:sz="0" w:space="0" w:color="auto"/>
      </w:divBdr>
    </w:div>
    <w:div w:id="338821821">
      <w:bodyDiv w:val="1"/>
      <w:marLeft w:val="0"/>
      <w:marRight w:val="0"/>
      <w:marTop w:val="0"/>
      <w:marBottom w:val="0"/>
      <w:divBdr>
        <w:top w:val="none" w:sz="0" w:space="0" w:color="auto"/>
        <w:left w:val="none" w:sz="0" w:space="0" w:color="auto"/>
        <w:bottom w:val="none" w:sz="0" w:space="0" w:color="auto"/>
        <w:right w:val="none" w:sz="0" w:space="0" w:color="auto"/>
      </w:divBdr>
      <w:divsChild>
        <w:div w:id="1526481648">
          <w:marLeft w:val="0"/>
          <w:marRight w:val="0"/>
          <w:marTop w:val="0"/>
          <w:marBottom w:val="0"/>
          <w:divBdr>
            <w:top w:val="none" w:sz="0" w:space="0" w:color="auto"/>
            <w:left w:val="none" w:sz="0" w:space="0" w:color="auto"/>
            <w:bottom w:val="none" w:sz="0" w:space="0" w:color="auto"/>
            <w:right w:val="none" w:sz="0" w:space="0" w:color="auto"/>
          </w:divBdr>
        </w:div>
      </w:divsChild>
    </w:div>
    <w:div w:id="359164075">
      <w:bodyDiv w:val="1"/>
      <w:marLeft w:val="0"/>
      <w:marRight w:val="0"/>
      <w:marTop w:val="0"/>
      <w:marBottom w:val="0"/>
      <w:divBdr>
        <w:top w:val="none" w:sz="0" w:space="0" w:color="auto"/>
        <w:left w:val="none" w:sz="0" w:space="0" w:color="auto"/>
        <w:bottom w:val="none" w:sz="0" w:space="0" w:color="auto"/>
        <w:right w:val="none" w:sz="0" w:space="0" w:color="auto"/>
      </w:divBdr>
      <w:divsChild>
        <w:div w:id="1197502008">
          <w:marLeft w:val="0"/>
          <w:marRight w:val="0"/>
          <w:marTop w:val="0"/>
          <w:marBottom w:val="0"/>
          <w:divBdr>
            <w:top w:val="none" w:sz="0" w:space="0" w:color="auto"/>
            <w:left w:val="none" w:sz="0" w:space="0" w:color="auto"/>
            <w:bottom w:val="none" w:sz="0" w:space="0" w:color="auto"/>
            <w:right w:val="none" w:sz="0" w:space="0" w:color="auto"/>
          </w:divBdr>
        </w:div>
      </w:divsChild>
    </w:div>
    <w:div w:id="4402266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70">
          <w:marLeft w:val="0"/>
          <w:marRight w:val="0"/>
          <w:marTop w:val="0"/>
          <w:marBottom w:val="0"/>
          <w:divBdr>
            <w:top w:val="none" w:sz="0" w:space="0" w:color="auto"/>
            <w:left w:val="none" w:sz="0" w:space="0" w:color="auto"/>
            <w:bottom w:val="none" w:sz="0" w:space="0" w:color="auto"/>
            <w:right w:val="none" w:sz="0" w:space="0" w:color="auto"/>
          </w:divBdr>
        </w:div>
      </w:divsChild>
    </w:div>
    <w:div w:id="562445838">
      <w:bodyDiv w:val="1"/>
      <w:marLeft w:val="0"/>
      <w:marRight w:val="0"/>
      <w:marTop w:val="0"/>
      <w:marBottom w:val="0"/>
      <w:divBdr>
        <w:top w:val="none" w:sz="0" w:space="0" w:color="auto"/>
        <w:left w:val="none" w:sz="0" w:space="0" w:color="auto"/>
        <w:bottom w:val="none" w:sz="0" w:space="0" w:color="auto"/>
        <w:right w:val="none" w:sz="0" w:space="0" w:color="auto"/>
      </w:divBdr>
      <w:divsChild>
        <w:div w:id="805927151">
          <w:marLeft w:val="0"/>
          <w:marRight w:val="0"/>
          <w:marTop w:val="0"/>
          <w:marBottom w:val="0"/>
          <w:divBdr>
            <w:top w:val="none" w:sz="0" w:space="0" w:color="auto"/>
            <w:left w:val="none" w:sz="0" w:space="0" w:color="auto"/>
            <w:bottom w:val="none" w:sz="0" w:space="0" w:color="auto"/>
            <w:right w:val="none" w:sz="0" w:space="0" w:color="auto"/>
          </w:divBdr>
        </w:div>
      </w:divsChild>
    </w:div>
    <w:div w:id="610552313">
      <w:bodyDiv w:val="1"/>
      <w:marLeft w:val="0"/>
      <w:marRight w:val="0"/>
      <w:marTop w:val="0"/>
      <w:marBottom w:val="0"/>
      <w:divBdr>
        <w:top w:val="none" w:sz="0" w:space="0" w:color="auto"/>
        <w:left w:val="none" w:sz="0" w:space="0" w:color="auto"/>
        <w:bottom w:val="none" w:sz="0" w:space="0" w:color="auto"/>
        <w:right w:val="none" w:sz="0" w:space="0" w:color="auto"/>
      </w:divBdr>
      <w:divsChild>
        <w:div w:id="694382537">
          <w:marLeft w:val="0"/>
          <w:marRight w:val="0"/>
          <w:marTop w:val="0"/>
          <w:marBottom w:val="0"/>
          <w:divBdr>
            <w:top w:val="none" w:sz="0" w:space="0" w:color="auto"/>
            <w:left w:val="none" w:sz="0" w:space="0" w:color="auto"/>
            <w:bottom w:val="none" w:sz="0" w:space="0" w:color="auto"/>
            <w:right w:val="none" w:sz="0" w:space="0" w:color="auto"/>
          </w:divBdr>
        </w:div>
      </w:divsChild>
    </w:div>
    <w:div w:id="644313941">
      <w:bodyDiv w:val="1"/>
      <w:marLeft w:val="0"/>
      <w:marRight w:val="0"/>
      <w:marTop w:val="0"/>
      <w:marBottom w:val="0"/>
      <w:divBdr>
        <w:top w:val="none" w:sz="0" w:space="0" w:color="auto"/>
        <w:left w:val="none" w:sz="0" w:space="0" w:color="auto"/>
        <w:bottom w:val="none" w:sz="0" w:space="0" w:color="auto"/>
        <w:right w:val="none" w:sz="0" w:space="0" w:color="auto"/>
      </w:divBdr>
    </w:div>
    <w:div w:id="865750307">
      <w:bodyDiv w:val="1"/>
      <w:marLeft w:val="0"/>
      <w:marRight w:val="0"/>
      <w:marTop w:val="0"/>
      <w:marBottom w:val="0"/>
      <w:divBdr>
        <w:top w:val="none" w:sz="0" w:space="0" w:color="auto"/>
        <w:left w:val="none" w:sz="0" w:space="0" w:color="auto"/>
        <w:bottom w:val="none" w:sz="0" w:space="0" w:color="auto"/>
        <w:right w:val="none" w:sz="0" w:space="0" w:color="auto"/>
      </w:divBdr>
      <w:divsChild>
        <w:div w:id="908267209">
          <w:marLeft w:val="0"/>
          <w:marRight w:val="0"/>
          <w:marTop w:val="0"/>
          <w:marBottom w:val="0"/>
          <w:divBdr>
            <w:top w:val="none" w:sz="0" w:space="0" w:color="auto"/>
            <w:left w:val="none" w:sz="0" w:space="0" w:color="auto"/>
            <w:bottom w:val="none" w:sz="0" w:space="0" w:color="auto"/>
            <w:right w:val="none" w:sz="0" w:space="0" w:color="auto"/>
          </w:divBdr>
        </w:div>
      </w:divsChild>
    </w:div>
    <w:div w:id="945162260">
      <w:bodyDiv w:val="1"/>
      <w:marLeft w:val="0"/>
      <w:marRight w:val="0"/>
      <w:marTop w:val="0"/>
      <w:marBottom w:val="0"/>
      <w:divBdr>
        <w:top w:val="none" w:sz="0" w:space="0" w:color="auto"/>
        <w:left w:val="none" w:sz="0" w:space="0" w:color="auto"/>
        <w:bottom w:val="none" w:sz="0" w:space="0" w:color="auto"/>
        <w:right w:val="none" w:sz="0" w:space="0" w:color="auto"/>
      </w:divBdr>
      <w:divsChild>
        <w:div w:id="991327972">
          <w:marLeft w:val="0"/>
          <w:marRight w:val="0"/>
          <w:marTop w:val="0"/>
          <w:marBottom w:val="0"/>
          <w:divBdr>
            <w:top w:val="none" w:sz="0" w:space="0" w:color="auto"/>
            <w:left w:val="none" w:sz="0" w:space="0" w:color="auto"/>
            <w:bottom w:val="none" w:sz="0" w:space="0" w:color="auto"/>
            <w:right w:val="none" w:sz="0" w:space="0" w:color="auto"/>
          </w:divBdr>
        </w:div>
      </w:divsChild>
    </w:div>
    <w:div w:id="947155350">
      <w:bodyDiv w:val="1"/>
      <w:marLeft w:val="0"/>
      <w:marRight w:val="0"/>
      <w:marTop w:val="0"/>
      <w:marBottom w:val="0"/>
      <w:divBdr>
        <w:top w:val="none" w:sz="0" w:space="0" w:color="auto"/>
        <w:left w:val="none" w:sz="0" w:space="0" w:color="auto"/>
        <w:bottom w:val="none" w:sz="0" w:space="0" w:color="auto"/>
        <w:right w:val="none" w:sz="0" w:space="0" w:color="auto"/>
      </w:divBdr>
      <w:divsChild>
        <w:div w:id="1739471991">
          <w:marLeft w:val="0"/>
          <w:marRight w:val="0"/>
          <w:marTop w:val="0"/>
          <w:marBottom w:val="0"/>
          <w:divBdr>
            <w:top w:val="none" w:sz="0" w:space="0" w:color="auto"/>
            <w:left w:val="none" w:sz="0" w:space="0" w:color="auto"/>
            <w:bottom w:val="none" w:sz="0" w:space="0" w:color="auto"/>
            <w:right w:val="none" w:sz="0" w:space="0" w:color="auto"/>
          </w:divBdr>
        </w:div>
      </w:divsChild>
    </w:div>
    <w:div w:id="1014723935">
      <w:bodyDiv w:val="1"/>
      <w:marLeft w:val="0"/>
      <w:marRight w:val="0"/>
      <w:marTop w:val="0"/>
      <w:marBottom w:val="0"/>
      <w:divBdr>
        <w:top w:val="none" w:sz="0" w:space="0" w:color="auto"/>
        <w:left w:val="none" w:sz="0" w:space="0" w:color="auto"/>
        <w:bottom w:val="none" w:sz="0" w:space="0" w:color="auto"/>
        <w:right w:val="none" w:sz="0" w:space="0" w:color="auto"/>
      </w:divBdr>
      <w:divsChild>
        <w:div w:id="1510674925">
          <w:marLeft w:val="0"/>
          <w:marRight w:val="0"/>
          <w:marTop w:val="0"/>
          <w:marBottom w:val="0"/>
          <w:divBdr>
            <w:top w:val="none" w:sz="0" w:space="0" w:color="auto"/>
            <w:left w:val="none" w:sz="0" w:space="0" w:color="auto"/>
            <w:bottom w:val="none" w:sz="0" w:space="0" w:color="auto"/>
            <w:right w:val="none" w:sz="0" w:space="0" w:color="auto"/>
          </w:divBdr>
        </w:div>
      </w:divsChild>
    </w:div>
    <w:div w:id="1024016983">
      <w:bodyDiv w:val="1"/>
      <w:marLeft w:val="0"/>
      <w:marRight w:val="0"/>
      <w:marTop w:val="0"/>
      <w:marBottom w:val="0"/>
      <w:divBdr>
        <w:top w:val="none" w:sz="0" w:space="0" w:color="auto"/>
        <w:left w:val="none" w:sz="0" w:space="0" w:color="auto"/>
        <w:bottom w:val="none" w:sz="0" w:space="0" w:color="auto"/>
        <w:right w:val="none" w:sz="0" w:space="0" w:color="auto"/>
      </w:divBdr>
      <w:divsChild>
        <w:div w:id="1723096085">
          <w:marLeft w:val="0"/>
          <w:marRight w:val="0"/>
          <w:marTop w:val="0"/>
          <w:marBottom w:val="0"/>
          <w:divBdr>
            <w:top w:val="none" w:sz="0" w:space="0" w:color="auto"/>
            <w:left w:val="none" w:sz="0" w:space="0" w:color="auto"/>
            <w:bottom w:val="none" w:sz="0" w:space="0" w:color="auto"/>
            <w:right w:val="none" w:sz="0" w:space="0" w:color="auto"/>
          </w:divBdr>
        </w:div>
      </w:divsChild>
    </w:div>
    <w:div w:id="1318026346">
      <w:bodyDiv w:val="1"/>
      <w:marLeft w:val="0"/>
      <w:marRight w:val="0"/>
      <w:marTop w:val="0"/>
      <w:marBottom w:val="0"/>
      <w:divBdr>
        <w:top w:val="none" w:sz="0" w:space="0" w:color="auto"/>
        <w:left w:val="none" w:sz="0" w:space="0" w:color="auto"/>
        <w:bottom w:val="none" w:sz="0" w:space="0" w:color="auto"/>
        <w:right w:val="none" w:sz="0" w:space="0" w:color="auto"/>
      </w:divBdr>
      <w:divsChild>
        <w:div w:id="1119107401">
          <w:marLeft w:val="0"/>
          <w:marRight w:val="0"/>
          <w:marTop w:val="0"/>
          <w:marBottom w:val="0"/>
          <w:divBdr>
            <w:top w:val="none" w:sz="0" w:space="0" w:color="auto"/>
            <w:left w:val="none" w:sz="0" w:space="0" w:color="auto"/>
            <w:bottom w:val="none" w:sz="0" w:space="0" w:color="auto"/>
            <w:right w:val="none" w:sz="0" w:space="0" w:color="auto"/>
          </w:divBdr>
        </w:div>
      </w:divsChild>
    </w:div>
    <w:div w:id="1375038242">
      <w:bodyDiv w:val="1"/>
      <w:marLeft w:val="0"/>
      <w:marRight w:val="0"/>
      <w:marTop w:val="0"/>
      <w:marBottom w:val="0"/>
      <w:divBdr>
        <w:top w:val="none" w:sz="0" w:space="0" w:color="auto"/>
        <w:left w:val="none" w:sz="0" w:space="0" w:color="auto"/>
        <w:bottom w:val="none" w:sz="0" w:space="0" w:color="auto"/>
        <w:right w:val="none" w:sz="0" w:space="0" w:color="auto"/>
      </w:divBdr>
      <w:divsChild>
        <w:div w:id="854226717">
          <w:marLeft w:val="0"/>
          <w:marRight w:val="0"/>
          <w:marTop w:val="0"/>
          <w:marBottom w:val="0"/>
          <w:divBdr>
            <w:top w:val="none" w:sz="0" w:space="0" w:color="auto"/>
            <w:left w:val="none" w:sz="0" w:space="0" w:color="auto"/>
            <w:bottom w:val="none" w:sz="0" w:space="0" w:color="auto"/>
            <w:right w:val="none" w:sz="0" w:space="0" w:color="auto"/>
          </w:divBdr>
        </w:div>
      </w:divsChild>
    </w:div>
    <w:div w:id="1379743622">
      <w:bodyDiv w:val="1"/>
      <w:marLeft w:val="0"/>
      <w:marRight w:val="0"/>
      <w:marTop w:val="0"/>
      <w:marBottom w:val="0"/>
      <w:divBdr>
        <w:top w:val="none" w:sz="0" w:space="0" w:color="auto"/>
        <w:left w:val="none" w:sz="0" w:space="0" w:color="auto"/>
        <w:bottom w:val="none" w:sz="0" w:space="0" w:color="auto"/>
        <w:right w:val="none" w:sz="0" w:space="0" w:color="auto"/>
      </w:divBdr>
      <w:divsChild>
        <w:div w:id="2102330464">
          <w:marLeft w:val="0"/>
          <w:marRight w:val="0"/>
          <w:marTop w:val="0"/>
          <w:marBottom w:val="0"/>
          <w:divBdr>
            <w:top w:val="none" w:sz="0" w:space="0" w:color="auto"/>
            <w:left w:val="none" w:sz="0" w:space="0" w:color="auto"/>
            <w:bottom w:val="none" w:sz="0" w:space="0" w:color="auto"/>
            <w:right w:val="none" w:sz="0" w:space="0" w:color="auto"/>
          </w:divBdr>
        </w:div>
      </w:divsChild>
    </w:div>
    <w:div w:id="1390688920">
      <w:bodyDiv w:val="1"/>
      <w:marLeft w:val="0"/>
      <w:marRight w:val="0"/>
      <w:marTop w:val="0"/>
      <w:marBottom w:val="0"/>
      <w:divBdr>
        <w:top w:val="none" w:sz="0" w:space="0" w:color="auto"/>
        <w:left w:val="none" w:sz="0" w:space="0" w:color="auto"/>
        <w:bottom w:val="none" w:sz="0" w:space="0" w:color="auto"/>
        <w:right w:val="none" w:sz="0" w:space="0" w:color="auto"/>
      </w:divBdr>
      <w:divsChild>
        <w:div w:id="1799838835">
          <w:marLeft w:val="0"/>
          <w:marRight w:val="0"/>
          <w:marTop w:val="0"/>
          <w:marBottom w:val="0"/>
          <w:divBdr>
            <w:top w:val="none" w:sz="0" w:space="0" w:color="auto"/>
            <w:left w:val="none" w:sz="0" w:space="0" w:color="auto"/>
            <w:bottom w:val="none" w:sz="0" w:space="0" w:color="auto"/>
            <w:right w:val="none" w:sz="0" w:space="0" w:color="auto"/>
          </w:divBdr>
        </w:div>
      </w:divsChild>
    </w:div>
    <w:div w:id="1502504770">
      <w:bodyDiv w:val="1"/>
      <w:marLeft w:val="0"/>
      <w:marRight w:val="0"/>
      <w:marTop w:val="0"/>
      <w:marBottom w:val="0"/>
      <w:divBdr>
        <w:top w:val="none" w:sz="0" w:space="0" w:color="auto"/>
        <w:left w:val="none" w:sz="0" w:space="0" w:color="auto"/>
        <w:bottom w:val="none" w:sz="0" w:space="0" w:color="auto"/>
        <w:right w:val="none" w:sz="0" w:space="0" w:color="auto"/>
      </w:divBdr>
      <w:divsChild>
        <w:div w:id="1360473380">
          <w:marLeft w:val="0"/>
          <w:marRight w:val="0"/>
          <w:marTop w:val="0"/>
          <w:marBottom w:val="0"/>
          <w:divBdr>
            <w:top w:val="none" w:sz="0" w:space="0" w:color="auto"/>
            <w:left w:val="none" w:sz="0" w:space="0" w:color="auto"/>
            <w:bottom w:val="none" w:sz="0" w:space="0" w:color="auto"/>
            <w:right w:val="none" w:sz="0" w:space="0" w:color="auto"/>
          </w:divBdr>
        </w:div>
      </w:divsChild>
    </w:div>
    <w:div w:id="1848253846">
      <w:bodyDiv w:val="1"/>
      <w:marLeft w:val="0"/>
      <w:marRight w:val="0"/>
      <w:marTop w:val="0"/>
      <w:marBottom w:val="0"/>
      <w:divBdr>
        <w:top w:val="none" w:sz="0" w:space="0" w:color="auto"/>
        <w:left w:val="none" w:sz="0" w:space="0" w:color="auto"/>
        <w:bottom w:val="none" w:sz="0" w:space="0" w:color="auto"/>
        <w:right w:val="none" w:sz="0" w:space="0" w:color="auto"/>
      </w:divBdr>
      <w:divsChild>
        <w:div w:id="1778715488">
          <w:marLeft w:val="0"/>
          <w:marRight w:val="0"/>
          <w:marTop w:val="0"/>
          <w:marBottom w:val="0"/>
          <w:divBdr>
            <w:top w:val="none" w:sz="0" w:space="0" w:color="auto"/>
            <w:left w:val="none" w:sz="0" w:space="0" w:color="auto"/>
            <w:bottom w:val="none" w:sz="0" w:space="0" w:color="auto"/>
            <w:right w:val="none" w:sz="0" w:space="0" w:color="auto"/>
          </w:divBdr>
        </w:div>
      </w:divsChild>
    </w:div>
    <w:div w:id="1961064352">
      <w:bodyDiv w:val="1"/>
      <w:marLeft w:val="0"/>
      <w:marRight w:val="0"/>
      <w:marTop w:val="0"/>
      <w:marBottom w:val="0"/>
      <w:divBdr>
        <w:top w:val="none" w:sz="0" w:space="0" w:color="auto"/>
        <w:left w:val="none" w:sz="0" w:space="0" w:color="auto"/>
        <w:bottom w:val="none" w:sz="0" w:space="0" w:color="auto"/>
        <w:right w:val="none" w:sz="0" w:space="0" w:color="auto"/>
      </w:divBdr>
      <w:divsChild>
        <w:div w:id="305622877">
          <w:marLeft w:val="0"/>
          <w:marRight w:val="0"/>
          <w:marTop w:val="0"/>
          <w:marBottom w:val="0"/>
          <w:divBdr>
            <w:top w:val="none" w:sz="0" w:space="0" w:color="auto"/>
            <w:left w:val="none" w:sz="0" w:space="0" w:color="auto"/>
            <w:bottom w:val="none" w:sz="0" w:space="0" w:color="auto"/>
            <w:right w:val="none" w:sz="0" w:space="0" w:color="auto"/>
          </w:divBdr>
        </w:div>
      </w:divsChild>
    </w:div>
    <w:div w:id="2014986627">
      <w:bodyDiv w:val="1"/>
      <w:marLeft w:val="0"/>
      <w:marRight w:val="0"/>
      <w:marTop w:val="0"/>
      <w:marBottom w:val="0"/>
      <w:divBdr>
        <w:top w:val="none" w:sz="0" w:space="0" w:color="auto"/>
        <w:left w:val="none" w:sz="0" w:space="0" w:color="auto"/>
        <w:bottom w:val="none" w:sz="0" w:space="0" w:color="auto"/>
        <w:right w:val="none" w:sz="0" w:space="0" w:color="auto"/>
      </w:divBdr>
      <w:divsChild>
        <w:div w:id="116261377">
          <w:marLeft w:val="0"/>
          <w:marRight w:val="0"/>
          <w:marTop w:val="0"/>
          <w:marBottom w:val="0"/>
          <w:divBdr>
            <w:top w:val="none" w:sz="0" w:space="0" w:color="auto"/>
            <w:left w:val="none" w:sz="0" w:space="0" w:color="auto"/>
            <w:bottom w:val="none" w:sz="0" w:space="0" w:color="auto"/>
            <w:right w:val="none" w:sz="0" w:space="0" w:color="auto"/>
          </w:divBdr>
        </w:div>
      </w:divsChild>
    </w:div>
    <w:div w:id="2133160915">
      <w:bodyDiv w:val="1"/>
      <w:marLeft w:val="0"/>
      <w:marRight w:val="0"/>
      <w:marTop w:val="0"/>
      <w:marBottom w:val="0"/>
      <w:divBdr>
        <w:top w:val="none" w:sz="0" w:space="0" w:color="auto"/>
        <w:left w:val="none" w:sz="0" w:space="0" w:color="auto"/>
        <w:bottom w:val="none" w:sz="0" w:space="0" w:color="auto"/>
        <w:right w:val="none" w:sz="0" w:space="0" w:color="auto"/>
      </w:divBdr>
      <w:divsChild>
        <w:div w:id="14481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urie.leigh@nds.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Joint/National_Disability_Insurance_Scheme/CapabilityandCulture/Submissions" TargetMode="External"/><Relationship Id="rId3" Type="http://schemas.openxmlformats.org/officeDocument/2006/relationships/hyperlink" Target="https://www.nds.org.au/about/state-of-the-disability-sector-report" TargetMode="External"/><Relationship Id="rId7" Type="http://schemas.openxmlformats.org/officeDocument/2006/relationships/hyperlink" Target="https://www.nds.org.au/about/state-of-the-disability-sector-report" TargetMode="External"/><Relationship Id="rId2" Type="http://schemas.openxmlformats.org/officeDocument/2006/relationships/hyperlink" Target="https://www.nds.org.au/about/state-of-the-disability-sector-report" TargetMode="External"/><Relationship Id="rId1" Type="http://schemas.openxmlformats.org/officeDocument/2006/relationships/hyperlink" Target="https://www.nds.org.au/about/state-of-the-disability-sector-report" TargetMode="External"/><Relationship Id="rId6" Type="http://schemas.openxmlformats.org/officeDocument/2006/relationships/hyperlink" Target="https://www.nds.org.au/about/state-of-the-disability-sector-report" TargetMode="External"/><Relationship Id="rId5" Type="http://schemas.openxmlformats.org/officeDocument/2006/relationships/hyperlink" Target="https://www.nds.org.au/about/state-of-the-disability-sector-report" TargetMode="External"/><Relationship Id="rId4" Type="http://schemas.openxmlformats.org/officeDocument/2006/relationships/hyperlink" Target="https://www.nds.org.au/about/state-of-the-disability-sector-report" TargetMode="External"/><Relationship Id="rId9" Type="http://schemas.openxmlformats.org/officeDocument/2006/relationships/hyperlink" Target="http://www.nds.org.au/index.php/policy-library/supported-independent-living-survey-result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a3a055-6443-41f6-8b1b-683361b7d3dc" xsi:nil="true"/>
    <lcf76f155ced4ddcb4097134ff3c332f xmlns="416b0dc0-04cd-43f3-a66e-d73a430642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1AE5B2D68864F81962C10A9F5C4EA" ma:contentTypeVersion="12" ma:contentTypeDescription="Create a new document." ma:contentTypeScope="" ma:versionID="20880406566afa190c39925a114cbb20">
  <xsd:schema xmlns:xsd="http://www.w3.org/2001/XMLSchema" xmlns:xs="http://www.w3.org/2001/XMLSchema" xmlns:p="http://schemas.microsoft.com/office/2006/metadata/properties" xmlns:ns2="416b0dc0-04cd-43f3-a66e-d73a43064235" xmlns:ns3="89a3a055-6443-41f6-8b1b-683361b7d3dc" targetNamespace="http://schemas.microsoft.com/office/2006/metadata/properties" ma:root="true" ma:fieldsID="96f2e098423b77e3ced9e68421a30ffa" ns2:_="" ns3:_="">
    <xsd:import namespace="416b0dc0-04cd-43f3-a66e-d73a43064235"/>
    <xsd:import namespace="89a3a055-6443-41f6-8b1b-683361b7d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0dc0-04cd-43f3-a66e-d73a4306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3a055-6443-41f6-8b1b-683361b7d3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43ea-7ec7-4fd9-bde3-afd83a79485d}" ma:internalName="TaxCatchAll" ma:showField="CatchAllData" ma:web="89a3a055-6443-41f6-8b1b-683361b7d3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DC01-2436-4F96-A8D2-A4C1C09EDAB4}">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customXml/itemProps2.xml><?xml version="1.0" encoding="utf-8"?>
<ds:datastoreItem xmlns:ds="http://schemas.openxmlformats.org/officeDocument/2006/customXml" ds:itemID="{B3502A7E-67E1-4211-815A-7A2406A8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0dc0-04cd-43f3-a66e-d73a43064235"/>
    <ds:schemaRef ds:uri="89a3a055-6443-41f6-8b1b-683361b7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38BB-9C23-4E9E-8977-40C5A97E1CE4}">
  <ds:schemaRefs>
    <ds:schemaRef ds:uri="http://schemas.openxmlformats.org/officeDocument/2006/bibliography"/>
  </ds:schemaRefs>
</ds:datastoreItem>
</file>

<file path=customXml/itemProps4.xml><?xml version="1.0" encoding="utf-8"?>
<ds:datastoreItem xmlns:ds="http://schemas.openxmlformats.org/officeDocument/2006/customXml" ds:itemID="{1525F563-8C34-4CDC-8CB5-DAD084937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6836</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45711</CharactersWithSpaces>
  <SharedDoc>false</SharedDoc>
  <HLinks>
    <vt:vector size="156" baseType="variant">
      <vt:variant>
        <vt:i4>1900581</vt:i4>
      </vt:variant>
      <vt:variant>
        <vt:i4>99</vt:i4>
      </vt:variant>
      <vt:variant>
        <vt:i4>0</vt:i4>
      </vt:variant>
      <vt:variant>
        <vt:i4>5</vt:i4>
      </vt:variant>
      <vt:variant>
        <vt:lpwstr>mailto:laurie.leigh@nds.org.au</vt:lpwstr>
      </vt:variant>
      <vt:variant>
        <vt:lpwstr/>
      </vt:variant>
      <vt:variant>
        <vt:i4>1245235</vt:i4>
      </vt:variant>
      <vt:variant>
        <vt:i4>92</vt:i4>
      </vt:variant>
      <vt:variant>
        <vt:i4>0</vt:i4>
      </vt:variant>
      <vt:variant>
        <vt:i4>5</vt:i4>
      </vt:variant>
      <vt:variant>
        <vt:lpwstr/>
      </vt:variant>
      <vt:variant>
        <vt:lpwstr>_Toc122531327</vt:lpwstr>
      </vt:variant>
      <vt:variant>
        <vt:i4>1245235</vt:i4>
      </vt:variant>
      <vt:variant>
        <vt:i4>86</vt:i4>
      </vt:variant>
      <vt:variant>
        <vt:i4>0</vt:i4>
      </vt:variant>
      <vt:variant>
        <vt:i4>5</vt:i4>
      </vt:variant>
      <vt:variant>
        <vt:lpwstr/>
      </vt:variant>
      <vt:variant>
        <vt:lpwstr>_Toc122531326</vt:lpwstr>
      </vt:variant>
      <vt:variant>
        <vt:i4>1245235</vt:i4>
      </vt:variant>
      <vt:variant>
        <vt:i4>80</vt:i4>
      </vt:variant>
      <vt:variant>
        <vt:i4>0</vt:i4>
      </vt:variant>
      <vt:variant>
        <vt:i4>5</vt:i4>
      </vt:variant>
      <vt:variant>
        <vt:lpwstr/>
      </vt:variant>
      <vt:variant>
        <vt:lpwstr>_Toc122531325</vt:lpwstr>
      </vt:variant>
      <vt:variant>
        <vt:i4>1245235</vt:i4>
      </vt:variant>
      <vt:variant>
        <vt:i4>74</vt:i4>
      </vt:variant>
      <vt:variant>
        <vt:i4>0</vt:i4>
      </vt:variant>
      <vt:variant>
        <vt:i4>5</vt:i4>
      </vt:variant>
      <vt:variant>
        <vt:lpwstr/>
      </vt:variant>
      <vt:variant>
        <vt:lpwstr>_Toc122531324</vt:lpwstr>
      </vt:variant>
      <vt:variant>
        <vt:i4>1245235</vt:i4>
      </vt:variant>
      <vt:variant>
        <vt:i4>68</vt:i4>
      </vt:variant>
      <vt:variant>
        <vt:i4>0</vt:i4>
      </vt:variant>
      <vt:variant>
        <vt:i4>5</vt:i4>
      </vt:variant>
      <vt:variant>
        <vt:lpwstr/>
      </vt:variant>
      <vt:variant>
        <vt:lpwstr>_Toc122531323</vt:lpwstr>
      </vt:variant>
      <vt:variant>
        <vt:i4>1245235</vt:i4>
      </vt:variant>
      <vt:variant>
        <vt:i4>62</vt:i4>
      </vt:variant>
      <vt:variant>
        <vt:i4>0</vt:i4>
      </vt:variant>
      <vt:variant>
        <vt:i4>5</vt:i4>
      </vt:variant>
      <vt:variant>
        <vt:lpwstr/>
      </vt:variant>
      <vt:variant>
        <vt:lpwstr>_Toc122531322</vt:lpwstr>
      </vt:variant>
      <vt:variant>
        <vt:i4>1245235</vt:i4>
      </vt:variant>
      <vt:variant>
        <vt:i4>56</vt:i4>
      </vt:variant>
      <vt:variant>
        <vt:i4>0</vt:i4>
      </vt:variant>
      <vt:variant>
        <vt:i4>5</vt:i4>
      </vt:variant>
      <vt:variant>
        <vt:lpwstr/>
      </vt:variant>
      <vt:variant>
        <vt:lpwstr>_Toc122531321</vt:lpwstr>
      </vt:variant>
      <vt:variant>
        <vt:i4>1245235</vt:i4>
      </vt:variant>
      <vt:variant>
        <vt:i4>50</vt:i4>
      </vt:variant>
      <vt:variant>
        <vt:i4>0</vt:i4>
      </vt:variant>
      <vt:variant>
        <vt:i4>5</vt:i4>
      </vt:variant>
      <vt:variant>
        <vt:lpwstr/>
      </vt:variant>
      <vt:variant>
        <vt:lpwstr>_Toc122531320</vt:lpwstr>
      </vt:variant>
      <vt:variant>
        <vt:i4>1048627</vt:i4>
      </vt:variant>
      <vt:variant>
        <vt:i4>44</vt:i4>
      </vt:variant>
      <vt:variant>
        <vt:i4>0</vt:i4>
      </vt:variant>
      <vt:variant>
        <vt:i4>5</vt:i4>
      </vt:variant>
      <vt:variant>
        <vt:lpwstr/>
      </vt:variant>
      <vt:variant>
        <vt:lpwstr>_Toc122531319</vt:lpwstr>
      </vt:variant>
      <vt:variant>
        <vt:i4>1048627</vt:i4>
      </vt:variant>
      <vt:variant>
        <vt:i4>38</vt:i4>
      </vt:variant>
      <vt:variant>
        <vt:i4>0</vt:i4>
      </vt:variant>
      <vt:variant>
        <vt:i4>5</vt:i4>
      </vt:variant>
      <vt:variant>
        <vt:lpwstr/>
      </vt:variant>
      <vt:variant>
        <vt:lpwstr>_Toc122531318</vt:lpwstr>
      </vt:variant>
      <vt:variant>
        <vt:i4>1048627</vt:i4>
      </vt:variant>
      <vt:variant>
        <vt:i4>32</vt:i4>
      </vt:variant>
      <vt:variant>
        <vt:i4>0</vt:i4>
      </vt:variant>
      <vt:variant>
        <vt:i4>5</vt:i4>
      </vt:variant>
      <vt:variant>
        <vt:lpwstr/>
      </vt:variant>
      <vt:variant>
        <vt:lpwstr>_Toc122531317</vt:lpwstr>
      </vt:variant>
      <vt:variant>
        <vt:i4>1048627</vt:i4>
      </vt:variant>
      <vt:variant>
        <vt:i4>26</vt:i4>
      </vt:variant>
      <vt:variant>
        <vt:i4>0</vt:i4>
      </vt:variant>
      <vt:variant>
        <vt:i4>5</vt:i4>
      </vt:variant>
      <vt:variant>
        <vt:lpwstr/>
      </vt:variant>
      <vt:variant>
        <vt:lpwstr>_Toc122531316</vt:lpwstr>
      </vt:variant>
      <vt:variant>
        <vt:i4>1048627</vt:i4>
      </vt:variant>
      <vt:variant>
        <vt:i4>20</vt:i4>
      </vt:variant>
      <vt:variant>
        <vt:i4>0</vt:i4>
      </vt:variant>
      <vt:variant>
        <vt:i4>5</vt:i4>
      </vt:variant>
      <vt:variant>
        <vt:lpwstr/>
      </vt:variant>
      <vt:variant>
        <vt:lpwstr>_Toc122531315</vt:lpwstr>
      </vt:variant>
      <vt:variant>
        <vt:i4>1048627</vt:i4>
      </vt:variant>
      <vt:variant>
        <vt:i4>14</vt:i4>
      </vt:variant>
      <vt:variant>
        <vt:i4>0</vt:i4>
      </vt:variant>
      <vt:variant>
        <vt:i4>5</vt:i4>
      </vt:variant>
      <vt:variant>
        <vt:lpwstr/>
      </vt:variant>
      <vt:variant>
        <vt:lpwstr>_Toc122531314</vt:lpwstr>
      </vt:variant>
      <vt:variant>
        <vt:i4>1048627</vt:i4>
      </vt:variant>
      <vt:variant>
        <vt:i4>8</vt:i4>
      </vt:variant>
      <vt:variant>
        <vt:i4>0</vt:i4>
      </vt:variant>
      <vt:variant>
        <vt:i4>5</vt:i4>
      </vt:variant>
      <vt:variant>
        <vt:lpwstr/>
      </vt:variant>
      <vt:variant>
        <vt:lpwstr>_Toc122531313</vt:lpwstr>
      </vt:variant>
      <vt:variant>
        <vt:i4>1048627</vt:i4>
      </vt:variant>
      <vt:variant>
        <vt:i4>2</vt:i4>
      </vt:variant>
      <vt:variant>
        <vt:i4>0</vt:i4>
      </vt:variant>
      <vt:variant>
        <vt:i4>5</vt:i4>
      </vt:variant>
      <vt:variant>
        <vt:lpwstr/>
      </vt:variant>
      <vt:variant>
        <vt:lpwstr>_Toc122531312</vt:lpwstr>
      </vt:variant>
      <vt:variant>
        <vt:i4>3670131</vt:i4>
      </vt:variant>
      <vt:variant>
        <vt:i4>24</vt:i4>
      </vt:variant>
      <vt:variant>
        <vt:i4>0</vt:i4>
      </vt:variant>
      <vt:variant>
        <vt:i4>5</vt:i4>
      </vt:variant>
      <vt:variant>
        <vt:lpwstr>http://www.nds.org.au/index.php/policy-library/supported-independent-living-survey-results-2021</vt:lpwstr>
      </vt:variant>
      <vt:variant>
        <vt:lpwstr/>
      </vt:variant>
      <vt:variant>
        <vt:i4>7929978</vt:i4>
      </vt:variant>
      <vt:variant>
        <vt:i4>21</vt:i4>
      </vt:variant>
      <vt:variant>
        <vt:i4>0</vt:i4>
      </vt:variant>
      <vt:variant>
        <vt:i4>5</vt:i4>
      </vt:variant>
      <vt:variant>
        <vt:lpwstr>https://www.aph.gov.au/Parliamentary_Business/Committees/Joint/National_Disability_Insurance_Scheme/CapabilityandCulture/Submissions</vt:lpwstr>
      </vt:variant>
      <vt:variant>
        <vt:lpwstr/>
      </vt:variant>
      <vt:variant>
        <vt:i4>8126506</vt:i4>
      </vt:variant>
      <vt:variant>
        <vt:i4>18</vt:i4>
      </vt:variant>
      <vt:variant>
        <vt:i4>0</vt:i4>
      </vt:variant>
      <vt:variant>
        <vt:i4>5</vt:i4>
      </vt:variant>
      <vt:variant>
        <vt:lpwstr>https://www.nds.org.au/about/state-of-the-disability-sector-report</vt:lpwstr>
      </vt:variant>
      <vt:variant>
        <vt:lpwstr/>
      </vt:variant>
      <vt:variant>
        <vt:i4>8126506</vt:i4>
      </vt:variant>
      <vt:variant>
        <vt:i4>15</vt:i4>
      </vt:variant>
      <vt:variant>
        <vt:i4>0</vt:i4>
      </vt:variant>
      <vt:variant>
        <vt:i4>5</vt:i4>
      </vt:variant>
      <vt:variant>
        <vt:lpwstr>https://www.nds.org.au/about/state-of-the-disability-sector-report</vt:lpwstr>
      </vt:variant>
      <vt:variant>
        <vt:lpwstr/>
      </vt:variant>
      <vt:variant>
        <vt:i4>8126506</vt:i4>
      </vt:variant>
      <vt:variant>
        <vt:i4>12</vt:i4>
      </vt:variant>
      <vt:variant>
        <vt:i4>0</vt:i4>
      </vt:variant>
      <vt:variant>
        <vt:i4>5</vt:i4>
      </vt:variant>
      <vt:variant>
        <vt:lpwstr>https://www.nds.org.au/about/state-of-the-disability-sector-report</vt:lpwstr>
      </vt:variant>
      <vt:variant>
        <vt:lpwstr/>
      </vt:variant>
      <vt:variant>
        <vt:i4>8126506</vt:i4>
      </vt:variant>
      <vt:variant>
        <vt:i4>9</vt:i4>
      </vt:variant>
      <vt:variant>
        <vt:i4>0</vt:i4>
      </vt:variant>
      <vt:variant>
        <vt:i4>5</vt:i4>
      </vt:variant>
      <vt:variant>
        <vt:lpwstr>https://www.nds.org.au/about/state-of-the-disability-sector-report</vt:lpwstr>
      </vt:variant>
      <vt:variant>
        <vt:lpwstr/>
      </vt:variant>
      <vt:variant>
        <vt:i4>8126506</vt:i4>
      </vt:variant>
      <vt:variant>
        <vt:i4>6</vt:i4>
      </vt:variant>
      <vt:variant>
        <vt:i4>0</vt:i4>
      </vt:variant>
      <vt:variant>
        <vt:i4>5</vt:i4>
      </vt:variant>
      <vt:variant>
        <vt:lpwstr>https://www.nds.org.au/about/state-of-the-disability-sector-report</vt:lpwstr>
      </vt:variant>
      <vt:variant>
        <vt:lpwstr/>
      </vt:variant>
      <vt:variant>
        <vt:i4>8126506</vt:i4>
      </vt:variant>
      <vt:variant>
        <vt:i4>3</vt:i4>
      </vt:variant>
      <vt:variant>
        <vt:i4>0</vt:i4>
      </vt:variant>
      <vt:variant>
        <vt:i4>5</vt:i4>
      </vt:variant>
      <vt:variant>
        <vt:lpwstr>https://www.nds.org.au/about/state-of-the-disability-sector-report</vt:lpwstr>
      </vt:variant>
      <vt:variant>
        <vt:lpwstr/>
      </vt:variant>
      <vt:variant>
        <vt:i4>8126506</vt:i4>
      </vt:variant>
      <vt:variant>
        <vt:i4>0</vt:i4>
      </vt:variant>
      <vt:variant>
        <vt:i4>0</vt:i4>
      </vt:variant>
      <vt:variant>
        <vt:i4>5</vt:i4>
      </vt:variant>
      <vt:variant>
        <vt:lpwstr>https://www.nds.org.au/about/state-of-the-disability-sector-report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Birrell</dc:creator>
  <cp:keywords/>
  <dc:description/>
  <cp:lastModifiedBy>Karen Stace</cp:lastModifiedBy>
  <cp:revision>35</cp:revision>
  <cp:lastPrinted>2022-12-22T03:29:00Z</cp:lastPrinted>
  <dcterms:created xsi:type="dcterms:W3CDTF">2023-02-14T02:43:00Z</dcterms:created>
  <dcterms:modified xsi:type="dcterms:W3CDTF">2023-02-14T03:26:00Z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ies>
</file>