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B6D7" w14:textId="77777777" w:rsidR="00381105" w:rsidRDefault="00381105" w:rsidP="00381105">
      <w:pPr>
        <w:rPr>
          <w:rFonts w:cs="Arial"/>
          <w:b/>
          <w:lang w:val="en-US"/>
        </w:rPr>
      </w:pPr>
      <w:r>
        <w:rPr>
          <w:rFonts w:cs="Arial"/>
          <w:b/>
          <w:noProof/>
          <w:lang w:val="en-US"/>
        </w:rPr>
        <w:drawing>
          <wp:inline distT="0" distB="0" distL="0" distR="0" wp14:anchorId="554459DC" wp14:editId="3A383A2B">
            <wp:extent cx="2194560" cy="76835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768350"/>
                    </a:xfrm>
                    <a:prstGeom prst="rect">
                      <a:avLst/>
                    </a:prstGeom>
                    <a:noFill/>
                  </pic:spPr>
                </pic:pic>
              </a:graphicData>
            </a:graphic>
          </wp:inline>
        </w:drawing>
      </w:r>
    </w:p>
    <w:p w14:paraId="054F4826" w14:textId="77777777" w:rsidR="00381105" w:rsidRDefault="00381105" w:rsidP="000F5C98">
      <w:pPr>
        <w:pStyle w:val="Heading2"/>
        <w:rPr>
          <w:lang w:val="en-US"/>
        </w:rPr>
      </w:pPr>
    </w:p>
    <w:p w14:paraId="3392E812" w14:textId="77777777" w:rsidR="000F5C98" w:rsidRPr="000F5C98" w:rsidRDefault="000F5C98" w:rsidP="000F5C98">
      <w:pPr>
        <w:pStyle w:val="Title"/>
      </w:pPr>
      <w:r w:rsidRPr="000F5C98">
        <w:t>Submission in response to the Victorian Government Specialist Disability Accommodation Policies</w:t>
      </w:r>
    </w:p>
    <w:p w14:paraId="25DDD7FA" w14:textId="77777777" w:rsidR="000F5C98" w:rsidRPr="002169BA" w:rsidRDefault="000F5C98" w:rsidP="000F5C98">
      <w:pPr>
        <w:pStyle w:val="Subtitle"/>
        <w:rPr>
          <w:rStyle w:val="normaltextrun"/>
          <w:rFonts w:ascii="Arial" w:hAnsi="Arial"/>
          <w:b/>
          <w:bCs/>
          <w:sz w:val="36"/>
          <w:szCs w:val="36"/>
          <w:lang w:val="en-US"/>
        </w:rPr>
      </w:pPr>
      <w:r w:rsidRPr="278B2A38">
        <w:rPr>
          <w:rFonts w:ascii="Arial" w:eastAsia="Arial" w:hAnsi="Arial" w:cs="Arial"/>
          <w:lang w:val="en-US"/>
        </w:rPr>
        <w:t>3 November 2021</w:t>
      </w:r>
    </w:p>
    <w:p w14:paraId="4AB358B4" w14:textId="77777777" w:rsidR="000F5C98" w:rsidRDefault="000F5C98" w:rsidP="000F5C98">
      <w:pPr>
        <w:pStyle w:val="Subtitle"/>
        <w:rPr>
          <w:rFonts w:ascii="Arial" w:eastAsia="Arial" w:hAnsi="Arial" w:cs="Arial"/>
          <w:lang w:val="en-US"/>
        </w:rPr>
      </w:pPr>
    </w:p>
    <w:p w14:paraId="5D5EC4C9" w14:textId="77777777" w:rsidR="000F5C98" w:rsidRPr="0060405D" w:rsidRDefault="000F5C98" w:rsidP="000F5C98">
      <w:pPr>
        <w:pStyle w:val="Heading1"/>
        <w:rPr>
          <w:rFonts w:eastAsia="Arial" w:cs="Arial"/>
          <w:szCs w:val="36"/>
        </w:rPr>
      </w:pPr>
      <w:r w:rsidRPr="0060405D">
        <w:rPr>
          <w:rFonts w:eastAsia="Arial" w:cs="Arial"/>
          <w:szCs w:val="36"/>
        </w:rPr>
        <w:t>About National Disability Services (NDS)</w:t>
      </w:r>
    </w:p>
    <w:p w14:paraId="17B0333B" w14:textId="77777777" w:rsidR="000F5C98" w:rsidRPr="00CE3D3B" w:rsidRDefault="000F5C98" w:rsidP="000F5C98">
      <w:pPr>
        <w:pStyle w:val="paragraph"/>
        <w:spacing w:before="0" w:beforeAutospacing="0" w:after="0" w:afterAutospacing="0" w:line="360" w:lineRule="auto"/>
        <w:textAlignment w:val="baseline"/>
        <w:rPr>
          <w:rStyle w:val="normaltextrun"/>
          <w:rFonts w:ascii="Arial" w:hAnsi="Arial"/>
          <w:lang w:val="en"/>
        </w:rPr>
      </w:pPr>
      <w:r w:rsidRPr="278B2A38">
        <w:rPr>
          <w:rStyle w:val="normaltextrun"/>
          <w:rFonts w:ascii="Arial" w:hAnsi="Arial"/>
          <w:lang w:val="en"/>
        </w:rPr>
        <w:t>NDS is the peak body for non-government disability service providers, with more than 250 members in Victoria and over 1,080 members nationally.</w:t>
      </w:r>
    </w:p>
    <w:p w14:paraId="5DAA1A99" w14:textId="77777777" w:rsidR="000F5C98" w:rsidRPr="00CE3D3B" w:rsidRDefault="000F5C98" w:rsidP="000F5C98">
      <w:pPr>
        <w:pStyle w:val="paragraph"/>
        <w:spacing w:before="0" w:beforeAutospacing="0" w:after="0" w:afterAutospacing="0" w:line="360" w:lineRule="auto"/>
        <w:textAlignment w:val="baseline"/>
        <w:rPr>
          <w:rStyle w:val="normaltextrun"/>
          <w:rFonts w:ascii="Arial" w:hAnsi="Arial"/>
          <w:lang w:val="en"/>
        </w:rPr>
      </w:pPr>
    </w:p>
    <w:p w14:paraId="61CB5A50" w14:textId="77777777" w:rsidR="000F5C98" w:rsidRPr="00CE3D3B" w:rsidRDefault="000F5C98" w:rsidP="000F5C98">
      <w:pPr>
        <w:pStyle w:val="paragraph"/>
        <w:spacing w:before="0" w:beforeAutospacing="0" w:after="0" w:afterAutospacing="0" w:line="360" w:lineRule="auto"/>
        <w:textAlignment w:val="baseline"/>
        <w:rPr>
          <w:rStyle w:val="normaltextrun"/>
          <w:rFonts w:ascii="Arial" w:hAnsi="Arial"/>
          <w:lang w:val="en"/>
        </w:rPr>
      </w:pPr>
      <w:r w:rsidRPr="278B2A38">
        <w:rPr>
          <w:rStyle w:val="normaltextrun"/>
          <w:rFonts w:ascii="Arial" w:hAnsi="Arial"/>
          <w:lang w:val="en"/>
        </w:rPr>
        <w:t xml:space="preserve">NDS provides information and networking opportunities to its members and policy advice to State, Territory and Commonwealth governments. NDS’s diverse and vibrant membership of small, medium, and larger </w:t>
      </w:r>
      <w:proofErr w:type="spellStart"/>
      <w:r w:rsidRPr="278B2A38">
        <w:rPr>
          <w:rStyle w:val="normaltextrun"/>
          <w:rFonts w:ascii="Arial" w:hAnsi="Arial"/>
          <w:lang w:val="en"/>
        </w:rPr>
        <w:t>organisations</w:t>
      </w:r>
      <w:proofErr w:type="spellEnd"/>
      <w:r w:rsidRPr="278B2A38">
        <w:rPr>
          <w:rStyle w:val="normaltextrun"/>
          <w:rFonts w:ascii="Arial" w:hAnsi="Arial"/>
          <w:lang w:val="en"/>
        </w:rPr>
        <w:t xml:space="preserve"> directly and indirectly support thousands of people with disabilities in Victoria.</w:t>
      </w:r>
    </w:p>
    <w:p w14:paraId="51549D22" w14:textId="77777777" w:rsidR="000F5C98" w:rsidRPr="00CE3D3B" w:rsidRDefault="000F5C98" w:rsidP="000F5C98">
      <w:pPr>
        <w:pStyle w:val="paragraph"/>
        <w:spacing w:before="0" w:beforeAutospacing="0" w:after="0" w:afterAutospacing="0" w:line="360" w:lineRule="auto"/>
        <w:textAlignment w:val="baseline"/>
        <w:rPr>
          <w:rStyle w:val="normaltextrun"/>
          <w:rFonts w:ascii="Arial" w:hAnsi="Arial"/>
          <w:lang w:val="en"/>
        </w:rPr>
      </w:pPr>
    </w:p>
    <w:p w14:paraId="361CF4AC" w14:textId="77777777" w:rsidR="000F5C98" w:rsidRPr="00CE3D3B" w:rsidRDefault="000F5C98" w:rsidP="000F5C98">
      <w:pPr>
        <w:pStyle w:val="paragraph"/>
        <w:spacing w:before="0" w:beforeAutospacing="0" w:after="0" w:afterAutospacing="0" w:line="360" w:lineRule="auto"/>
        <w:textAlignment w:val="baseline"/>
        <w:rPr>
          <w:rStyle w:val="normaltextrun"/>
          <w:rFonts w:ascii="Arial" w:hAnsi="Arial"/>
          <w:lang w:val="en"/>
        </w:rPr>
      </w:pPr>
      <w:r w:rsidRPr="278B2A38">
        <w:rPr>
          <w:rStyle w:val="normaltextrun"/>
          <w:rFonts w:ascii="Arial" w:hAnsi="Arial"/>
          <w:lang w:val="en"/>
        </w:rPr>
        <w:t>NDS members collectively deliver the full range of disability services; from supported independent living assistance, specialist disability accommodation services, respite, therapy, community access and employment.</w:t>
      </w:r>
    </w:p>
    <w:p w14:paraId="0FE343BA" w14:textId="77777777" w:rsidR="000F5C98" w:rsidRPr="00CE3D3B" w:rsidRDefault="000F5C98" w:rsidP="000F5C98">
      <w:pPr>
        <w:pStyle w:val="paragraph"/>
        <w:spacing w:before="0" w:beforeAutospacing="0" w:after="0" w:afterAutospacing="0" w:line="360" w:lineRule="auto"/>
        <w:textAlignment w:val="baseline"/>
        <w:rPr>
          <w:rStyle w:val="normaltextrun"/>
          <w:rFonts w:ascii="Arial" w:hAnsi="Arial"/>
          <w:lang w:val="en"/>
        </w:rPr>
      </w:pPr>
    </w:p>
    <w:p w14:paraId="1CA9F6DC" w14:textId="77777777" w:rsidR="000F5C98" w:rsidRDefault="000F5C98" w:rsidP="000F5C98">
      <w:pPr>
        <w:pStyle w:val="paragraph"/>
        <w:spacing w:before="0" w:beforeAutospacing="0" w:after="0" w:afterAutospacing="0" w:line="360" w:lineRule="auto"/>
        <w:textAlignment w:val="baseline"/>
        <w:rPr>
          <w:rFonts w:ascii="Arial" w:eastAsia="Arial" w:hAnsi="Arial" w:cs="Arial"/>
          <w:lang w:val="en"/>
        </w:rPr>
      </w:pPr>
      <w:r w:rsidRPr="278B2A38">
        <w:rPr>
          <w:rFonts w:ascii="Arial" w:eastAsia="Arial" w:hAnsi="Arial" w:cs="Arial"/>
          <w:lang w:val="en"/>
        </w:rPr>
        <w:t xml:space="preserve">NDS joins other representative </w:t>
      </w:r>
      <w:proofErr w:type="spellStart"/>
      <w:r w:rsidRPr="278B2A38">
        <w:rPr>
          <w:rFonts w:ascii="Arial" w:eastAsia="Arial" w:hAnsi="Arial" w:cs="Arial"/>
          <w:lang w:val="en"/>
        </w:rPr>
        <w:t>organisations</w:t>
      </w:r>
      <w:proofErr w:type="spellEnd"/>
      <w:r w:rsidRPr="278B2A38">
        <w:rPr>
          <w:rFonts w:ascii="Arial" w:eastAsia="Arial" w:hAnsi="Arial" w:cs="Arial"/>
          <w:lang w:val="en"/>
        </w:rPr>
        <w:t xml:space="preserve"> including the Australian Federation of Disability </w:t>
      </w:r>
      <w:proofErr w:type="spellStart"/>
      <w:r w:rsidRPr="278B2A38">
        <w:rPr>
          <w:rFonts w:ascii="Arial" w:eastAsia="Arial" w:hAnsi="Arial" w:cs="Arial"/>
          <w:lang w:val="en"/>
        </w:rPr>
        <w:t>Organisations</w:t>
      </w:r>
      <w:proofErr w:type="spellEnd"/>
      <w:r w:rsidRPr="278B2A38">
        <w:rPr>
          <w:rFonts w:ascii="Arial" w:eastAsia="Arial" w:hAnsi="Arial" w:cs="Arial"/>
          <w:lang w:val="en"/>
        </w:rPr>
        <w:t>, People with Disability Australia, the Australian Association of Gerontology, among many others, in advocating for the inclusion of mandatory accessibility standards within Australia’s National Building Code.</w:t>
      </w:r>
    </w:p>
    <w:p w14:paraId="3F7029EB" w14:textId="77777777" w:rsidR="000F5C98" w:rsidRPr="0060405D" w:rsidRDefault="000F5C98" w:rsidP="000F5C98">
      <w:pPr>
        <w:pStyle w:val="Heading2"/>
      </w:pPr>
      <w:r w:rsidRPr="0060405D">
        <w:t>Background</w:t>
      </w:r>
    </w:p>
    <w:p w14:paraId="4D04E799" w14:textId="77777777" w:rsidR="000F5C98" w:rsidRDefault="000F5C98" w:rsidP="000F5C98">
      <w:pPr>
        <w:spacing w:after="240" w:line="360" w:lineRule="auto"/>
        <w:jc w:val="both"/>
        <w:rPr>
          <w:rFonts w:eastAsia="Arial" w:cs="Arial"/>
        </w:rPr>
      </w:pPr>
      <w:r w:rsidRPr="278B2A38">
        <w:rPr>
          <w:rFonts w:eastAsia="Arial" w:cs="Arial"/>
        </w:rPr>
        <w:t xml:space="preserve">The Victorian Government, through the Department of Families, Fairness and Housing (DFFH), owns a substantial proportion of the Specialist Disability Accommodation </w:t>
      </w:r>
      <w:r w:rsidRPr="278B2A38">
        <w:rPr>
          <w:rFonts w:eastAsia="Arial" w:cs="Arial"/>
        </w:rPr>
        <w:lastRenderedPageBreak/>
        <w:t>(SDA) in Victoria. The department is reviewing its policies about how it manages its SDA.</w:t>
      </w:r>
    </w:p>
    <w:p w14:paraId="5035C082" w14:textId="77777777" w:rsidR="000F5C98" w:rsidRDefault="000F5C98" w:rsidP="000F5C98">
      <w:pPr>
        <w:spacing w:after="240" w:line="360" w:lineRule="auto"/>
        <w:jc w:val="both"/>
        <w:rPr>
          <w:rFonts w:eastAsia="Arial" w:cs="Arial"/>
        </w:rPr>
      </w:pPr>
      <w:r w:rsidRPr="278B2A38">
        <w:rPr>
          <w:rFonts w:eastAsia="Arial" w:cs="Arial"/>
        </w:rPr>
        <w:t xml:space="preserve">Following the release of the draft </w:t>
      </w:r>
      <w:hyperlink r:id="rId12">
        <w:r w:rsidRPr="278B2A38">
          <w:rPr>
            <w:rStyle w:val="Hyperlink"/>
            <w:rFonts w:eastAsia="Arial" w:cs="Arial"/>
          </w:rPr>
          <w:t>DFFH collaboration agreements with Victorian SIL providers</w:t>
        </w:r>
      </w:hyperlink>
      <w:r w:rsidRPr="278B2A38">
        <w:rPr>
          <w:rFonts w:eastAsia="Arial" w:cs="Arial"/>
        </w:rPr>
        <w:t xml:space="preserve"> and extensive consultation with Victorian service providers, NDS welcomes the opportunity to provide further feedback on the following draft DFFH SDA policies and procedures:</w:t>
      </w:r>
    </w:p>
    <w:p w14:paraId="39271298" w14:textId="77777777" w:rsidR="000F5C98" w:rsidRPr="00864C04" w:rsidRDefault="000F5C98" w:rsidP="000F5C98">
      <w:pPr>
        <w:pStyle w:val="ListParagraph"/>
        <w:numPr>
          <w:ilvl w:val="0"/>
          <w:numId w:val="39"/>
        </w:numPr>
        <w:spacing w:after="240" w:line="360" w:lineRule="auto"/>
        <w:jc w:val="both"/>
        <w:rPr>
          <w:rFonts w:eastAsia="Arial" w:cs="Arial"/>
        </w:rPr>
      </w:pPr>
      <w:r w:rsidRPr="278B2A38">
        <w:rPr>
          <w:rFonts w:eastAsia="Arial" w:cs="Arial"/>
        </w:rPr>
        <w:t>Business practice manual</w:t>
      </w:r>
    </w:p>
    <w:p w14:paraId="2B01231E" w14:textId="77777777" w:rsidR="000F5C98" w:rsidRPr="00864C04" w:rsidRDefault="000F5C98" w:rsidP="000F5C98">
      <w:pPr>
        <w:pStyle w:val="ListParagraph"/>
        <w:numPr>
          <w:ilvl w:val="0"/>
          <w:numId w:val="39"/>
        </w:numPr>
        <w:spacing w:after="240" w:line="360" w:lineRule="auto"/>
        <w:jc w:val="both"/>
        <w:rPr>
          <w:rFonts w:eastAsia="Arial" w:cs="Arial"/>
        </w:rPr>
      </w:pPr>
      <w:r w:rsidRPr="278B2A38">
        <w:rPr>
          <w:rFonts w:eastAsia="Arial" w:cs="Arial"/>
        </w:rPr>
        <w:t>Offering residency in SDA manual</w:t>
      </w:r>
    </w:p>
    <w:p w14:paraId="65ACFDD4" w14:textId="77777777" w:rsidR="000F5C98" w:rsidRPr="00864C04" w:rsidRDefault="000F5C98" w:rsidP="000F5C98">
      <w:pPr>
        <w:pStyle w:val="ListParagraph"/>
        <w:numPr>
          <w:ilvl w:val="0"/>
          <w:numId w:val="39"/>
        </w:numPr>
        <w:spacing w:after="240" w:line="360" w:lineRule="auto"/>
        <w:jc w:val="both"/>
        <w:rPr>
          <w:rFonts w:eastAsia="Arial" w:cs="Arial"/>
        </w:rPr>
      </w:pPr>
      <w:r w:rsidRPr="278B2A38">
        <w:rPr>
          <w:rFonts w:eastAsia="Arial" w:cs="Arial"/>
        </w:rPr>
        <w:t>Residency management manual</w:t>
      </w:r>
    </w:p>
    <w:p w14:paraId="3892963E" w14:textId="77777777" w:rsidR="000F5C98" w:rsidRPr="00864C04" w:rsidRDefault="000F5C98" w:rsidP="000F5C98">
      <w:pPr>
        <w:pStyle w:val="ListParagraph"/>
        <w:numPr>
          <w:ilvl w:val="0"/>
          <w:numId w:val="39"/>
        </w:numPr>
        <w:spacing w:after="240" w:line="360" w:lineRule="auto"/>
        <w:jc w:val="both"/>
        <w:rPr>
          <w:rFonts w:eastAsia="Arial" w:cs="Arial"/>
        </w:rPr>
      </w:pPr>
      <w:r w:rsidRPr="278B2A38">
        <w:rPr>
          <w:rFonts w:eastAsia="Arial" w:cs="Arial"/>
        </w:rPr>
        <w:t>Maintenance and property management manual</w:t>
      </w:r>
    </w:p>
    <w:p w14:paraId="6A9A9566" w14:textId="77777777" w:rsidR="000F5C98" w:rsidRPr="00173341" w:rsidRDefault="000F5C98" w:rsidP="000F5C98">
      <w:pPr>
        <w:spacing w:after="240" w:line="360" w:lineRule="auto"/>
        <w:rPr>
          <w:rFonts w:eastAsia="Arial" w:cs="Arial"/>
        </w:rPr>
      </w:pPr>
      <w:r w:rsidRPr="278B2A38">
        <w:rPr>
          <w:rFonts w:eastAsia="Arial" w:cs="Arial"/>
        </w:rPr>
        <w:t xml:space="preserve">NDS is keen to support Victorian service providers to thrive within the complex SDA quality and safeguarding regulatory environment. We support people with disabilities being able to experience choice and control </w:t>
      </w:r>
      <w:proofErr w:type="gramStart"/>
      <w:r w:rsidRPr="278B2A38">
        <w:rPr>
          <w:rFonts w:eastAsia="Arial" w:cs="Arial"/>
        </w:rPr>
        <w:t>in regard to</w:t>
      </w:r>
      <w:proofErr w:type="gramEnd"/>
      <w:r w:rsidRPr="278B2A38">
        <w:rPr>
          <w:rFonts w:eastAsia="Arial" w:cs="Arial"/>
        </w:rPr>
        <w:t xml:space="preserve"> their housing, as much as possible, in line with the key principle of the </w:t>
      </w:r>
      <w:r w:rsidRPr="278B2A38">
        <w:rPr>
          <w:rFonts w:eastAsia="Arial" w:cs="Arial"/>
          <w:i/>
          <w:iCs/>
        </w:rPr>
        <w:t>NDIS Act 2013.</w:t>
      </w:r>
    </w:p>
    <w:p w14:paraId="476251D5" w14:textId="77777777" w:rsidR="000F5C98" w:rsidRDefault="000F5C98" w:rsidP="000F5C98">
      <w:pPr>
        <w:pStyle w:val="Heading2"/>
      </w:pPr>
      <w:r w:rsidRPr="278B2A38">
        <w:t>NDS Comments</w:t>
      </w:r>
    </w:p>
    <w:p w14:paraId="21EA21D0" w14:textId="77777777" w:rsidR="000F5C98" w:rsidRPr="00DA43F8" w:rsidRDefault="000F5C98" w:rsidP="000F5C98">
      <w:pPr>
        <w:pStyle w:val="paragraph"/>
        <w:spacing w:before="120" w:beforeAutospacing="0" w:after="240" w:afterAutospacing="0" w:line="360" w:lineRule="auto"/>
        <w:textAlignment w:val="baseline"/>
        <w:rPr>
          <w:rStyle w:val="eop"/>
          <w:rFonts w:ascii="Arial" w:eastAsia="Arial" w:hAnsi="Arial" w:cs="Arial"/>
          <w:strike/>
        </w:rPr>
      </w:pPr>
      <w:r w:rsidRPr="278B2A38">
        <w:rPr>
          <w:rStyle w:val="normaltextrun"/>
          <w:rFonts w:ascii="Arial" w:hAnsi="Arial"/>
        </w:rPr>
        <w:t xml:space="preserve">NDS urges the Victorian Government to consider the following comments </w:t>
      </w:r>
      <w:proofErr w:type="gramStart"/>
      <w:r w:rsidRPr="278B2A38">
        <w:rPr>
          <w:rStyle w:val="normaltextrun"/>
          <w:rFonts w:ascii="Arial" w:hAnsi="Arial"/>
        </w:rPr>
        <w:t>in regard to</w:t>
      </w:r>
      <w:proofErr w:type="gramEnd"/>
      <w:r w:rsidRPr="278B2A38">
        <w:rPr>
          <w:rStyle w:val="normaltextrun"/>
          <w:rFonts w:ascii="Arial" w:hAnsi="Arial"/>
        </w:rPr>
        <w:t xml:space="preserve"> each of four policy documents:</w:t>
      </w:r>
    </w:p>
    <w:p w14:paraId="2E1FDC57" w14:textId="77777777" w:rsidR="000F5C98" w:rsidRPr="000F5C98" w:rsidRDefault="000F5C98" w:rsidP="000F5C98">
      <w:pPr>
        <w:pStyle w:val="Heading3"/>
        <w:rPr>
          <w:rStyle w:val="normaltextrun"/>
          <w:b w:val="0"/>
          <w:bCs/>
        </w:rPr>
      </w:pPr>
      <w:r w:rsidRPr="000F5C98">
        <w:rPr>
          <w:rStyle w:val="normaltextrun"/>
          <w:b w:val="0"/>
          <w:bCs/>
        </w:rPr>
        <w:t>Business Practice Manual</w:t>
      </w:r>
    </w:p>
    <w:p w14:paraId="1754BCCA" w14:textId="77777777" w:rsidR="000F5C98" w:rsidRPr="002D38B1" w:rsidRDefault="000F5C98" w:rsidP="000F5C98">
      <w:pPr>
        <w:pStyle w:val="paragraph"/>
        <w:spacing w:before="120" w:beforeAutospacing="0" w:after="240" w:afterAutospacing="0" w:line="360" w:lineRule="auto"/>
        <w:textAlignment w:val="baseline"/>
        <w:rPr>
          <w:rStyle w:val="normaltextrun"/>
          <w:rFonts w:ascii="Arial" w:hAnsi="Arial"/>
        </w:rPr>
      </w:pPr>
      <w:r w:rsidRPr="278B2A38">
        <w:rPr>
          <w:rStyle w:val="normaltextrun"/>
          <w:rFonts w:ascii="Arial" w:hAnsi="Arial"/>
        </w:rPr>
        <w:t>NDS welcomes the reference to the Victorian Human Rights Charter within the Business Practice Manual. We also welcome the requirement for all staff to complete the Charter of Human Rights and responsibilities eLearning module.</w:t>
      </w:r>
    </w:p>
    <w:p w14:paraId="28DB5A4A" w14:textId="77777777" w:rsidR="000F5C98" w:rsidRPr="00BB39F7" w:rsidRDefault="000F5C98" w:rsidP="000F5C98">
      <w:pPr>
        <w:pStyle w:val="paragraph"/>
        <w:spacing w:before="120" w:beforeAutospacing="0" w:after="240" w:afterAutospacing="0" w:line="360" w:lineRule="auto"/>
        <w:textAlignment w:val="baseline"/>
        <w:rPr>
          <w:rStyle w:val="normaltextrun"/>
          <w:rFonts w:ascii="Arial" w:hAnsi="Arial"/>
        </w:rPr>
      </w:pPr>
      <w:r w:rsidRPr="278B2A38">
        <w:rPr>
          <w:rStyle w:val="normaltextrun"/>
          <w:rFonts w:ascii="Arial" w:hAnsi="Arial"/>
        </w:rPr>
        <w:t>We do note, however, that the manual does not specify whether the term ‘staff’ refers only to employees of the department, or whether this requirement extends to staff of the SIL provider organisation.</w:t>
      </w:r>
    </w:p>
    <w:p w14:paraId="0223989C" w14:textId="77777777" w:rsidR="000F5C98" w:rsidRPr="002D38B1" w:rsidRDefault="000F5C98" w:rsidP="000F5C98">
      <w:pPr>
        <w:pStyle w:val="paragraph"/>
        <w:spacing w:before="120" w:beforeAutospacing="0" w:after="240" w:afterAutospacing="0" w:line="360" w:lineRule="auto"/>
        <w:textAlignment w:val="baseline"/>
        <w:rPr>
          <w:rStyle w:val="normaltextrun"/>
          <w:rFonts w:ascii="Arial" w:hAnsi="Arial"/>
        </w:rPr>
      </w:pPr>
      <w:r w:rsidRPr="278B2A38">
        <w:rPr>
          <w:rStyle w:val="normaltextrun"/>
          <w:rFonts w:ascii="Arial" w:hAnsi="Arial"/>
        </w:rPr>
        <w:t>NDS notes that the ‘Information Privacy’ section of the manual also lacks clarity around the persons subject to the responsibilities. While we strongly support the implementation of the robust privacy protections outlined in the manual, we note that further clarity is needed around whether this requirement extends to staff in the support provider organisation.</w:t>
      </w:r>
    </w:p>
    <w:p w14:paraId="2AA25657" w14:textId="77777777" w:rsidR="000F5C98" w:rsidRPr="002D38B1" w:rsidRDefault="000F5C98" w:rsidP="000F5C98">
      <w:pPr>
        <w:pStyle w:val="paragraph"/>
        <w:spacing w:before="120" w:beforeAutospacing="0" w:after="240" w:afterAutospacing="0" w:line="360" w:lineRule="auto"/>
        <w:textAlignment w:val="baseline"/>
        <w:rPr>
          <w:rStyle w:val="normaltextrun"/>
          <w:rFonts w:ascii="Arial" w:hAnsi="Arial"/>
        </w:rPr>
      </w:pPr>
      <w:r w:rsidRPr="278B2A38">
        <w:rPr>
          <w:rStyle w:val="normaltextrun"/>
          <w:rFonts w:ascii="Arial" w:hAnsi="Arial"/>
        </w:rPr>
        <w:lastRenderedPageBreak/>
        <w:t>The same issue arises later in the document, particularly around the role of staff in handling complaints. It is unclear what role SIL providers have in handling complaints related to SDA supports under the current manual.</w:t>
      </w:r>
    </w:p>
    <w:p w14:paraId="30D70DE4" w14:textId="77777777" w:rsidR="000F5C98" w:rsidRPr="002D38B1" w:rsidRDefault="000F5C98" w:rsidP="000F5C98">
      <w:pPr>
        <w:pStyle w:val="paragraph"/>
        <w:spacing w:before="120" w:beforeAutospacing="0" w:after="240" w:afterAutospacing="0" w:line="360" w:lineRule="auto"/>
        <w:textAlignment w:val="baseline"/>
        <w:rPr>
          <w:rStyle w:val="normaltextrun"/>
          <w:rFonts w:ascii="Arial" w:hAnsi="Arial"/>
        </w:rPr>
      </w:pPr>
      <w:r w:rsidRPr="278B2A38">
        <w:rPr>
          <w:rStyle w:val="normaltextrun"/>
          <w:rFonts w:ascii="Arial" w:hAnsi="Arial"/>
        </w:rPr>
        <w:t>NDS welcomes the department’s commitment to ensuring that SDA residents and the people who support them have access to information about SDA in the language, mode of communication and terms that each resident is most likely to understand, including through the provision of Easy English information on the DFFH website and access to interpreting and translating services.</w:t>
      </w:r>
    </w:p>
    <w:p w14:paraId="453CBCD8" w14:textId="77777777" w:rsidR="000F5C98" w:rsidRDefault="000F5C98" w:rsidP="000F5C98">
      <w:pPr>
        <w:pStyle w:val="paragraph"/>
        <w:spacing w:before="120" w:beforeAutospacing="0" w:after="240" w:afterAutospacing="0" w:line="360" w:lineRule="auto"/>
        <w:textAlignment w:val="baseline"/>
        <w:rPr>
          <w:rStyle w:val="normaltextrun"/>
          <w:rFonts w:ascii="Arial" w:hAnsi="Arial"/>
        </w:rPr>
      </w:pPr>
      <w:r w:rsidRPr="278B2A38">
        <w:rPr>
          <w:rStyle w:val="normaltextrun"/>
          <w:rFonts w:ascii="Arial" w:hAnsi="Arial"/>
        </w:rPr>
        <w:t>We would note, however, that there is no reference within the manual about who is required to pay for these services. NDS encourages the department to include a clause in the manual noting that the department (the SDA Provider) will pay for interpreting and translation services for SDA-related communications.</w:t>
      </w:r>
    </w:p>
    <w:p w14:paraId="46257C37" w14:textId="77777777" w:rsidR="000F5C98" w:rsidRPr="00DE3E34" w:rsidRDefault="000F5C98" w:rsidP="000F5C98">
      <w:pPr>
        <w:pStyle w:val="paragraph"/>
        <w:spacing w:before="120" w:beforeAutospacing="0" w:after="240" w:afterAutospacing="0" w:line="360" w:lineRule="auto"/>
        <w:textAlignment w:val="baseline"/>
        <w:rPr>
          <w:rStyle w:val="normaltextrun"/>
          <w:rFonts w:ascii="Arial" w:hAnsi="Arial"/>
        </w:rPr>
      </w:pPr>
      <w:r w:rsidRPr="278B2A38">
        <w:rPr>
          <w:rStyle w:val="normaltextrun"/>
          <w:rFonts w:ascii="Arial" w:hAnsi="Arial"/>
        </w:rPr>
        <w:t xml:space="preserve">NDS strongly supports the department’s </w:t>
      </w:r>
      <w:hyperlink r:id="rId13">
        <w:r w:rsidRPr="278B2A38">
          <w:rPr>
            <w:rStyle w:val="Hyperlink"/>
            <w:rFonts w:ascii="Arial" w:eastAsia="Arial" w:hAnsi="Arial" w:cs="Arial"/>
          </w:rPr>
          <w:t>Client Services Charter</w:t>
        </w:r>
      </w:hyperlink>
      <w:r w:rsidRPr="278B2A38">
        <w:rPr>
          <w:rStyle w:val="normaltextrun"/>
          <w:rFonts w:ascii="Arial" w:hAnsi="Arial"/>
        </w:rPr>
        <w:t xml:space="preserve"> standards of service to SDA residents, which provides clear protections of an SDA resident's right to privacy and respect, as well as their rights to contact the SDA provider, to access information, to be involved in decision making, and to make a complaint. NDS notes the importance of ensuring that the personal information of residents is kept confidential, that SDA residents </w:t>
      </w:r>
      <w:proofErr w:type="gramStart"/>
      <w:r w:rsidRPr="278B2A38">
        <w:rPr>
          <w:rStyle w:val="normaltextrun"/>
          <w:rFonts w:ascii="Arial" w:hAnsi="Arial"/>
        </w:rPr>
        <w:t>are able to</w:t>
      </w:r>
      <w:proofErr w:type="gramEnd"/>
      <w:r w:rsidRPr="278B2A38">
        <w:rPr>
          <w:rStyle w:val="normaltextrun"/>
          <w:rFonts w:ascii="Arial" w:hAnsi="Arial"/>
        </w:rPr>
        <w:t xml:space="preserve"> access clear information about their services and rights, and that SDA residents are able to freely make complaints.</w:t>
      </w:r>
    </w:p>
    <w:p w14:paraId="271B2A57" w14:textId="77777777" w:rsidR="000F5C98" w:rsidRPr="00DE3E34" w:rsidRDefault="000F5C98" w:rsidP="000F5C98">
      <w:pPr>
        <w:pStyle w:val="paragraph"/>
        <w:spacing w:before="120" w:beforeAutospacing="0" w:after="240" w:afterAutospacing="0" w:line="360" w:lineRule="auto"/>
        <w:rPr>
          <w:rStyle w:val="normaltextrun"/>
          <w:rFonts w:ascii="Arial" w:hAnsi="Arial"/>
        </w:rPr>
      </w:pPr>
      <w:r w:rsidRPr="278B2A38">
        <w:rPr>
          <w:rStyle w:val="normaltextrun"/>
          <w:rFonts w:ascii="Arial" w:hAnsi="Arial"/>
        </w:rPr>
        <w:t>SIL providers often play a key role in supporting participants to access information about their rights as SDA residents. NDS understands that at times, participants and families may become concerned when they receive SDA information directly from government and often seek advice and assistance from the SIL provider. NDS encourages the department to inform SIL providers in advance of distributing any communications, and to provide SIL providers with adequate resources to enable them to support participants to understand any information distributed by the department.</w:t>
      </w:r>
    </w:p>
    <w:p w14:paraId="583415B5" w14:textId="77777777" w:rsidR="000F5C98" w:rsidRPr="00DE3E34" w:rsidRDefault="000F5C98" w:rsidP="000F5C98">
      <w:pPr>
        <w:pStyle w:val="paragraph"/>
        <w:spacing w:before="120" w:beforeAutospacing="0" w:after="240" w:afterAutospacing="0" w:line="360" w:lineRule="auto"/>
        <w:rPr>
          <w:rStyle w:val="normaltextrun"/>
          <w:rFonts w:ascii="Arial" w:hAnsi="Arial"/>
        </w:rPr>
      </w:pPr>
      <w:r w:rsidRPr="278B2A38">
        <w:rPr>
          <w:rStyle w:val="normaltextrun"/>
          <w:rFonts w:ascii="Arial" w:hAnsi="Arial"/>
        </w:rPr>
        <w:t xml:space="preserve">NDS encourages the department to continue to work closely with SIL providers in the development and circulation of information to SDA residents in an ongoing </w:t>
      </w:r>
      <w:proofErr w:type="gramStart"/>
      <w:r w:rsidRPr="278B2A38">
        <w:rPr>
          <w:rStyle w:val="normaltextrun"/>
          <w:rFonts w:ascii="Arial" w:hAnsi="Arial"/>
        </w:rPr>
        <w:t>capacity, and</w:t>
      </w:r>
      <w:proofErr w:type="gramEnd"/>
      <w:r w:rsidRPr="278B2A38">
        <w:rPr>
          <w:rStyle w:val="normaltextrun"/>
          <w:rFonts w:ascii="Arial" w:hAnsi="Arial"/>
        </w:rPr>
        <w:t xml:space="preserve"> arrange for timely distribution of SDA documents to SIL providers and SDA residents.</w:t>
      </w:r>
    </w:p>
    <w:p w14:paraId="6131B33E" w14:textId="77777777" w:rsidR="000F5C98" w:rsidRDefault="000F5C98" w:rsidP="000F5C98">
      <w:pPr>
        <w:pStyle w:val="paragraph"/>
        <w:spacing w:before="120" w:beforeAutospacing="0" w:after="240" w:afterAutospacing="0" w:line="360" w:lineRule="auto"/>
        <w:rPr>
          <w:rStyle w:val="normaltextrun"/>
          <w:rFonts w:ascii="Arial" w:hAnsi="Arial"/>
        </w:rPr>
      </w:pPr>
      <w:r w:rsidRPr="278B2A38">
        <w:rPr>
          <w:rStyle w:val="normaltextrun"/>
          <w:rFonts w:ascii="Arial" w:hAnsi="Arial"/>
        </w:rPr>
        <w:lastRenderedPageBreak/>
        <w:t>It would be beneficial for the department to adopt an ongoing review and consultative approach with SIL providers, with perhaps a review in 6 to 12 months after SDA policy implementation. Often it is through policy implementation that issues are identified for further policy refinement.</w:t>
      </w:r>
    </w:p>
    <w:p w14:paraId="4AB64058" w14:textId="77777777" w:rsidR="000F5C98" w:rsidRPr="000F5C98" w:rsidRDefault="000F5C98" w:rsidP="000F5C98">
      <w:pPr>
        <w:pStyle w:val="Heading3"/>
        <w:rPr>
          <w:rStyle w:val="normaltextrun"/>
        </w:rPr>
      </w:pPr>
      <w:r w:rsidRPr="000F5C98">
        <w:rPr>
          <w:rStyle w:val="normaltextrun"/>
        </w:rPr>
        <w:t>Offering Residency in SDA Manual</w:t>
      </w:r>
    </w:p>
    <w:p w14:paraId="4CCF3C3F" w14:textId="77777777" w:rsidR="000F5C98" w:rsidRDefault="000F5C98" w:rsidP="000F5C98">
      <w:pPr>
        <w:pStyle w:val="paragraph"/>
        <w:spacing w:before="120" w:beforeAutospacing="0" w:after="240" w:afterAutospacing="0" w:line="360" w:lineRule="auto"/>
        <w:textAlignment w:val="baseline"/>
        <w:rPr>
          <w:rFonts w:ascii="Arial" w:eastAsia="Arial" w:hAnsi="Arial" w:cs="Arial"/>
          <w:lang w:val="en-US"/>
        </w:rPr>
      </w:pPr>
      <w:r w:rsidRPr="278B2A38">
        <w:rPr>
          <w:rFonts w:ascii="Arial" w:eastAsia="Arial" w:hAnsi="Arial" w:cs="Arial"/>
          <w:lang w:val="en-US"/>
        </w:rPr>
        <w:t>NDS welcomes the department’s acknowledgement in the Offering Residency in SDA Manual that filling a vacancy in an SDA ‘is a collaborative process between SDA residents, SIL providers and department staff’. We welcome the spelling out of the roles for each of these parties in the policy.</w:t>
      </w:r>
    </w:p>
    <w:p w14:paraId="45471347" w14:textId="77777777" w:rsidR="000F5C98" w:rsidRDefault="000F5C98" w:rsidP="000F5C98">
      <w:pPr>
        <w:pStyle w:val="paragraph"/>
        <w:spacing w:before="120" w:beforeAutospacing="0" w:after="240" w:afterAutospacing="0" w:line="360" w:lineRule="auto"/>
        <w:textAlignment w:val="baseline"/>
        <w:rPr>
          <w:rFonts w:ascii="Arial" w:eastAsia="Arial" w:hAnsi="Arial" w:cs="Arial"/>
          <w:lang w:val="en-US"/>
        </w:rPr>
      </w:pPr>
      <w:r w:rsidRPr="278B2A38">
        <w:rPr>
          <w:rFonts w:ascii="Arial" w:eastAsia="Arial" w:hAnsi="Arial" w:cs="Arial"/>
          <w:lang w:val="en-US"/>
        </w:rPr>
        <w:t>NDS also welcomes the spelling out of policy principles for Offering Residency in departmental-owned SDA:</w:t>
      </w:r>
    </w:p>
    <w:p w14:paraId="52BB7531" w14:textId="77777777" w:rsidR="000F5C98" w:rsidRPr="00872409" w:rsidRDefault="000F5C98" w:rsidP="000F5C98">
      <w:pPr>
        <w:pStyle w:val="paragraph"/>
        <w:numPr>
          <w:ilvl w:val="0"/>
          <w:numId w:val="40"/>
        </w:numPr>
        <w:spacing w:before="120" w:after="240" w:line="360" w:lineRule="auto"/>
        <w:textAlignment w:val="baseline"/>
        <w:rPr>
          <w:rFonts w:ascii="Arial" w:eastAsia="Arial" w:hAnsi="Arial" w:cs="Arial"/>
          <w:lang w:val="en-US"/>
        </w:rPr>
      </w:pPr>
      <w:r w:rsidRPr="278B2A38">
        <w:rPr>
          <w:rFonts w:ascii="Arial" w:eastAsia="Arial" w:hAnsi="Arial" w:cs="Arial"/>
          <w:lang w:val="en-US"/>
        </w:rPr>
        <w:t>‘</w:t>
      </w:r>
      <w:proofErr w:type="gramStart"/>
      <w:r w:rsidRPr="278B2A38">
        <w:rPr>
          <w:rFonts w:ascii="Arial" w:eastAsia="Arial" w:hAnsi="Arial" w:cs="Arial"/>
          <w:b/>
          <w:bCs/>
          <w:lang w:val="en-US"/>
        </w:rPr>
        <w:t>collaboration</w:t>
      </w:r>
      <w:proofErr w:type="gramEnd"/>
      <w:r w:rsidRPr="278B2A38">
        <w:rPr>
          <w:rFonts w:ascii="Arial" w:eastAsia="Arial" w:hAnsi="Arial" w:cs="Arial"/>
          <w:lang w:val="en-US"/>
        </w:rPr>
        <w:t>: people most impacted by decisions – including current residents and the SIL provider – are included in decision making</w:t>
      </w:r>
    </w:p>
    <w:p w14:paraId="7C8BAFF0" w14:textId="77777777" w:rsidR="000F5C98" w:rsidRPr="00872409" w:rsidRDefault="000F5C98" w:rsidP="000F5C98">
      <w:pPr>
        <w:pStyle w:val="paragraph"/>
        <w:numPr>
          <w:ilvl w:val="0"/>
          <w:numId w:val="40"/>
        </w:numPr>
        <w:spacing w:before="120" w:after="240" w:line="360" w:lineRule="auto"/>
        <w:textAlignment w:val="baseline"/>
        <w:rPr>
          <w:rFonts w:ascii="Arial" w:eastAsia="Arial" w:hAnsi="Arial" w:cs="Arial"/>
          <w:lang w:val="en-US"/>
        </w:rPr>
      </w:pPr>
      <w:r w:rsidRPr="278B2A38">
        <w:rPr>
          <w:rFonts w:ascii="Arial" w:eastAsia="Arial" w:hAnsi="Arial" w:cs="Arial"/>
          <w:b/>
          <w:bCs/>
          <w:lang w:val="en-US"/>
        </w:rPr>
        <w:t>equity</w:t>
      </w:r>
      <w:r w:rsidRPr="278B2A38">
        <w:rPr>
          <w:rFonts w:ascii="Arial" w:eastAsia="Arial" w:hAnsi="Arial" w:cs="Arial"/>
          <w:lang w:val="en-US"/>
        </w:rPr>
        <w:t>: eligible participants are considered for SDA in a fair and transparent manner</w:t>
      </w:r>
    </w:p>
    <w:p w14:paraId="15E993E9" w14:textId="77777777" w:rsidR="000F5C98" w:rsidRPr="00872409" w:rsidRDefault="000F5C98" w:rsidP="000F5C98">
      <w:pPr>
        <w:pStyle w:val="paragraph"/>
        <w:numPr>
          <w:ilvl w:val="0"/>
          <w:numId w:val="40"/>
        </w:numPr>
        <w:spacing w:before="120" w:after="240" w:line="360" w:lineRule="auto"/>
        <w:textAlignment w:val="baseline"/>
        <w:rPr>
          <w:rFonts w:ascii="Arial" w:eastAsia="Arial" w:hAnsi="Arial" w:cs="Arial"/>
          <w:lang w:val="en-US"/>
        </w:rPr>
      </w:pPr>
      <w:r w:rsidRPr="278B2A38">
        <w:rPr>
          <w:rFonts w:ascii="Arial" w:eastAsia="Arial" w:hAnsi="Arial" w:cs="Arial"/>
          <w:b/>
          <w:bCs/>
          <w:lang w:val="en-US"/>
        </w:rPr>
        <w:t>consistency</w:t>
      </w:r>
      <w:r w:rsidRPr="278B2A38">
        <w:rPr>
          <w:rFonts w:ascii="Arial" w:eastAsia="Arial" w:hAnsi="Arial" w:cs="Arial"/>
          <w:lang w:val="en-US"/>
        </w:rPr>
        <w:t>: decision making is undertaken in a reliable manner and enough information is provided to make sound decisions</w:t>
      </w:r>
    </w:p>
    <w:p w14:paraId="3CDBFFBA" w14:textId="77777777" w:rsidR="000F5C98" w:rsidRPr="00872409" w:rsidRDefault="000F5C98" w:rsidP="000F5C98">
      <w:pPr>
        <w:pStyle w:val="paragraph"/>
        <w:numPr>
          <w:ilvl w:val="0"/>
          <w:numId w:val="40"/>
        </w:numPr>
        <w:spacing w:before="120" w:after="240" w:line="360" w:lineRule="auto"/>
        <w:textAlignment w:val="baseline"/>
        <w:rPr>
          <w:rFonts w:ascii="Arial" w:eastAsia="Arial" w:hAnsi="Arial" w:cs="Arial"/>
          <w:lang w:val="en-US"/>
        </w:rPr>
      </w:pPr>
      <w:r w:rsidRPr="278B2A38">
        <w:rPr>
          <w:rFonts w:ascii="Arial" w:eastAsia="Arial" w:hAnsi="Arial" w:cs="Arial"/>
          <w:b/>
          <w:bCs/>
          <w:lang w:val="en-US"/>
        </w:rPr>
        <w:t>sustainability</w:t>
      </w:r>
      <w:r w:rsidRPr="278B2A38">
        <w:rPr>
          <w:rFonts w:ascii="Arial" w:eastAsia="Arial" w:hAnsi="Arial" w:cs="Arial"/>
          <w:lang w:val="en-US"/>
        </w:rPr>
        <w:t>: SDA offers are part of a long-term and proactive plan that takes into consideration the sustainable operations of the SDA and SIL providers</w:t>
      </w:r>
    </w:p>
    <w:p w14:paraId="5EEE513E" w14:textId="77777777" w:rsidR="000F5C98" w:rsidRPr="00872409" w:rsidRDefault="000F5C98" w:rsidP="000F5C98">
      <w:pPr>
        <w:pStyle w:val="paragraph"/>
        <w:numPr>
          <w:ilvl w:val="0"/>
          <w:numId w:val="40"/>
        </w:numPr>
        <w:spacing w:before="120" w:after="240" w:line="360" w:lineRule="auto"/>
        <w:textAlignment w:val="baseline"/>
        <w:rPr>
          <w:rFonts w:ascii="Arial" w:eastAsia="Arial" w:hAnsi="Arial" w:cs="Arial"/>
          <w:lang w:val="en-US"/>
        </w:rPr>
      </w:pPr>
      <w:r w:rsidRPr="278B2A38">
        <w:rPr>
          <w:rFonts w:ascii="Arial" w:eastAsia="Arial" w:hAnsi="Arial" w:cs="Arial"/>
          <w:b/>
          <w:bCs/>
          <w:lang w:val="en-US"/>
        </w:rPr>
        <w:t>compatibility</w:t>
      </w:r>
      <w:r w:rsidRPr="278B2A38">
        <w:rPr>
          <w:rFonts w:ascii="Arial" w:eastAsia="Arial" w:hAnsi="Arial" w:cs="Arial"/>
          <w:lang w:val="en-US"/>
        </w:rPr>
        <w:t>: the physical, emotional, social and support needs of the current residents are taken into consideration when identifying a participant to offer SDA to</w:t>
      </w:r>
    </w:p>
    <w:p w14:paraId="77AFAD15" w14:textId="77777777" w:rsidR="000F5C98" w:rsidRDefault="000F5C98" w:rsidP="000F5C98">
      <w:pPr>
        <w:pStyle w:val="paragraph"/>
        <w:numPr>
          <w:ilvl w:val="0"/>
          <w:numId w:val="40"/>
        </w:numPr>
        <w:spacing w:before="120" w:beforeAutospacing="0" w:after="240" w:afterAutospacing="0" w:line="360" w:lineRule="auto"/>
        <w:textAlignment w:val="baseline"/>
        <w:rPr>
          <w:rFonts w:ascii="Arial" w:eastAsia="Arial" w:hAnsi="Arial" w:cs="Arial"/>
          <w:lang w:val="en-US"/>
        </w:rPr>
      </w:pPr>
      <w:r w:rsidRPr="278B2A38">
        <w:rPr>
          <w:rFonts w:ascii="Arial" w:eastAsia="Arial" w:hAnsi="Arial" w:cs="Arial"/>
          <w:b/>
          <w:bCs/>
          <w:lang w:val="en-US"/>
        </w:rPr>
        <w:t>safety</w:t>
      </w:r>
      <w:r w:rsidRPr="278B2A38">
        <w:rPr>
          <w:rFonts w:ascii="Arial" w:eastAsia="Arial" w:hAnsi="Arial" w:cs="Arial"/>
          <w:lang w:val="en-US"/>
        </w:rPr>
        <w:t>: support needs of the current and prospective residents are addressed.’</w:t>
      </w:r>
    </w:p>
    <w:p w14:paraId="298FFE9C" w14:textId="77777777" w:rsidR="000F5C98" w:rsidRDefault="000F5C98" w:rsidP="000F5C98">
      <w:pPr>
        <w:pStyle w:val="paragraph"/>
        <w:spacing w:before="120" w:beforeAutospacing="0" w:after="240" w:afterAutospacing="0" w:line="360" w:lineRule="auto"/>
        <w:textAlignment w:val="baseline"/>
        <w:rPr>
          <w:rStyle w:val="normaltextrun"/>
          <w:rFonts w:ascii="Arial" w:hAnsi="Arial"/>
        </w:rPr>
      </w:pPr>
      <w:r w:rsidRPr="278B2A38">
        <w:rPr>
          <w:rFonts w:ascii="Arial" w:eastAsia="Arial" w:hAnsi="Arial" w:cs="Arial"/>
          <w:lang w:val="en-US"/>
        </w:rPr>
        <w:t xml:space="preserve">We support the </w:t>
      </w:r>
      <w:r w:rsidRPr="278B2A38">
        <w:rPr>
          <w:rStyle w:val="normaltextrun"/>
          <w:rFonts w:ascii="Arial" w:hAnsi="Arial"/>
        </w:rPr>
        <w:t>Offering Residency Panel and the involvement of people with lived experience of disability in the decision-making processes about who will be offered residency in an SDA.</w:t>
      </w:r>
    </w:p>
    <w:p w14:paraId="14276371" w14:textId="77777777" w:rsidR="000F5C98" w:rsidRDefault="000F5C98" w:rsidP="000F5C98">
      <w:pPr>
        <w:pStyle w:val="paragraph"/>
        <w:spacing w:before="120" w:beforeAutospacing="0" w:after="240" w:afterAutospacing="0" w:line="360" w:lineRule="auto"/>
        <w:textAlignment w:val="baseline"/>
        <w:rPr>
          <w:rStyle w:val="normaltextrun"/>
          <w:rFonts w:ascii="Arial" w:hAnsi="Arial"/>
        </w:rPr>
      </w:pPr>
      <w:r w:rsidRPr="278B2A38">
        <w:rPr>
          <w:rStyle w:val="normaltextrun"/>
          <w:rFonts w:ascii="Arial" w:hAnsi="Arial"/>
        </w:rPr>
        <w:t>However, NDS notes that a lot of extra work has been imposed on the SIL providers, whom have been assigned additional responsibilities to:</w:t>
      </w:r>
    </w:p>
    <w:p w14:paraId="461EA571" w14:textId="77777777" w:rsidR="000F5C98" w:rsidRPr="003078C6" w:rsidRDefault="000F5C98" w:rsidP="000F5C98">
      <w:pPr>
        <w:pStyle w:val="paragraph"/>
        <w:numPr>
          <w:ilvl w:val="0"/>
          <w:numId w:val="41"/>
        </w:numPr>
        <w:spacing w:before="120" w:after="240" w:line="360" w:lineRule="auto"/>
        <w:textAlignment w:val="baseline"/>
        <w:rPr>
          <w:rStyle w:val="normaltextrun"/>
          <w:rFonts w:ascii="Arial" w:hAnsi="Arial"/>
        </w:rPr>
      </w:pPr>
      <w:r w:rsidRPr="278B2A38">
        <w:rPr>
          <w:rStyle w:val="normaltextrun"/>
          <w:rFonts w:ascii="Arial" w:hAnsi="Arial"/>
        </w:rPr>
        <w:lastRenderedPageBreak/>
        <w:t>‘</w:t>
      </w:r>
      <w:proofErr w:type="gramStart"/>
      <w:r w:rsidRPr="278B2A38">
        <w:rPr>
          <w:rStyle w:val="normaltextrun"/>
          <w:rFonts w:ascii="Arial" w:hAnsi="Arial"/>
        </w:rPr>
        <w:t>inform</w:t>
      </w:r>
      <w:proofErr w:type="gramEnd"/>
      <w:r w:rsidRPr="278B2A38">
        <w:rPr>
          <w:rStyle w:val="normaltextrun"/>
          <w:rFonts w:ascii="Arial" w:hAnsi="Arial"/>
        </w:rPr>
        <w:t xml:space="preserve"> the department when a vacancy arises</w:t>
      </w:r>
    </w:p>
    <w:p w14:paraId="20BDAD27" w14:textId="77777777" w:rsidR="000F5C98" w:rsidRPr="003078C6" w:rsidRDefault="000F5C98" w:rsidP="000F5C98">
      <w:pPr>
        <w:pStyle w:val="paragraph"/>
        <w:numPr>
          <w:ilvl w:val="0"/>
          <w:numId w:val="41"/>
        </w:numPr>
        <w:spacing w:before="120" w:after="240" w:line="360" w:lineRule="auto"/>
        <w:textAlignment w:val="baseline"/>
        <w:rPr>
          <w:rStyle w:val="normaltextrun"/>
          <w:rFonts w:ascii="Arial" w:hAnsi="Arial"/>
        </w:rPr>
      </w:pPr>
      <w:r w:rsidRPr="278B2A38">
        <w:rPr>
          <w:rStyle w:val="normaltextrun"/>
          <w:rFonts w:ascii="Arial" w:hAnsi="Arial"/>
        </w:rPr>
        <w:t xml:space="preserve">work with the department to prepare the advertisement </w:t>
      </w:r>
    </w:p>
    <w:p w14:paraId="27A8877D" w14:textId="77777777" w:rsidR="000F5C98" w:rsidRPr="003078C6" w:rsidRDefault="000F5C98" w:rsidP="000F5C98">
      <w:pPr>
        <w:pStyle w:val="paragraph"/>
        <w:numPr>
          <w:ilvl w:val="0"/>
          <w:numId w:val="41"/>
        </w:numPr>
        <w:spacing w:before="120" w:after="240" w:line="360" w:lineRule="auto"/>
        <w:textAlignment w:val="baseline"/>
        <w:rPr>
          <w:rStyle w:val="normaltextrun"/>
          <w:rFonts w:ascii="Arial" w:hAnsi="Arial"/>
        </w:rPr>
      </w:pPr>
      <w:r w:rsidRPr="278B2A38">
        <w:rPr>
          <w:rStyle w:val="normaltextrun"/>
          <w:rFonts w:ascii="Arial" w:hAnsi="Arial"/>
        </w:rPr>
        <w:t>coordinate completion of the SDA dwelling profile, including obtaining input from residents and their support networks</w:t>
      </w:r>
    </w:p>
    <w:p w14:paraId="0762837B" w14:textId="77777777" w:rsidR="000F5C98" w:rsidRPr="003078C6" w:rsidRDefault="000F5C98" w:rsidP="000F5C98">
      <w:pPr>
        <w:pStyle w:val="paragraph"/>
        <w:numPr>
          <w:ilvl w:val="0"/>
          <w:numId w:val="41"/>
        </w:numPr>
        <w:spacing w:before="120" w:after="240" w:line="360" w:lineRule="auto"/>
        <w:textAlignment w:val="baseline"/>
        <w:rPr>
          <w:rStyle w:val="normaltextrun"/>
          <w:rFonts w:ascii="Arial" w:hAnsi="Arial"/>
        </w:rPr>
      </w:pPr>
      <w:r w:rsidRPr="278B2A38">
        <w:rPr>
          <w:rStyle w:val="normaltextrun"/>
          <w:rFonts w:ascii="Arial" w:hAnsi="Arial"/>
        </w:rPr>
        <w:t>coordinate open inspections and respond to queries from applicants about the vacancy</w:t>
      </w:r>
    </w:p>
    <w:p w14:paraId="695ABA95" w14:textId="77777777" w:rsidR="000F5C98" w:rsidRPr="003078C6" w:rsidRDefault="000F5C98" w:rsidP="000F5C98">
      <w:pPr>
        <w:pStyle w:val="paragraph"/>
        <w:numPr>
          <w:ilvl w:val="0"/>
          <w:numId w:val="41"/>
        </w:numPr>
        <w:spacing w:before="120" w:after="240" w:line="360" w:lineRule="auto"/>
        <w:textAlignment w:val="baseline"/>
        <w:rPr>
          <w:rStyle w:val="normaltextrun"/>
          <w:rFonts w:ascii="Arial" w:hAnsi="Arial"/>
        </w:rPr>
      </w:pPr>
      <w:r w:rsidRPr="278B2A38">
        <w:rPr>
          <w:rStyle w:val="normaltextrun"/>
          <w:rFonts w:ascii="Arial" w:hAnsi="Arial"/>
        </w:rPr>
        <w:t>nominate representatives to be on the Offering Residency Panel</w:t>
      </w:r>
    </w:p>
    <w:p w14:paraId="58B4C91C" w14:textId="77777777" w:rsidR="000F5C98" w:rsidRDefault="000F5C98" w:rsidP="000F5C98">
      <w:pPr>
        <w:pStyle w:val="paragraph"/>
        <w:numPr>
          <w:ilvl w:val="0"/>
          <w:numId w:val="41"/>
        </w:numPr>
        <w:spacing w:before="120" w:after="240" w:line="360" w:lineRule="auto"/>
        <w:textAlignment w:val="baseline"/>
        <w:rPr>
          <w:rStyle w:val="normaltextrun"/>
          <w:rFonts w:ascii="Arial" w:hAnsi="Arial"/>
        </w:rPr>
      </w:pPr>
      <w:r w:rsidRPr="278B2A38">
        <w:rPr>
          <w:rStyle w:val="normaltextrun"/>
          <w:rFonts w:ascii="Arial" w:hAnsi="Arial"/>
        </w:rPr>
        <w:t>work with the department to identify and manage any issues related to the vacancy</w:t>
      </w:r>
    </w:p>
    <w:p w14:paraId="2A940EFD" w14:textId="77777777" w:rsidR="000F5C98" w:rsidRPr="00E82644" w:rsidRDefault="000F5C98" w:rsidP="000F5C98">
      <w:pPr>
        <w:pStyle w:val="paragraph"/>
        <w:numPr>
          <w:ilvl w:val="0"/>
          <w:numId w:val="41"/>
        </w:numPr>
        <w:spacing w:before="120" w:after="240" w:line="360" w:lineRule="auto"/>
        <w:textAlignment w:val="baseline"/>
        <w:rPr>
          <w:rStyle w:val="normaltextrun"/>
          <w:rFonts w:ascii="Arial" w:hAnsi="Arial"/>
        </w:rPr>
      </w:pPr>
      <w:r w:rsidRPr="278B2A38">
        <w:rPr>
          <w:rStyle w:val="normaltextrun"/>
          <w:rFonts w:ascii="Arial" w:hAnsi="Arial"/>
        </w:rPr>
        <w:t>coordinate and support a participant’s transition into SDA once the participant has accepted an offer.’</w:t>
      </w:r>
    </w:p>
    <w:p w14:paraId="0D0FD542" w14:textId="77777777" w:rsidR="000F5C98" w:rsidRDefault="000F5C98" w:rsidP="000F5C98">
      <w:pPr>
        <w:pStyle w:val="paragraph"/>
        <w:spacing w:before="120" w:beforeAutospacing="0" w:after="240" w:afterAutospacing="0" w:line="360" w:lineRule="auto"/>
        <w:textAlignment w:val="baseline"/>
        <w:rPr>
          <w:rStyle w:val="normaltextrun"/>
          <w:rFonts w:ascii="Arial" w:hAnsi="Arial"/>
        </w:rPr>
      </w:pPr>
      <w:r w:rsidRPr="278B2A38">
        <w:rPr>
          <w:rStyle w:val="normaltextrun"/>
          <w:rFonts w:ascii="Arial" w:hAnsi="Arial"/>
        </w:rPr>
        <w:t>Whilst NDS welcomes the involvement of SIL providers in the decision-making process, the SIL providers should be offered a payment in support of the departmental roles in coordinating the process to offer residency in department-owned SDA.</w:t>
      </w:r>
    </w:p>
    <w:p w14:paraId="3374F42F" w14:textId="77777777" w:rsidR="000F5C98" w:rsidRPr="00DA43F8" w:rsidRDefault="000F5C98" w:rsidP="000F5C98">
      <w:pPr>
        <w:pStyle w:val="paragraph"/>
        <w:spacing w:before="120" w:after="240" w:line="360" w:lineRule="auto"/>
        <w:textAlignment w:val="baseline"/>
        <w:rPr>
          <w:rStyle w:val="normaltextrun"/>
          <w:rFonts w:ascii="Arial" w:hAnsi="Arial"/>
        </w:rPr>
      </w:pPr>
      <w:r w:rsidRPr="278B2A38">
        <w:rPr>
          <w:rStyle w:val="normaltextrun"/>
          <w:rFonts w:ascii="Arial" w:hAnsi="Arial"/>
        </w:rPr>
        <w:t xml:space="preserve">The Offering Residency issue touches on the broader framework which restricts the choice of people with disabilities regarding coresidents. One key concern relating to this is about the limited tenancy options currently available under the </w:t>
      </w:r>
      <w:r w:rsidRPr="278B2A38">
        <w:rPr>
          <w:rStyle w:val="normaltextrun"/>
          <w:rFonts w:ascii="Arial" w:hAnsi="Arial"/>
          <w:i/>
          <w:iCs/>
        </w:rPr>
        <w:t>Residential Tenancies Act (RTA) 1997</w:t>
      </w:r>
      <w:r w:rsidRPr="278B2A38">
        <w:rPr>
          <w:rStyle w:val="normaltextrun"/>
          <w:rFonts w:ascii="Arial" w:hAnsi="Arial"/>
        </w:rPr>
        <w:t xml:space="preserve">. The </w:t>
      </w:r>
      <w:r w:rsidRPr="278B2A38">
        <w:rPr>
          <w:rStyle w:val="normaltextrun"/>
          <w:rFonts w:ascii="Arial" w:hAnsi="Arial"/>
          <w:i/>
          <w:iCs/>
        </w:rPr>
        <w:t>RTA</w:t>
      </w:r>
      <w:r w:rsidRPr="278B2A38">
        <w:rPr>
          <w:rStyle w:val="normaltextrun"/>
          <w:rFonts w:ascii="Arial" w:hAnsi="Arial"/>
        </w:rPr>
        <w:t xml:space="preserve"> dictates that the SDA Residency Agreement cannot be used alongside a standard Residential Rental Agreement in the one dwelling. This means that people with SDA funding who are on an SDA Residency Agreement cannot live with people who do not have SDA funding (and therefore cannot be on an SDA Residency Agreement). This prevents people living in SDA from living with a partner, their family, friends, or other NDIS participants who do not have SDA funding. This situation is at odds with contemporary expectations around the rights of people with disabilities to choose how and with whom they wish to live. The limited tenancy options do not reflect the key principle of the </w:t>
      </w:r>
      <w:r w:rsidRPr="278B2A38">
        <w:rPr>
          <w:rStyle w:val="normaltextrun"/>
          <w:rFonts w:ascii="Arial" w:hAnsi="Arial"/>
          <w:i/>
          <w:iCs/>
        </w:rPr>
        <w:t>NDIS Act 2013</w:t>
      </w:r>
      <w:r w:rsidRPr="278B2A38">
        <w:rPr>
          <w:rStyle w:val="normaltextrun"/>
          <w:rFonts w:ascii="Arial" w:hAnsi="Arial"/>
        </w:rPr>
        <w:t xml:space="preserve">, for people with disability to exercise choice and control </w:t>
      </w:r>
      <w:proofErr w:type="gramStart"/>
      <w:r w:rsidRPr="278B2A38">
        <w:rPr>
          <w:rStyle w:val="normaltextrun"/>
          <w:rFonts w:ascii="Arial" w:hAnsi="Arial"/>
        </w:rPr>
        <w:t>in regard to</w:t>
      </w:r>
      <w:proofErr w:type="gramEnd"/>
      <w:r w:rsidRPr="278B2A38">
        <w:rPr>
          <w:rStyle w:val="normaltextrun"/>
          <w:rFonts w:ascii="Arial" w:hAnsi="Arial"/>
        </w:rPr>
        <w:t xml:space="preserve"> their supports.</w:t>
      </w:r>
    </w:p>
    <w:p w14:paraId="28C87330" w14:textId="77777777" w:rsidR="000F5C98" w:rsidRDefault="000F5C98" w:rsidP="000F5C98">
      <w:pPr>
        <w:pStyle w:val="paragraph"/>
        <w:spacing w:before="120" w:after="240" w:line="360" w:lineRule="auto"/>
        <w:textAlignment w:val="baseline"/>
        <w:rPr>
          <w:rStyle w:val="normaltextrun"/>
          <w:rFonts w:ascii="Arial" w:hAnsi="Arial"/>
        </w:rPr>
      </w:pPr>
      <w:r w:rsidRPr="278B2A38">
        <w:rPr>
          <w:rStyle w:val="normaltextrun"/>
          <w:rFonts w:ascii="Arial" w:hAnsi="Arial"/>
        </w:rPr>
        <w:t xml:space="preserve">To consider and ensure the needs and preferences of current residents are considered, NDS recommends that the Victorian Government permanently migrates the SDA tenancy rules from the </w:t>
      </w:r>
      <w:r w:rsidRPr="278B2A38">
        <w:rPr>
          <w:rStyle w:val="normaltextrun"/>
          <w:rFonts w:ascii="Arial" w:hAnsi="Arial"/>
          <w:i/>
          <w:iCs/>
        </w:rPr>
        <w:t>Disability Act</w:t>
      </w:r>
      <w:r w:rsidRPr="278B2A38">
        <w:rPr>
          <w:rStyle w:val="normaltextrun"/>
          <w:rFonts w:ascii="Arial" w:hAnsi="Arial"/>
        </w:rPr>
        <w:t xml:space="preserve"> to the </w:t>
      </w:r>
      <w:r w:rsidRPr="278B2A38">
        <w:rPr>
          <w:rStyle w:val="normaltextrun"/>
          <w:rFonts w:ascii="Arial" w:hAnsi="Arial"/>
          <w:i/>
          <w:iCs/>
        </w:rPr>
        <w:t>RTA</w:t>
      </w:r>
      <w:r w:rsidRPr="278B2A38">
        <w:rPr>
          <w:rStyle w:val="normaltextrun"/>
          <w:rFonts w:ascii="Arial" w:hAnsi="Arial"/>
        </w:rPr>
        <w:t xml:space="preserve"> under Part </w:t>
      </w:r>
      <w:proofErr w:type="gramStart"/>
      <w:r w:rsidRPr="278B2A38">
        <w:rPr>
          <w:rStyle w:val="normaltextrun"/>
          <w:rFonts w:ascii="Arial" w:hAnsi="Arial"/>
        </w:rPr>
        <w:t>12A, and</w:t>
      </w:r>
      <w:proofErr w:type="gramEnd"/>
      <w:r w:rsidRPr="278B2A38">
        <w:rPr>
          <w:rStyle w:val="normaltextrun"/>
          <w:rFonts w:ascii="Arial" w:hAnsi="Arial"/>
        </w:rPr>
        <w:t xml:space="preserve"> introduces a step-change approach to provide more tenancy options that reflect the </w:t>
      </w:r>
      <w:r w:rsidRPr="278B2A38">
        <w:rPr>
          <w:rStyle w:val="normaltextrun"/>
          <w:rFonts w:ascii="Arial" w:hAnsi="Arial"/>
        </w:rPr>
        <w:lastRenderedPageBreak/>
        <w:t>principle of choice and control and ensure that SDA residents can choose to live with non-SDA residents while still receiving the highest level of tenancy protections.</w:t>
      </w:r>
    </w:p>
    <w:p w14:paraId="2CF7B030" w14:textId="77777777" w:rsidR="000F5C98" w:rsidRDefault="000F5C98" w:rsidP="000F5C98">
      <w:pPr>
        <w:pStyle w:val="paragraph"/>
        <w:spacing w:before="120" w:after="240" w:line="360" w:lineRule="auto"/>
        <w:textAlignment w:val="baseline"/>
        <w:rPr>
          <w:rStyle w:val="normaltextrun"/>
          <w:rFonts w:ascii="Arial" w:hAnsi="Arial"/>
        </w:rPr>
      </w:pPr>
      <w:r w:rsidRPr="278B2A38">
        <w:rPr>
          <w:rStyle w:val="normaltextrun"/>
          <w:rFonts w:ascii="Arial" w:hAnsi="Arial"/>
        </w:rPr>
        <w:t xml:space="preserve">The Manual also addresses the on-hold process, and notes ‘On occasion, a vacancy may need to be placed on hold for </w:t>
      </w:r>
      <w:proofErr w:type="gramStart"/>
      <w:r w:rsidRPr="278B2A38">
        <w:rPr>
          <w:rStyle w:val="normaltextrun"/>
          <w:rFonts w:ascii="Arial" w:hAnsi="Arial"/>
        </w:rPr>
        <w:t>a period of time</w:t>
      </w:r>
      <w:proofErr w:type="gramEnd"/>
      <w:r w:rsidRPr="278B2A38">
        <w:rPr>
          <w:rStyle w:val="normaltextrun"/>
          <w:rFonts w:ascii="Arial" w:hAnsi="Arial"/>
        </w:rPr>
        <w:t xml:space="preserve">’ and the ‘SIL provider and the department will not be responsible to each other for costs incurred when a vacancy is placed on hold through this process’. NDS is concerned that lengthy delays in filling vacancies can have a significant financial impact on SIL providers. It is recommended that when vacancies are put on-hold the department consults with the SIL providers </w:t>
      </w:r>
      <w:proofErr w:type="gramStart"/>
      <w:r w:rsidRPr="278B2A38">
        <w:rPr>
          <w:rStyle w:val="normaltextrun"/>
          <w:rFonts w:ascii="Arial" w:hAnsi="Arial"/>
        </w:rPr>
        <w:t>taking into account</w:t>
      </w:r>
      <w:proofErr w:type="gramEnd"/>
      <w:r w:rsidRPr="278B2A38">
        <w:rPr>
          <w:rStyle w:val="normaltextrun"/>
          <w:rFonts w:ascii="Arial" w:hAnsi="Arial"/>
        </w:rPr>
        <w:t xml:space="preserve"> their views prior to finalising a decision on this process.</w:t>
      </w:r>
    </w:p>
    <w:p w14:paraId="352EDA4F" w14:textId="77777777" w:rsidR="000F5C98" w:rsidRPr="000F5C98" w:rsidRDefault="000F5C98" w:rsidP="000F5C98">
      <w:pPr>
        <w:pStyle w:val="Heading2"/>
        <w:rPr>
          <w:rStyle w:val="normaltextrun"/>
        </w:rPr>
      </w:pPr>
      <w:r w:rsidRPr="000F5C98">
        <w:rPr>
          <w:rStyle w:val="normaltextrun"/>
        </w:rPr>
        <w:t>Residency Management Manual</w:t>
      </w:r>
    </w:p>
    <w:p w14:paraId="6179DD5E" w14:textId="77777777" w:rsidR="000F5C98" w:rsidRDefault="000F5C98" w:rsidP="000F5C98">
      <w:pPr>
        <w:pStyle w:val="paragraph"/>
        <w:spacing w:before="120" w:after="240" w:line="360" w:lineRule="auto"/>
        <w:textAlignment w:val="baseline"/>
        <w:rPr>
          <w:rStyle w:val="normaltextrun"/>
          <w:rFonts w:ascii="Arial" w:hAnsi="Arial"/>
        </w:rPr>
      </w:pPr>
      <w:r w:rsidRPr="278B2A38">
        <w:rPr>
          <w:rStyle w:val="normaltextrun"/>
          <w:rFonts w:ascii="Arial" w:hAnsi="Arial"/>
        </w:rPr>
        <w:t xml:space="preserve">NDS welcomes the department's requirement that providers must be registered </w:t>
      </w:r>
      <w:proofErr w:type="gramStart"/>
      <w:r w:rsidRPr="278B2A38">
        <w:rPr>
          <w:rStyle w:val="normaltextrun"/>
          <w:rFonts w:ascii="Arial" w:hAnsi="Arial"/>
        </w:rPr>
        <w:t>in order to</w:t>
      </w:r>
      <w:proofErr w:type="gramEnd"/>
      <w:r w:rsidRPr="278B2A38">
        <w:rPr>
          <w:rStyle w:val="normaltextrun"/>
          <w:rFonts w:ascii="Arial" w:hAnsi="Arial"/>
        </w:rPr>
        <w:t xml:space="preserve"> deliver SIL supports within DFFH-owned SDA properties. We also support the notion that residents have choice and control over their SIL provider, </w:t>
      </w:r>
      <w:proofErr w:type="gramStart"/>
      <w:r w:rsidRPr="278B2A38">
        <w:rPr>
          <w:rStyle w:val="normaltextrun"/>
          <w:rFonts w:ascii="Arial" w:hAnsi="Arial"/>
        </w:rPr>
        <w:t>provided that</w:t>
      </w:r>
      <w:proofErr w:type="gramEnd"/>
      <w:r w:rsidRPr="278B2A38">
        <w:rPr>
          <w:rStyle w:val="normaltextrun"/>
          <w:rFonts w:ascii="Arial" w:hAnsi="Arial"/>
        </w:rPr>
        <w:t xml:space="preserve"> they are a registered provider and meet the department’s eligibility requirements.</w:t>
      </w:r>
    </w:p>
    <w:p w14:paraId="1B2E42BB" w14:textId="77777777" w:rsidR="000F5C98" w:rsidRPr="00F27BD7" w:rsidRDefault="000F5C98" w:rsidP="000F5C98">
      <w:pPr>
        <w:pStyle w:val="paragraph"/>
        <w:spacing w:before="120" w:after="240" w:line="360" w:lineRule="auto"/>
        <w:textAlignment w:val="baseline"/>
        <w:rPr>
          <w:rStyle w:val="normaltextrun"/>
          <w:rFonts w:ascii="Arial" w:hAnsi="Arial"/>
        </w:rPr>
      </w:pPr>
      <w:r w:rsidRPr="278B2A38">
        <w:rPr>
          <w:rStyle w:val="normaltextrun"/>
          <w:rFonts w:ascii="Arial" w:hAnsi="Arial"/>
        </w:rPr>
        <w:t>NDS also welcomes the commitment to monitor the effectiveness of collaboration agreements. We strongly support the department’s commitment to a review of the operation of an agreement within three months from the start of the agreement. We also strongly support the requirement for regular reviews, at least annually, to ensure that parties are meeting their mutual objectives. NDS supports the participation of residents within these meetings if suitable.</w:t>
      </w:r>
    </w:p>
    <w:p w14:paraId="58C2C2C5" w14:textId="77777777" w:rsidR="000F5C98" w:rsidRPr="00F27BD7" w:rsidRDefault="000F5C98" w:rsidP="000F5C98">
      <w:pPr>
        <w:pStyle w:val="paragraph"/>
        <w:spacing w:line="360" w:lineRule="auto"/>
        <w:rPr>
          <w:rStyle w:val="normaltextrun"/>
          <w:rFonts w:ascii="Arial" w:hAnsi="Arial"/>
          <w:color w:val="000000" w:themeColor="text1"/>
          <w:lang w:val="en-US"/>
        </w:rPr>
      </w:pPr>
      <w:r w:rsidRPr="278B2A38">
        <w:rPr>
          <w:rStyle w:val="normaltextrun"/>
          <w:rFonts w:ascii="Arial" w:hAnsi="Arial"/>
        </w:rPr>
        <w:t>One concern that NDS holds in relation to the Residency Management Manual is the apparent requirement that SIL providers in DFFH properties are obliged to report incidents and issues to both the department’s Client Incident Management System (CIMS) and to the NDIS Commission.</w:t>
      </w:r>
      <w:r w:rsidRPr="278B2A38">
        <w:rPr>
          <w:rStyle w:val="normaltextrun"/>
          <w:rFonts w:ascii="Arial" w:hAnsi="Arial"/>
          <w:color w:val="000000"/>
          <w:shd w:val="clear" w:color="auto" w:fill="FFFFFF"/>
          <w:lang w:val="en-US"/>
        </w:rPr>
        <w:t xml:space="preserve"> There are concerns that the double reporting requirements are duplicative, costly, time consuming, and unnecessary. To resolve this double reporting issue, NDS encourages the department to </w:t>
      </w:r>
      <w:proofErr w:type="spellStart"/>
      <w:r w:rsidRPr="278B2A38">
        <w:rPr>
          <w:rStyle w:val="normaltextrun"/>
          <w:rFonts w:ascii="Arial" w:hAnsi="Arial"/>
          <w:color w:val="000000"/>
          <w:shd w:val="clear" w:color="auto" w:fill="FFFFFF"/>
          <w:lang w:val="en-US"/>
        </w:rPr>
        <w:t>recognise</w:t>
      </w:r>
      <w:proofErr w:type="spellEnd"/>
      <w:r w:rsidRPr="278B2A38">
        <w:rPr>
          <w:rStyle w:val="normaltextrun"/>
          <w:rFonts w:ascii="Arial" w:hAnsi="Arial"/>
          <w:color w:val="000000"/>
          <w:shd w:val="clear" w:color="auto" w:fill="FFFFFF"/>
          <w:lang w:val="en-US"/>
        </w:rPr>
        <w:t xml:space="preserve"> the NDIS Quality and Safeguarding Framework, </w:t>
      </w:r>
      <w:proofErr w:type="gramStart"/>
      <w:r w:rsidRPr="278B2A38">
        <w:rPr>
          <w:rStyle w:val="normaltextrun"/>
          <w:rFonts w:ascii="Arial" w:hAnsi="Arial"/>
          <w:color w:val="000000"/>
          <w:shd w:val="clear" w:color="auto" w:fill="FFFFFF"/>
          <w:lang w:val="en-US"/>
        </w:rPr>
        <w:t>audits</w:t>
      </w:r>
      <w:proofErr w:type="gramEnd"/>
      <w:r w:rsidRPr="278B2A38">
        <w:rPr>
          <w:rStyle w:val="normaltextrun"/>
          <w:rFonts w:ascii="Arial" w:hAnsi="Arial"/>
          <w:color w:val="000000"/>
          <w:shd w:val="clear" w:color="auto" w:fill="FFFFFF"/>
          <w:lang w:val="en-US"/>
        </w:rPr>
        <w:t xml:space="preserve"> and incident reporting system, which provide a nationally consistent approach to quality and safeguarding and establish expectations for providers and their staff to deliver high quality supports.</w:t>
      </w:r>
    </w:p>
    <w:p w14:paraId="42B6DA4E" w14:textId="77777777" w:rsidR="000F5C98" w:rsidRDefault="000F5C98" w:rsidP="000F5C98">
      <w:pPr>
        <w:pStyle w:val="paragraph"/>
        <w:spacing w:before="120" w:after="240" w:line="360" w:lineRule="auto"/>
        <w:textAlignment w:val="baseline"/>
        <w:rPr>
          <w:rStyle w:val="normaltextrun"/>
          <w:rFonts w:ascii="Arial" w:hAnsi="Arial"/>
        </w:rPr>
      </w:pPr>
      <w:r w:rsidRPr="278B2A38">
        <w:rPr>
          <w:rStyle w:val="normaltextrun"/>
          <w:rFonts w:ascii="Arial" w:hAnsi="Arial"/>
        </w:rPr>
        <w:lastRenderedPageBreak/>
        <w:t xml:space="preserve">NDS welcomes the introduction of an Emergency Management section within the Residency Management Manual which clearly establishes the responsibilities of the department during natural disasters, including extreme weather events and pandemics. Under the Emergency Management section, NDS suggests that the department acknowledge provider obligations under the </w:t>
      </w:r>
      <w:hyperlink r:id="rId14">
        <w:r w:rsidRPr="278B2A38">
          <w:rPr>
            <w:rStyle w:val="Hyperlink"/>
            <w:rFonts w:ascii="Arial" w:eastAsia="Arial" w:hAnsi="Arial" w:cs="Arial"/>
          </w:rPr>
          <w:t>SDA Design Standard</w:t>
        </w:r>
      </w:hyperlink>
      <w:r w:rsidRPr="278B2A38">
        <w:rPr>
          <w:rStyle w:val="normaltextrun"/>
          <w:rFonts w:ascii="Arial" w:hAnsi="Arial"/>
        </w:rPr>
        <w:t>, including, but not limited to the following:</w:t>
      </w:r>
    </w:p>
    <w:p w14:paraId="7BE1BAE6" w14:textId="77777777" w:rsidR="000F5C98" w:rsidRPr="00D600C8" w:rsidRDefault="000F5C98" w:rsidP="000F5C98">
      <w:pPr>
        <w:pStyle w:val="paragraph"/>
        <w:numPr>
          <w:ilvl w:val="0"/>
          <w:numId w:val="41"/>
        </w:numPr>
        <w:spacing w:before="120" w:after="240" w:line="360" w:lineRule="auto"/>
        <w:textAlignment w:val="baseline"/>
        <w:rPr>
          <w:rStyle w:val="normaltextrun"/>
          <w:rFonts w:ascii="Arial" w:hAnsi="Arial"/>
        </w:rPr>
      </w:pPr>
      <w:r w:rsidRPr="278B2A38">
        <w:rPr>
          <w:rStyle w:val="normaltextrun"/>
          <w:rFonts w:ascii="Arial" w:hAnsi="Arial"/>
        </w:rPr>
        <w:t>‘All fire safety features shall be provided as required by the NCC based on the dwelling classification as determined by the Building Certifier.</w:t>
      </w:r>
    </w:p>
    <w:p w14:paraId="1DCBFE38" w14:textId="77777777" w:rsidR="000F5C98" w:rsidRPr="008F514A" w:rsidRDefault="000F5C98" w:rsidP="000F5C98">
      <w:pPr>
        <w:pStyle w:val="paragraph"/>
        <w:numPr>
          <w:ilvl w:val="0"/>
          <w:numId w:val="41"/>
        </w:numPr>
        <w:spacing w:before="120" w:after="240" w:line="360" w:lineRule="auto"/>
        <w:textAlignment w:val="baseline"/>
        <w:rPr>
          <w:rStyle w:val="normaltextrun"/>
          <w:rFonts w:ascii="Arial" w:hAnsi="Arial"/>
        </w:rPr>
      </w:pPr>
      <w:r w:rsidRPr="278B2A38">
        <w:rPr>
          <w:rStyle w:val="normaltextrun"/>
          <w:rFonts w:ascii="Arial" w:hAnsi="Arial"/>
        </w:rPr>
        <w:t>Smoke alarms that are in keeping with a home environment shall be provided in bedrooms and living spaces.</w:t>
      </w:r>
    </w:p>
    <w:p w14:paraId="35E47D24" w14:textId="77777777" w:rsidR="000F5C98" w:rsidRDefault="000F5C98" w:rsidP="000F5C98">
      <w:pPr>
        <w:pStyle w:val="paragraph"/>
        <w:numPr>
          <w:ilvl w:val="0"/>
          <w:numId w:val="41"/>
        </w:numPr>
        <w:spacing w:before="120" w:after="240" w:line="360" w:lineRule="auto"/>
        <w:textAlignment w:val="baseline"/>
        <w:rPr>
          <w:rStyle w:val="normaltextrun"/>
          <w:rFonts w:ascii="Arial" w:hAnsi="Arial"/>
        </w:rPr>
      </w:pPr>
      <w:r w:rsidRPr="278B2A38">
        <w:rPr>
          <w:rStyle w:val="normaltextrun"/>
          <w:rFonts w:ascii="Arial" w:hAnsi="Arial"/>
        </w:rPr>
        <w:t>Emergency evacuation plan shall be provided to the occupier or their supports, which may include a path of travel to a safe place.</w:t>
      </w:r>
    </w:p>
    <w:p w14:paraId="19A19CE8" w14:textId="77777777" w:rsidR="000F5C98" w:rsidRPr="0043786A" w:rsidRDefault="000F5C98" w:rsidP="000F5C98">
      <w:pPr>
        <w:pStyle w:val="paragraph"/>
        <w:numPr>
          <w:ilvl w:val="0"/>
          <w:numId w:val="41"/>
        </w:numPr>
        <w:spacing w:before="120" w:after="240" w:line="360" w:lineRule="auto"/>
        <w:textAlignment w:val="baseline"/>
        <w:rPr>
          <w:rStyle w:val="normaltextrun"/>
          <w:rFonts w:ascii="Arial" w:hAnsi="Arial"/>
        </w:rPr>
      </w:pPr>
      <w:r w:rsidRPr="278B2A38">
        <w:rPr>
          <w:rStyle w:val="normaltextrun"/>
          <w:rFonts w:ascii="Arial" w:hAnsi="Arial"/>
        </w:rPr>
        <w:t>Fire compartmentation may be required by the NCC.</w:t>
      </w:r>
    </w:p>
    <w:p w14:paraId="680D270D" w14:textId="77777777" w:rsidR="000F5C98" w:rsidRPr="0043786A" w:rsidRDefault="000F5C98" w:rsidP="000F5C98">
      <w:pPr>
        <w:pStyle w:val="paragraph"/>
        <w:numPr>
          <w:ilvl w:val="0"/>
          <w:numId w:val="41"/>
        </w:numPr>
        <w:spacing w:before="120" w:after="240" w:line="360" w:lineRule="auto"/>
        <w:textAlignment w:val="baseline"/>
        <w:rPr>
          <w:rStyle w:val="normaltextrun"/>
          <w:rFonts w:ascii="Arial" w:hAnsi="Arial"/>
        </w:rPr>
      </w:pPr>
      <w:r w:rsidRPr="278B2A38">
        <w:rPr>
          <w:rStyle w:val="normaltextrun"/>
          <w:rFonts w:ascii="Arial" w:hAnsi="Arial"/>
        </w:rPr>
        <w:t>It is desirable for fire sprinklers to be provided.</w:t>
      </w:r>
    </w:p>
    <w:p w14:paraId="5BA01575" w14:textId="77777777" w:rsidR="000F5C98" w:rsidRPr="0043786A" w:rsidRDefault="000F5C98" w:rsidP="000F5C98">
      <w:pPr>
        <w:pStyle w:val="paragraph"/>
        <w:numPr>
          <w:ilvl w:val="0"/>
          <w:numId w:val="41"/>
        </w:numPr>
        <w:spacing w:before="120" w:after="240" w:line="360" w:lineRule="auto"/>
        <w:textAlignment w:val="baseline"/>
        <w:rPr>
          <w:rStyle w:val="normaltextrun"/>
          <w:rFonts w:ascii="Arial" w:hAnsi="Arial"/>
        </w:rPr>
      </w:pPr>
      <w:r w:rsidRPr="278B2A38">
        <w:rPr>
          <w:rStyle w:val="normaltextrun"/>
          <w:rFonts w:ascii="Arial" w:hAnsi="Arial"/>
        </w:rPr>
        <w:t>Note that emergency lighting to assist evacuation may also be required to be installed under the NCC.</w:t>
      </w:r>
    </w:p>
    <w:p w14:paraId="27640D63" w14:textId="77777777" w:rsidR="000F5C98" w:rsidRPr="00E304BE" w:rsidRDefault="000F5C98" w:rsidP="000F5C98">
      <w:pPr>
        <w:pStyle w:val="paragraph"/>
        <w:numPr>
          <w:ilvl w:val="0"/>
          <w:numId w:val="41"/>
        </w:numPr>
        <w:spacing w:before="120" w:after="240" w:line="360" w:lineRule="auto"/>
        <w:textAlignment w:val="baseline"/>
        <w:rPr>
          <w:rStyle w:val="normaltextrun"/>
          <w:rFonts w:ascii="Arial" w:hAnsi="Arial"/>
        </w:rPr>
      </w:pPr>
      <w:r w:rsidRPr="278B2A38">
        <w:rPr>
          <w:rStyle w:val="normaltextrun"/>
          <w:rFonts w:ascii="Arial" w:hAnsi="Arial"/>
        </w:rPr>
        <w:t>Fire resisting walls between attached SDA Dwellings to be designed as per the requirements of the NCC.’</w:t>
      </w:r>
    </w:p>
    <w:p w14:paraId="44624750" w14:textId="77777777" w:rsidR="000F5C98" w:rsidRPr="000F5C98" w:rsidRDefault="000F5C98" w:rsidP="000F5C98">
      <w:pPr>
        <w:pStyle w:val="Heading3"/>
        <w:rPr>
          <w:rStyle w:val="normaltextrun"/>
        </w:rPr>
      </w:pPr>
      <w:r w:rsidRPr="000F5C98">
        <w:rPr>
          <w:rStyle w:val="normaltextrun"/>
        </w:rPr>
        <w:t>Maintenance and Property Management Manual</w:t>
      </w:r>
    </w:p>
    <w:p w14:paraId="09569252" w14:textId="77777777" w:rsidR="000F5C98" w:rsidRDefault="000F5C98" w:rsidP="000F5C98">
      <w:pPr>
        <w:pStyle w:val="paragraph"/>
        <w:spacing w:before="120" w:beforeAutospacing="0" w:after="240" w:afterAutospacing="0" w:line="360" w:lineRule="auto"/>
        <w:rPr>
          <w:rStyle w:val="normaltextrun"/>
          <w:rFonts w:ascii="Arial" w:hAnsi="Arial"/>
        </w:rPr>
      </w:pPr>
      <w:r w:rsidRPr="278B2A38">
        <w:rPr>
          <w:rStyle w:val="normaltextrun"/>
          <w:rFonts w:ascii="Arial" w:hAnsi="Arial"/>
        </w:rPr>
        <w:t xml:space="preserve">While the </w:t>
      </w:r>
      <w:hyperlink r:id="rId15">
        <w:r w:rsidRPr="278B2A38">
          <w:rPr>
            <w:rStyle w:val="Hyperlink"/>
            <w:rFonts w:ascii="Arial" w:eastAsia="Arial" w:hAnsi="Arial" w:cs="Arial"/>
          </w:rPr>
          <w:t>NDIS Practice Standards</w:t>
        </w:r>
      </w:hyperlink>
      <w:r w:rsidRPr="278B2A38">
        <w:rPr>
          <w:rStyle w:val="normaltextrun"/>
          <w:rFonts w:ascii="Arial" w:hAnsi="Arial"/>
        </w:rPr>
        <w:t xml:space="preserve"> establish some clear expectations for SIL and SDA providers, they do not provide an exhaustive list which clearly delineates how all roles and responsibilities within the dwelling are shared between the SIL provider, the SDA provider and the resident.</w:t>
      </w:r>
    </w:p>
    <w:p w14:paraId="5938077D" w14:textId="77777777" w:rsidR="000F5C98" w:rsidRPr="00C967B1" w:rsidRDefault="000F5C98" w:rsidP="000F5C98">
      <w:pPr>
        <w:pStyle w:val="paragraph"/>
        <w:spacing w:before="120" w:beforeAutospacing="0" w:after="240" w:afterAutospacing="0" w:line="360" w:lineRule="auto"/>
        <w:rPr>
          <w:rStyle w:val="normaltextrun"/>
          <w:rFonts w:ascii="Arial" w:hAnsi="Arial"/>
        </w:rPr>
      </w:pPr>
      <w:r w:rsidRPr="278B2A38">
        <w:rPr>
          <w:rStyle w:val="normaltextrun"/>
          <w:rFonts w:ascii="Arial" w:hAnsi="Arial"/>
        </w:rPr>
        <w:t xml:space="preserve">NDS is concerned that the department, within its Maintenance and Property Management Manual, has made </w:t>
      </w:r>
      <w:proofErr w:type="gramStart"/>
      <w:r w:rsidRPr="278B2A38">
        <w:rPr>
          <w:rStyle w:val="normaltextrun"/>
          <w:rFonts w:ascii="Arial" w:hAnsi="Arial"/>
        </w:rPr>
        <w:t>a number of</w:t>
      </w:r>
      <w:proofErr w:type="gramEnd"/>
      <w:r w:rsidRPr="278B2A38">
        <w:rPr>
          <w:rStyle w:val="normaltextrun"/>
          <w:rFonts w:ascii="Arial" w:hAnsi="Arial"/>
        </w:rPr>
        <w:t xml:space="preserve"> assumptions about the roles that the SIL provider and residents should be reasonably expected to perform. These include:</w:t>
      </w:r>
    </w:p>
    <w:p w14:paraId="55842CFC" w14:textId="77777777" w:rsidR="000F5C98" w:rsidRPr="00C967B1" w:rsidRDefault="000F5C98" w:rsidP="000F5C98">
      <w:pPr>
        <w:pStyle w:val="paragraph"/>
        <w:spacing w:before="120" w:beforeAutospacing="0" w:after="240" w:afterAutospacing="0" w:line="360" w:lineRule="auto"/>
        <w:rPr>
          <w:rFonts w:ascii="Arial" w:eastAsia="Arial" w:hAnsi="Arial" w:cs="Arial"/>
        </w:rPr>
      </w:pPr>
      <w:r w:rsidRPr="000F5C98">
        <w:rPr>
          <w:rStyle w:val="Heading3Char"/>
          <w:rFonts w:asciiTheme="minorHAnsi" w:hAnsiTheme="minorHAnsi" w:cstheme="minorHAnsi"/>
        </w:rPr>
        <w:t>The provision of whitegoods and furniture</w:t>
      </w:r>
      <w:r>
        <w:br/>
      </w:r>
      <w:r w:rsidRPr="278B2A38">
        <w:rPr>
          <w:rStyle w:val="normaltextrun"/>
          <w:rFonts w:ascii="Arial" w:hAnsi="Arial"/>
        </w:rPr>
        <w:t>The DFFH Maintenance and Property Management Manual states that ‘</w:t>
      </w:r>
      <w:r w:rsidRPr="278B2A38">
        <w:rPr>
          <w:rFonts w:ascii="Arial" w:eastAsia="Arial" w:hAnsi="Arial" w:cs="Arial"/>
        </w:rPr>
        <w:t xml:space="preserve">repairs and replacement of whitegoods (such as fridges, washing machine, and dryers) are not </w:t>
      </w:r>
      <w:r w:rsidRPr="278B2A38">
        <w:rPr>
          <w:rFonts w:ascii="Arial" w:eastAsia="Arial" w:hAnsi="Arial" w:cs="Arial"/>
        </w:rPr>
        <w:lastRenderedPageBreak/>
        <w:t xml:space="preserve">the responsibility of the department.’ NDS understands that historically, the department has provided these types of items in recognition of the high cost of these items and the comparatively low incomes of many residents. Section 2.3.5 of the </w:t>
      </w:r>
      <w:hyperlink r:id="rId16">
        <w:r w:rsidRPr="278B2A38">
          <w:rPr>
            <w:rStyle w:val="Hyperlink"/>
            <w:rFonts w:ascii="Arial" w:eastAsia="Arial" w:hAnsi="Arial" w:cs="Arial"/>
          </w:rPr>
          <w:t>Disability Services Shared Supported Accommodation Disability Leasing Model (DLM) Operational Framework: A Best Practice Guide</w:t>
        </w:r>
      </w:hyperlink>
      <w:r w:rsidRPr="278B2A38">
        <w:rPr>
          <w:rFonts w:ascii="Arial" w:eastAsia="Arial" w:hAnsi="Arial" w:cs="Arial"/>
        </w:rPr>
        <w:t xml:space="preserve"> states that, ‘to minimise the impact on residents for larger cost white good replacement items, the department has factored a cost for replacement into the recommended level of the maintenance funds provisioned per house. The department recommends that, in addition to standard property maintenance items, the cost of repair or replacement of the following white good items should also be met from the maintenance fund: </w:t>
      </w:r>
    </w:p>
    <w:p w14:paraId="4ABEB2F0" w14:textId="77777777" w:rsidR="000F5C98" w:rsidRPr="001461E9" w:rsidRDefault="000F5C98" w:rsidP="000F5C98">
      <w:pPr>
        <w:pStyle w:val="ListParagraph"/>
        <w:numPr>
          <w:ilvl w:val="0"/>
          <w:numId w:val="39"/>
        </w:numPr>
        <w:spacing w:after="240" w:line="360" w:lineRule="auto"/>
        <w:jc w:val="both"/>
        <w:rPr>
          <w:rFonts w:eastAsia="Arial" w:cs="Arial"/>
        </w:rPr>
      </w:pPr>
      <w:r w:rsidRPr="278B2A38">
        <w:rPr>
          <w:rFonts w:eastAsia="Arial" w:cs="Arial"/>
        </w:rPr>
        <w:t>fridge/freezer</w:t>
      </w:r>
    </w:p>
    <w:p w14:paraId="10E3708A" w14:textId="77777777" w:rsidR="000F5C98" w:rsidRPr="001461E9" w:rsidRDefault="000F5C98" w:rsidP="000F5C98">
      <w:pPr>
        <w:pStyle w:val="ListParagraph"/>
        <w:numPr>
          <w:ilvl w:val="0"/>
          <w:numId w:val="39"/>
        </w:numPr>
        <w:spacing w:after="240" w:line="360" w:lineRule="auto"/>
        <w:jc w:val="both"/>
        <w:rPr>
          <w:rFonts w:eastAsia="Arial" w:cs="Arial"/>
        </w:rPr>
      </w:pPr>
      <w:r w:rsidRPr="278B2A38">
        <w:rPr>
          <w:rFonts w:eastAsia="Arial" w:cs="Arial"/>
        </w:rPr>
        <w:t>washing machine/clothes dryer</w:t>
      </w:r>
    </w:p>
    <w:p w14:paraId="00611F53" w14:textId="77777777" w:rsidR="000F5C98" w:rsidRPr="001461E9" w:rsidRDefault="000F5C98" w:rsidP="000F5C98">
      <w:pPr>
        <w:pStyle w:val="ListParagraph"/>
        <w:numPr>
          <w:ilvl w:val="0"/>
          <w:numId w:val="39"/>
        </w:numPr>
        <w:spacing w:after="240" w:line="360" w:lineRule="auto"/>
        <w:jc w:val="both"/>
        <w:rPr>
          <w:rFonts w:eastAsia="Arial" w:cs="Arial"/>
        </w:rPr>
      </w:pPr>
      <w:r w:rsidRPr="278B2A38">
        <w:rPr>
          <w:rFonts w:eastAsia="Arial" w:cs="Arial"/>
        </w:rPr>
        <w:t>dishwasher</w:t>
      </w:r>
    </w:p>
    <w:p w14:paraId="28FB67AE" w14:textId="77777777" w:rsidR="000F5C98" w:rsidRPr="001461E9" w:rsidRDefault="000F5C98" w:rsidP="000F5C98">
      <w:pPr>
        <w:pStyle w:val="ListParagraph"/>
        <w:numPr>
          <w:ilvl w:val="0"/>
          <w:numId w:val="39"/>
        </w:numPr>
        <w:spacing w:after="240" w:line="360" w:lineRule="auto"/>
        <w:jc w:val="both"/>
        <w:rPr>
          <w:rFonts w:eastAsia="Arial" w:cs="Arial"/>
        </w:rPr>
      </w:pPr>
      <w:r w:rsidRPr="278B2A38">
        <w:rPr>
          <w:rFonts w:eastAsia="Arial" w:cs="Arial"/>
        </w:rPr>
        <w:t>air conditioning (where air conditioning is ducted, it is a landlord/owner requirement to regularly inspect, maintain and/or replace under essential services legislation).’</w:t>
      </w:r>
    </w:p>
    <w:p w14:paraId="4FC53E5A" w14:textId="77777777" w:rsidR="000F5C98" w:rsidRPr="00E96AA0" w:rsidRDefault="000F5C98" w:rsidP="000F5C98">
      <w:pPr>
        <w:spacing w:after="240" w:line="360" w:lineRule="auto"/>
        <w:rPr>
          <w:rFonts w:eastAsia="Arial" w:cs="Arial"/>
        </w:rPr>
      </w:pPr>
      <w:r w:rsidRPr="278B2A38">
        <w:rPr>
          <w:rFonts w:eastAsia="Arial" w:cs="Arial"/>
        </w:rPr>
        <w:t xml:space="preserve">NDS is aware that the DLM specifically includes white goods repair and replacement in recognition of the low income of tenants. NDS is concerned that without support to purchase and maintain larger items such as fridges and washing machines, many residents who rely on government welfare payments will be unable to meet the costs of these items. For example, many SDA residents, </w:t>
      </w:r>
      <w:proofErr w:type="gramStart"/>
      <w:r w:rsidRPr="278B2A38">
        <w:rPr>
          <w:rFonts w:eastAsia="Arial" w:cs="Arial"/>
        </w:rPr>
        <w:t>as a result of</w:t>
      </w:r>
      <w:proofErr w:type="gramEnd"/>
      <w:r w:rsidRPr="278B2A38">
        <w:rPr>
          <w:rFonts w:eastAsia="Arial" w:cs="Arial"/>
        </w:rPr>
        <w:t xml:space="preserve"> their disability, require an industrial washing machine. NDS is concerned that many SDA residents would struggle to meet the costs of repair and replacement of an industrial washing machine if relying on the Disability Support Pension. NDS encourages the department to continue funding purchase and maintenance of such large items.</w:t>
      </w:r>
    </w:p>
    <w:p w14:paraId="5CF5D723" w14:textId="77777777" w:rsidR="000F5C98" w:rsidRPr="005E64F9" w:rsidRDefault="000F5C98" w:rsidP="000F5C98">
      <w:pPr>
        <w:spacing w:line="360" w:lineRule="auto"/>
        <w:rPr>
          <w:rFonts w:eastAsia="Arial" w:cs="Arial"/>
        </w:rPr>
      </w:pPr>
      <w:r w:rsidRPr="000F5C98">
        <w:rPr>
          <w:rStyle w:val="Heading3Char"/>
        </w:rPr>
        <w:t>Utilities</w:t>
      </w:r>
      <w:r>
        <w:br/>
      </w:r>
      <w:r w:rsidRPr="278B2A38">
        <w:rPr>
          <w:rFonts w:eastAsia="Arial" w:cs="Arial"/>
        </w:rPr>
        <w:t xml:space="preserve">The </w:t>
      </w:r>
      <w:r w:rsidRPr="278B2A38">
        <w:rPr>
          <w:rFonts w:eastAsia="Arial" w:cs="Arial"/>
          <w:i/>
          <w:iCs/>
        </w:rPr>
        <w:t>RTA</w:t>
      </w:r>
      <w:r w:rsidRPr="278B2A38">
        <w:rPr>
          <w:rFonts w:eastAsia="Arial" w:cs="Arial"/>
        </w:rPr>
        <w:t xml:space="preserve"> notes that the SDA Provider is responsible for ensuring access to utilities, however, it does not outline who is responsible for taking out the agreement with the utility </w:t>
      </w:r>
      <w:proofErr w:type="gramStart"/>
      <w:r w:rsidRPr="278B2A38">
        <w:rPr>
          <w:rFonts w:eastAsia="Arial" w:cs="Arial"/>
        </w:rPr>
        <w:t>provider, and</w:t>
      </w:r>
      <w:proofErr w:type="gramEnd"/>
      <w:r w:rsidRPr="278B2A38">
        <w:rPr>
          <w:rFonts w:eastAsia="Arial" w:cs="Arial"/>
        </w:rPr>
        <w:t xml:space="preserve"> arranging for ongoing payment of these services. The NDIS Practice Standards also fail to provide clarity around who is responsible for taking out agreements and managing the ongoing payment of utilities. NDS understands that utility arrangements in SDA dwellings differ significantly, with some houses </w:t>
      </w:r>
      <w:r w:rsidRPr="278B2A38">
        <w:rPr>
          <w:rFonts w:eastAsia="Arial" w:cs="Arial"/>
        </w:rPr>
        <w:lastRenderedPageBreak/>
        <w:t>opting for the SIL provider to take out the utility agreements, other opting for the SDA provider to take on this responsibility, and some placing this responsibility on the tenant. Each arrangement has its own complexities. For example, if the SIL provider takes out the agreement with the utility provider, what happens if the residents decide to change SIL provider? If one resident takes out the agreement, what happens if that individual moves out? NDS would like to see greater clarity within the department’s SDA policy documents around how these arrangements should be managed.</w:t>
      </w:r>
    </w:p>
    <w:p w14:paraId="5E4B4EC0" w14:textId="77777777" w:rsidR="000F5C98" w:rsidRDefault="000F5C98" w:rsidP="000F5C98">
      <w:pPr>
        <w:pStyle w:val="Heading3"/>
      </w:pPr>
      <w:r w:rsidRPr="278B2A38">
        <w:t>Home Modifications and Assistive Technology</w:t>
      </w:r>
    </w:p>
    <w:p w14:paraId="0A191151" w14:textId="77777777" w:rsidR="000F5C98" w:rsidRPr="009C34BC" w:rsidRDefault="000F5C98" w:rsidP="000F5C98">
      <w:pPr>
        <w:spacing w:after="240" w:line="360" w:lineRule="auto"/>
        <w:rPr>
          <w:rFonts w:eastAsia="Arial" w:cs="Arial"/>
        </w:rPr>
      </w:pPr>
      <w:r w:rsidRPr="278B2A38">
        <w:rPr>
          <w:rFonts w:eastAsia="Arial" w:cs="Arial"/>
          <w:color w:val="000000" w:themeColor="text1"/>
          <w:lang w:val="en-US"/>
        </w:rPr>
        <w:t xml:space="preserve">NDS understands that under the NDIS Practice Standards, the SDA provider is obliged to supply base level home modifications. While this is the case, there is a lack of clarity within the department’s SDA policy documentation and the NDIS Practice Standards around how far this obligation extends. It is also unclear who covers the cost if the participant who needed the home modification moves out and the property </w:t>
      </w:r>
      <w:proofErr w:type="gramStart"/>
      <w:r w:rsidRPr="278B2A38">
        <w:rPr>
          <w:rFonts w:eastAsia="Arial" w:cs="Arial"/>
          <w:color w:val="000000" w:themeColor="text1"/>
          <w:lang w:val="en-US"/>
        </w:rPr>
        <w:t>has to</w:t>
      </w:r>
      <w:proofErr w:type="gramEnd"/>
      <w:r w:rsidRPr="278B2A38">
        <w:rPr>
          <w:rFonts w:eastAsia="Arial" w:cs="Arial"/>
          <w:color w:val="000000" w:themeColor="text1"/>
          <w:lang w:val="en-US"/>
        </w:rPr>
        <w:t xml:space="preserve"> be reinstated to its original condition. NDS recommends greater clarification around the responsibilities of the SDA provider and resident around the costs of home modifications and returning the property to its original condition if a tenant vacates the property.</w:t>
      </w:r>
    </w:p>
    <w:p w14:paraId="7EBA03AC" w14:textId="77777777" w:rsidR="000F5C98" w:rsidRPr="00C967B1" w:rsidRDefault="000F5C98" w:rsidP="000F5C98">
      <w:pPr>
        <w:spacing w:after="240" w:line="360" w:lineRule="auto"/>
        <w:rPr>
          <w:rFonts w:eastAsia="Arial" w:cs="Arial"/>
        </w:rPr>
      </w:pPr>
      <w:r w:rsidRPr="278B2A38">
        <w:rPr>
          <w:rFonts w:eastAsia="Arial" w:cs="Arial"/>
        </w:rPr>
        <w:t xml:space="preserve">NDS understands the ceiling hoist tracking infrastructure is the responsibility of the SDA provider for designated categories in the SDA Design Standards. We also note that hoist maintenance and replacement was part of the DLM. We recommend that the department continues to provide and maintain ceiling hoist tracking </w:t>
      </w:r>
      <w:proofErr w:type="gramStart"/>
      <w:r w:rsidRPr="278B2A38">
        <w:rPr>
          <w:rFonts w:eastAsia="Arial" w:cs="Arial"/>
        </w:rPr>
        <w:t>infrastructure, and</w:t>
      </w:r>
      <w:proofErr w:type="gramEnd"/>
      <w:r w:rsidRPr="278B2A38">
        <w:rPr>
          <w:rFonts w:eastAsia="Arial" w:cs="Arial"/>
        </w:rPr>
        <w:t xml:space="preserve"> spell out the limits of this responsibility clearly within this manual.</w:t>
      </w:r>
    </w:p>
    <w:p w14:paraId="412BE6FA" w14:textId="77777777" w:rsidR="000F5C98" w:rsidRPr="00C967B1" w:rsidRDefault="000F5C98" w:rsidP="000F5C98">
      <w:pPr>
        <w:pStyle w:val="Heading1"/>
        <w:rPr>
          <w:rFonts w:eastAsia="Arial" w:cs="Arial"/>
        </w:rPr>
      </w:pPr>
      <w:r w:rsidRPr="278B2A38">
        <w:rPr>
          <w:rFonts w:eastAsia="Arial" w:cs="Arial"/>
        </w:rPr>
        <w:t>Conclusion</w:t>
      </w:r>
    </w:p>
    <w:p w14:paraId="4C48EAA6" w14:textId="77777777" w:rsidR="000F5C98" w:rsidRDefault="000F5C98" w:rsidP="000F5C98">
      <w:pPr>
        <w:spacing w:line="360" w:lineRule="auto"/>
        <w:textAlignment w:val="baseline"/>
        <w:rPr>
          <w:rFonts w:eastAsia="Arial" w:cs="Arial"/>
          <w:shd w:val="clear" w:color="auto" w:fill="FFFFFF"/>
        </w:rPr>
      </w:pPr>
      <w:r w:rsidRPr="278B2A38">
        <w:rPr>
          <w:rFonts w:eastAsia="Arial" w:cs="Arial"/>
          <w:shd w:val="clear" w:color="auto" w:fill="FFFFFF"/>
        </w:rPr>
        <w:t>NDS acknowledges that the SDA policies remain an important element in the protection of the rights of Victorians with disabilities and will support the smooth operation of the ongoing interaction of the government, SIL providers and residents. This review of the SDA policies and procedures provides an opportunity to bring the policies in line with the contemporary disability landscape.</w:t>
      </w:r>
    </w:p>
    <w:p w14:paraId="245EB660" w14:textId="77777777" w:rsidR="000F5C98" w:rsidRDefault="000F5C98" w:rsidP="000F5C98">
      <w:pPr>
        <w:spacing w:line="360" w:lineRule="auto"/>
        <w:textAlignment w:val="baseline"/>
        <w:rPr>
          <w:rFonts w:eastAsia="Arial" w:cs="Arial"/>
          <w:shd w:val="clear" w:color="auto" w:fill="FFFFFF"/>
        </w:rPr>
      </w:pPr>
    </w:p>
    <w:p w14:paraId="60875312" w14:textId="77777777" w:rsidR="000F5C98" w:rsidRPr="009C34BC" w:rsidRDefault="000F5C98" w:rsidP="000F5C98">
      <w:pPr>
        <w:spacing w:line="360" w:lineRule="auto"/>
        <w:textAlignment w:val="baseline"/>
        <w:rPr>
          <w:rFonts w:eastAsia="Arial" w:cs="Arial"/>
          <w:shd w:val="clear" w:color="auto" w:fill="FFFFFF"/>
        </w:rPr>
      </w:pPr>
      <w:r w:rsidRPr="278B2A38">
        <w:rPr>
          <w:rFonts w:eastAsia="Arial" w:cs="Arial"/>
          <w:shd w:val="clear" w:color="auto" w:fill="FFFFFF"/>
        </w:rPr>
        <w:lastRenderedPageBreak/>
        <w:t xml:space="preserve">For more information, please contact Heidi Cheung, Senior Policy and Projects Officer at </w:t>
      </w:r>
      <w:hyperlink r:id="rId17">
        <w:r w:rsidRPr="278B2A38">
          <w:rPr>
            <w:rStyle w:val="Hyperlink"/>
            <w:rFonts w:eastAsia="Arial" w:cs="Arial"/>
          </w:rPr>
          <w:t>Heidi.Cheung@nds.org.au</w:t>
        </w:r>
      </w:hyperlink>
      <w:r w:rsidRPr="278B2A38">
        <w:rPr>
          <w:rFonts w:eastAsia="Arial" w:cs="Arial"/>
        </w:rPr>
        <w:t xml:space="preserve"> </w:t>
      </w:r>
      <w:r w:rsidRPr="278B2A38">
        <w:rPr>
          <w:rFonts w:eastAsia="Arial" w:cs="Arial"/>
          <w:shd w:val="clear" w:color="auto" w:fill="FFFFFF"/>
        </w:rPr>
        <w:t xml:space="preserve">or Clare Hambly, Policy and Projects Officer at </w:t>
      </w:r>
      <w:hyperlink r:id="rId18" w:history="1">
        <w:r w:rsidRPr="278B2A38">
          <w:rPr>
            <w:rStyle w:val="Hyperlink"/>
            <w:rFonts w:eastAsia="Arial" w:cs="Arial"/>
          </w:rPr>
          <w:t>Clare.Hambly@nds.org.au</w:t>
        </w:r>
      </w:hyperlink>
      <w:r w:rsidRPr="278B2A38">
        <w:rPr>
          <w:rFonts w:eastAsia="Arial" w:cs="Arial"/>
        </w:rPr>
        <w:t>.</w:t>
      </w:r>
    </w:p>
    <w:p w14:paraId="428ABD58" w14:textId="77777777" w:rsidR="000F5C98" w:rsidRPr="00CE3D3B" w:rsidRDefault="000F5C98" w:rsidP="000F5C98">
      <w:pPr>
        <w:spacing w:line="360" w:lineRule="auto"/>
        <w:rPr>
          <w:rFonts w:eastAsia="Arial" w:cs="Arial"/>
        </w:rPr>
      </w:pPr>
    </w:p>
    <w:p w14:paraId="5F8EB0B5" w14:textId="77777777" w:rsidR="000F5C98" w:rsidRPr="00CE3D3B" w:rsidRDefault="000F5C98" w:rsidP="000F5C98">
      <w:pPr>
        <w:rPr>
          <w:rFonts w:eastAsia="Arial" w:cs="Arial"/>
          <w:shd w:val="clear" w:color="auto" w:fill="FFFFFF"/>
        </w:rPr>
      </w:pPr>
      <w:r w:rsidRPr="278B2A38">
        <w:rPr>
          <w:rFonts w:eastAsia="Arial" w:cs="Arial"/>
          <w:shd w:val="clear" w:color="auto" w:fill="FFFFFF"/>
        </w:rPr>
        <w:t>Sarah Fordyce</w:t>
      </w:r>
    </w:p>
    <w:p w14:paraId="001E047F" w14:textId="77777777" w:rsidR="000F5C98" w:rsidRPr="00CE3D3B" w:rsidRDefault="000F5C98" w:rsidP="000F5C98">
      <w:pPr>
        <w:rPr>
          <w:rFonts w:eastAsia="Arial" w:cs="Arial"/>
          <w:shd w:val="clear" w:color="auto" w:fill="FFFFFF"/>
        </w:rPr>
      </w:pPr>
      <w:r w:rsidRPr="278B2A38">
        <w:rPr>
          <w:rFonts w:eastAsia="Arial" w:cs="Arial"/>
          <w:shd w:val="clear" w:color="auto" w:fill="FFFFFF"/>
        </w:rPr>
        <w:t>State Manager</w:t>
      </w:r>
    </w:p>
    <w:p w14:paraId="1A9F2F77" w14:textId="77777777" w:rsidR="000F5C98" w:rsidRPr="00CE3D3B" w:rsidRDefault="000F5C98" w:rsidP="000F5C98">
      <w:pPr>
        <w:rPr>
          <w:rFonts w:eastAsia="Arial" w:cs="Arial"/>
          <w:shd w:val="clear" w:color="auto" w:fill="FFFFFF"/>
        </w:rPr>
      </w:pPr>
      <w:r w:rsidRPr="278B2A38">
        <w:rPr>
          <w:rFonts w:eastAsia="Arial" w:cs="Arial"/>
          <w:shd w:val="clear" w:color="auto" w:fill="FFFFFF"/>
        </w:rPr>
        <w:t>NDS Victoria</w:t>
      </w:r>
    </w:p>
    <w:p w14:paraId="67ECABF7" w14:textId="77777777" w:rsidR="000F5C98" w:rsidRPr="00CE3D3B" w:rsidRDefault="000F5C98" w:rsidP="000F5C98">
      <w:pPr>
        <w:rPr>
          <w:rFonts w:eastAsia="Arial" w:cs="Arial"/>
          <w:shd w:val="clear" w:color="auto" w:fill="FFFFFF"/>
        </w:rPr>
      </w:pPr>
      <w:r w:rsidRPr="278B2A38">
        <w:rPr>
          <w:rFonts w:eastAsia="Arial" w:cs="Arial"/>
          <w:shd w:val="clear" w:color="auto" w:fill="FFFFFF"/>
        </w:rPr>
        <w:t>3 November 2021</w:t>
      </w:r>
    </w:p>
    <w:p w14:paraId="7D8E12BA" w14:textId="77777777" w:rsidR="000F5C98" w:rsidRPr="006E18C2" w:rsidRDefault="000F5C98" w:rsidP="000F5C98">
      <w:pPr>
        <w:pStyle w:val="paragraph"/>
        <w:spacing w:before="0" w:beforeAutospacing="0" w:after="0" w:afterAutospacing="0"/>
        <w:jc w:val="both"/>
        <w:textAlignment w:val="baseline"/>
        <w:rPr>
          <w:rFonts w:ascii="Arial" w:eastAsia="Arial" w:hAnsi="Arial" w:cs="Arial"/>
          <w:b/>
          <w:bCs/>
          <w:sz w:val="22"/>
          <w:szCs w:val="22"/>
        </w:rPr>
      </w:pPr>
    </w:p>
    <w:p w14:paraId="4E71607B" w14:textId="77777777" w:rsidR="000F5C98" w:rsidRPr="00CE3D3B" w:rsidRDefault="000F5C98" w:rsidP="000F5C98">
      <w:pPr>
        <w:pStyle w:val="paragraph"/>
        <w:spacing w:before="0" w:beforeAutospacing="0" w:after="0" w:afterAutospacing="0" w:line="360" w:lineRule="auto"/>
        <w:textAlignment w:val="baseline"/>
        <w:rPr>
          <w:rFonts w:ascii="Arial" w:eastAsia="Arial" w:hAnsi="Arial" w:cs="Arial"/>
          <w:lang w:val="en"/>
        </w:rPr>
      </w:pPr>
    </w:p>
    <w:p w14:paraId="6E8F32B6" w14:textId="77777777" w:rsidR="000F5C98" w:rsidRDefault="000F5C98" w:rsidP="000F5C98">
      <w:pPr>
        <w:pStyle w:val="paragraph"/>
        <w:spacing w:before="0" w:beforeAutospacing="0" w:after="0" w:afterAutospacing="0" w:line="360" w:lineRule="auto"/>
        <w:jc w:val="both"/>
        <w:textAlignment w:val="baseline"/>
        <w:rPr>
          <w:rFonts w:ascii="Arial" w:eastAsia="Arial" w:hAnsi="Arial" w:cs="Arial"/>
          <w:sz w:val="22"/>
          <w:szCs w:val="22"/>
        </w:rPr>
      </w:pPr>
    </w:p>
    <w:p w14:paraId="06995CC4" w14:textId="77777777" w:rsidR="000F5C98" w:rsidRDefault="000F5C98" w:rsidP="000F5C98">
      <w:pPr>
        <w:pStyle w:val="paragraph"/>
        <w:spacing w:before="0" w:beforeAutospacing="0" w:after="0" w:afterAutospacing="0" w:line="360" w:lineRule="auto"/>
        <w:jc w:val="both"/>
        <w:textAlignment w:val="baseline"/>
        <w:rPr>
          <w:rFonts w:ascii="Arial" w:eastAsia="Arial" w:hAnsi="Arial" w:cs="Arial"/>
          <w:sz w:val="22"/>
          <w:szCs w:val="22"/>
        </w:rPr>
      </w:pPr>
    </w:p>
    <w:p w14:paraId="44888D5D" w14:textId="77777777" w:rsidR="000F5C98" w:rsidRPr="009C34BC" w:rsidRDefault="000F5C98" w:rsidP="000F5C98">
      <w:pPr>
        <w:rPr>
          <w:rFonts w:eastAsia="Arial" w:cs="Arial"/>
        </w:rPr>
      </w:pPr>
    </w:p>
    <w:p w14:paraId="45A41189" w14:textId="77777777" w:rsidR="000F5C98" w:rsidRPr="009C34BC" w:rsidRDefault="000F5C98" w:rsidP="000F5C98">
      <w:pPr>
        <w:pStyle w:val="Heading2"/>
        <w:rPr>
          <w:lang w:val="en-US"/>
        </w:rPr>
      </w:pPr>
    </w:p>
    <w:p w14:paraId="42418C10" w14:textId="77777777" w:rsidR="000F5C98" w:rsidRPr="002169BA" w:rsidRDefault="000F5C98" w:rsidP="000F5C98">
      <w:pPr>
        <w:rPr>
          <w:rFonts w:eastAsia="Arial" w:cs="Arial"/>
          <w:sz w:val="28"/>
          <w:szCs w:val="28"/>
          <w:lang w:val="en-US"/>
        </w:rPr>
      </w:pPr>
    </w:p>
    <w:p w14:paraId="67A70CBD" w14:textId="77777777" w:rsidR="000F5C98" w:rsidRDefault="000F5C98" w:rsidP="000F5C98">
      <w:pPr>
        <w:rPr>
          <w:rFonts w:eastAsia="Arial" w:cs="Arial"/>
        </w:rPr>
      </w:pPr>
    </w:p>
    <w:p w14:paraId="50512D51" w14:textId="77777777" w:rsidR="00AB33DF" w:rsidRPr="00C46FC8" w:rsidRDefault="00AB33DF" w:rsidP="00846EAA">
      <w:pPr>
        <w:spacing w:after="240" w:line="360" w:lineRule="auto"/>
      </w:pPr>
    </w:p>
    <w:sectPr w:rsidR="00AB33DF" w:rsidRPr="00C46FC8" w:rsidSect="00C25D3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9D61" w14:textId="77777777" w:rsidR="004C3643" w:rsidRDefault="004C3643" w:rsidP="00D368C0">
      <w:pPr>
        <w:spacing w:before="0"/>
      </w:pPr>
      <w:r>
        <w:separator/>
      </w:r>
    </w:p>
  </w:endnote>
  <w:endnote w:type="continuationSeparator" w:id="0">
    <w:p w14:paraId="7DA423C0" w14:textId="77777777" w:rsidR="004C3643" w:rsidRDefault="004C3643"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C5E6" w14:textId="77777777" w:rsidR="004C3643" w:rsidRDefault="004C3643" w:rsidP="00D368C0">
      <w:pPr>
        <w:spacing w:before="0"/>
      </w:pPr>
      <w:r>
        <w:separator/>
      </w:r>
    </w:p>
  </w:footnote>
  <w:footnote w:type="continuationSeparator" w:id="0">
    <w:p w14:paraId="7D969B59" w14:textId="77777777" w:rsidR="004C3643" w:rsidRDefault="004C3643"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C18"/>
    <w:multiLevelType w:val="hybridMultilevel"/>
    <w:tmpl w:val="D62CF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0E6E6E"/>
    <w:multiLevelType w:val="hybridMultilevel"/>
    <w:tmpl w:val="9078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A4DF3"/>
    <w:multiLevelType w:val="hybridMultilevel"/>
    <w:tmpl w:val="3B14F87A"/>
    <w:lvl w:ilvl="0" w:tplc="0C090001">
      <w:start w:val="1"/>
      <w:numFmt w:val="bullet"/>
      <w:lvlText w:val=""/>
      <w:lvlJc w:val="left"/>
      <w:pPr>
        <w:tabs>
          <w:tab w:val="num" w:pos="720"/>
        </w:tabs>
        <w:ind w:left="720" w:hanging="360"/>
      </w:pPr>
      <w:rPr>
        <w:rFonts w:ascii="Symbol" w:hAnsi="Symbol" w:hint="default"/>
      </w:rPr>
    </w:lvl>
    <w:lvl w:ilvl="1" w:tplc="A6B644F2" w:tentative="1">
      <w:start w:val="1"/>
      <w:numFmt w:val="bullet"/>
      <w:lvlText w:val=""/>
      <w:lvlJc w:val="left"/>
      <w:pPr>
        <w:tabs>
          <w:tab w:val="num" w:pos="1440"/>
        </w:tabs>
        <w:ind w:left="1440" w:hanging="360"/>
      </w:pPr>
      <w:rPr>
        <w:rFonts w:ascii="Wingdings" w:hAnsi="Wingdings" w:hint="default"/>
      </w:rPr>
    </w:lvl>
    <w:lvl w:ilvl="2" w:tplc="4D226DFE" w:tentative="1">
      <w:start w:val="1"/>
      <w:numFmt w:val="bullet"/>
      <w:lvlText w:val=""/>
      <w:lvlJc w:val="left"/>
      <w:pPr>
        <w:tabs>
          <w:tab w:val="num" w:pos="2160"/>
        </w:tabs>
        <w:ind w:left="2160" w:hanging="360"/>
      </w:pPr>
      <w:rPr>
        <w:rFonts w:ascii="Wingdings" w:hAnsi="Wingdings" w:hint="default"/>
      </w:rPr>
    </w:lvl>
    <w:lvl w:ilvl="3" w:tplc="2AAC6B64" w:tentative="1">
      <w:start w:val="1"/>
      <w:numFmt w:val="bullet"/>
      <w:lvlText w:val=""/>
      <w:lvlJc w:val="left"/>
      <w:pPr>
        <w:tabs>
          <w:tab w:val="num" w:pos="2880"/>
        </w:tabs>
        <w:ind w:left="2880" w:hanging="360"/>
      </w:pPr>
      <w:rPr>
        <w:rFonts w:ascii="Wingdings" w:hAnsi="Wingdings" w:hint="default"/>
      </w:rPr>
    </w:lvl>
    <w:lvl w:ilvl="4" w:tplc="64D247B8" w:tentative="1">
      <w:start w:val="1"/>
      <w:numFmt w:val="bullet"/>
      <w:lvlText w:val=""/>
      <w:lvlJc w:val="left"/>
      <w:pPr>
        <w:tabs>
          <w:tab w:val="num" w:pos="3600"/>
        </w:tabs>
        <w:ind w:left="3600" w:hanging="360"/>
      </w:pPr>
      <w:rPr>
        <w:rFonts w:ascii="Wingdings" w:hAnsi="Wingdings" w:hint="default"/>
      </w:rPr>
    </w:lvl>
    <w:lvl w:ilvl="5" w:tplc="EC7C04DC" w:tentative="1">
      <w:start w:val="1"/>
      <w:numFmt w:val="bullet"/>
      <w:lvlText w:val=""/>
      <w:lvlJc w:val="left"/>
      <w:pPr>
        <w:tabs>
          <w:tab w:val="num" w:pos="4320"/>
        </w:tabs>
        <w:ind w:left="4320" w:hanging="360"/>
      </w:pPr>
      <w:rPr>
        <w:rFonts w:ascii="Wingdings" w:hAnsi="Wingdings" w:hint="default"/>
      </w:rPr>
    </w:lvl>
    <w:lvl w:ilvl="6" w:tplc="B1BE70A4" w:tentative="1">
      <w:start w:val="1"/>
      <w:numFmt w:val="bullet"/>
      <w:lvlText w:val=""/>
      <w:lvlJc w:val="left"/>
      <w:pPr>
        <w:tabs>
          <w:tab w:val="num" w:pos="5040"/>
        </w:tabs>
        <w:ind w:left="5040" w:hanging="360"/>
      </w:pPr>
      <w:rPr>
        <w:rFonts w:ascii="Wingdings" w:hAnsi="Wingdings" w:hint="default"/>
      </w:rPr>
    </w:lvl>
    <w:lvl w:ilvl="7" w:tplc="C966C0C6" w:tentative="1">
      <w:start w:val="1"/>
      <w:numFmt w:val="bullet"/>
      <w:lvlText w:val=""/>
      <w:lvlJc w:val="left"/>
      <w:pPr>
        <w:tabs>
          <w:tab w:val="num" w:pos="5760"/>
        </w:tabs>
        <w:ind w:left="5760" w:hanging="360"/>
      </w:pPr>
      <w:rPr>
        <w:rFonts w:ascii="Wingdings" w:hAnsi="Wingdings" w:hint="default"/>
      </w:rPr>
    </w:lvl>
    <w:lvl w:ilvl="8" w:tplc="072453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5016"/>
    <w:multiLevelType w:val="hybridMultilevel"/>
    <w:tmpl w:val="3E8612E0"/>
    <w:lvl w:ilvl="0" w:tplc="A05A3600">
      <w:start w:val="1"/>
      <w:numFmt w:val="decimal"/>
      <w:lvlText w:val="%1."/>
      <w:lvlJc w:val="left"/>
      <w:pPr>
        <w:tabs>
          <w:tab w:val="num" w:pos="720"/>
        </w:tabs>
        <w:ind w:left="720" w:hanging="360"/>
      </w:pPr>
    </w:lvl>
    <w:lvl w:ilvl="1" w:tplc="E5EE9000" w:tentative="1">
      <w:start w:val="1"/>
      <w:numFmt w:val="decimal"/>
      <w:lvlText w:val="%2."/>
      <w:lvlJc w:val="left"/>
      <w:pPr>
        <w:tabs>
          <w:tab w:val="num" w:pos="1440"/>
        </w:tabs>
        <w:ind w:left="1440" w:hanging="360"/>
      </w:pPr>
    </w:lvl>
    <w:lvl w:ilvl="2" w:tplc="E99CC156" w:tentative="1">
      <w:start w:val="1"/>
      <w:numFmt w:val="decimal"/>
      <w:lvlText w:val="%3."/>
      <w:lvlJc w:val="left"/>
      <w:pPr>
        <w:tabs>
          <w:tab w:val="num" w:pos="2160"/>
        </w:tabs>
        <w:ind w:left="2160" w:hanging="360"/>
      </w:pPr>
    </w:lvl>
    <w:lvl w:ilvl="3" w:tplc="B18A7286" w:tentative="1">
      <w:start w:val="1"/>
      <w:numFmt w:val="decimal"/>
      <w:lvlText w:val="%4."/>
      <w:lvlJc w:val="left"/>
      <w:pPr>
        <w:tabs>
          <w:tab w:val="num" w:pos="2880"/>
        </w:tabs>
        <w:ind w:left="2880" w:hanging="360"/>
      </w:pPr>
    </w:lvl>
    <w:lvl w:ilvl="4" w:tplc="220680D4" w:tentative="1">
      <w:start w:val="1"/>
      <w:numFmt w:val="decimal"/>
      <w:lvlText w:val="%5."/>
      <w:lvlJc w:val="left"/>
      <w:pPr>
        <w:tabs>
          <w:tab w:val="num" w:pos="3600"/>
        </w:tabs>
        <w:ind w:left="3600" w:hanging="360"/>
      </w:pPr>
    </w:lvl>
    <w:lvl w:ilvl="5" w:tplc="CA5CDD26" w:tentative="1">
      <w:start w:val="1"/>
      <w:numFmt w:val="decimal"/>
      <w:lvlText w:val="%6."/>
      <w:lvlJc w:val="left"/>
      <w:pPr>
        <w:tabs>
          <w:tab w:val="num" w:pos="4320"/>
        </w:tabs>
        <w:ind w:left="4320" w:hanging="360"/>
      </w:pPr>
    </w:lvl>
    <w:lvl w:ilvl="6" w:tplc="82521A48" w:tentative="1">
      <w:start w:val="1"/>
      <w:numFmt w:val="decimal"/>
      <w:lvlText w:val="%7."/>
      <w:lvlJc w:val="left"/>
      <w:pPr>
        <w:tabs>
          <w:tab w:val="num" w:pos="5040"/>
        </w:tabs>
        <w:ind w:left="5040" w:hanging="360"/>
      </w:pPr>
    </w:lvl>
    <w:lvl w:ilvl="7" w:tplc="A0186202" w:tentative="1">
      <w:start w:val="1"/>
      <w:numFmt w:val="decimal"/>
      <w:lvlText w:val="%8."/>
      <w:lvlJc w:val="left"/>
      <w:pPr>
        <w:tabs>
          <w:tab w:val="num" w:pos="5760"/>
        </w:tabs>
        <w:ind w:left="5760" w:hanging="360"/>
      </w:pPr>
    </w:lvl>
    <w:lvl w:ilvl="8" w:tplc="41D034D0" w:tentative="1">
      <w:start w:val="1"/>
      <w:numFmt w:val="decimal"/>
      <w:lvlText w:val="%9."/>
      <w:lvlJc w:val="left"/>
      <w:pPr>
        <w:tabs>
          <w:tab w:val="num" w:pos="6480"/>
        </w:tabs>
        <w:ind w:left="6480" w:hanging="360"/>
      </w:pPr>
    </w:lvl>
  </w:abstractNum>
  <w:abstractNum w:abstractNumId="4" w15:restartNumberingAfterBreak="0">
    <w:nsid w:val="08F13768"/>
    <w:multiLevelType w:val="hybridMultilevel"/>
    <w:tmpl w:val="B8FAF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AA1BE5"/>
    <w:multiLevelType w:val="hybridMultilevel"/>
    <w:tmpl w:val="AF3AB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C5544C"/>
    <w:multiLevelType w:val="hybridMultilevel"/>
    <w:tmpl w:val="497EDCDE"/>
    <w:lvl w:ilvl="0" w:tplc="0C090001">
      <w:start w:val="1"/>
      <w:numFmt w:val="bullet"/>
      <w:lvlText w:val=""/>
      <w:lvlJc w:val="left"/>
      <w:pPr>
        <w:tabs>
          <w:tab w:val="num" w:pos="720"/>
        </w:tabs>
        <w:ind w:left="720" w:hanging="360"/>
      </w:pPr>
      <w:rPr>
        <w:rFonts w:ascii="Symbol" w:hAnsi="Symbol" w:hint="default"/>
      </w:rPr>
    </w:lvl>
    <w:lvl w:ilvl="1" w:tplc="E5EE9000" w:tentative="1">
      <w:start w:val="1"/>
      <w:numFmt w:val="decimal"/>
      <w:lvlText w:val="%2."/>
      <w:lvlJc w:val="left"/>
      <w:pPr>
        <w:tabs>
          <w:tab w:val="num" w:pos="1440"/>
        </w:tabs>
        <w:ind w:left="1440" w:hanging="360"/>
      </w:pPr>
    </w:lvl>
    <w:lvl w:ilvl="2" w:tplc="E99CC156" w:tentative="1">
      <w:start w:val="1"/>
      <w:numFmt w:val="decimal"/>
      <w:lvlText w:val="%3."/>
      <w:lvlJc w:val="left"/>
      <w:pPr>
        <w:tabs>
          <w:tab w:val="num" w:pos="2160"/>
        </w:tabs>
        <w:ind w:left="2160" w:hanging="360"/>
      </w:pPr>
    </w:lvl>
    <w:lvl w:ilvl="3" w:tplc="B18A7286" w:tentative="1">
      <w:start w:val="1"/>
      <w:numFmt w:val="decimal"/>
      <w:lvlText w:val="%4."/>
      <w:lvlJc w:val="left"/>
      <w:pPr>
        <w:tabs>
          <w:tab w:val="num" w:pos="2880"/>
        </w:tabs>
        <w:ind w:left="2880" w:hanging="360"/>
      </w:pPr>
    </w:lvl>
    <w:lvl w:ilvl="4" w:tplc="220680D4" w:tentative="1">
      <w:start w:val="1"/>
      <w:numFmt w:val="decimal"/>
      <w:lvlText w:val="%5."/>
      <w:lvlJc w:val="left"/>
      <w:pPr>
        <w:tabs>
          <w:tab w:val="num" w:pos="3600"/>
        </w:tabs>
        <w:ind w:left="3600" w:hanging="360"/>
      </w:pPr>
    </w:lvl>
    <w:lvl w:ilvl="5" w:tplc="CA5CDD26" w:tentative="1">
      <w:start w:val="1"/>
      <w:numFmt w:val="decimal"/>
      <w:lvlText w:val="%6."/>
      <w:lvlJc w:val="left"/>
      <w:pPr>
        <w:tabs>
          <w:tab w:val="num" w:pos="4320"/>
        </w:tabs>
        <w:ind w:left="4320" w:hanging="360"/>
      </w:pPr>
    </w:lvl>
    <w:lvl w:ilvl="6" w:tplc="82521A48" w:tentative="1">
      <w:start w:val="1"/>
      <w:numFmt w:val="decimal"/>
      <w:lvlText w:val="%7."/>
      <w:lvlJc w:val="left"/>
      <w:pPr>
        <w:tabs>
          <w:tab w:val="num" w:pos="5040"/>
        </w:tabs>
        <w:ind w:left="5040" w:hanging="360"/>
      </w:pPr>
    </w:lvl>
    <w:lvl w:ilvl="7" w:tplc="A0186202" w:tentative="1">
      <w:start w:val="1"/>
      <w:numFmt w:val="decimal"/>
      <w:lvlText w:val="%8."/>
      <w:lvlJc w:val="left"/>
      <w:pPr>
        <w:tabs>
          <w:tab w:val="num" w:pos="5760"/>
        </w:tabs>
        <w:ind w:left="5760" w:hanging="360"/>
      </w:pPr>
    </w:lvl>
    <w:lvl w:ilvl="8" w:tplc="41D034D0" w:tentative="1">
      <w:start w:val="1"/>
      <w:numFmt w:val="decimal"/>
      <w:lvlText w:val="%9."/>
      <w:lvlJc w:val="left"/>
      <w:pPr>
        <w:tabs>
          <w:tab w:val="num" w:pos="6480"/>
        </w:tabs>
        <w:ind w:left="6480" w:hanging="360"/>
      </w:pPr>
    </w:lvl>
  </w:abstractNum>
  <w:abstractNum w:abstractNumId="8" w15:restartNumberingAfterBreak="0">
    <w:nsid w:val="164221EF"/>
    <w:multiLevelType w:val="hybridMultilevel"/>
    <w:tmpl w:val="17CE7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193345"/>
    <w:multiLevelType w:val="hybridMultilevel"/>
    <w:tmpl w:val="74E63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140E55"/>
    <w:multiLevelType w:val="hybridMultilevel"/>
    <w:tmpl w:val="157811A8"/>
    <w:lvl w:ilvl="0" w:tplc="A0021C60">
      <w:start w:val="1"/>
      <w:numFmt w:val="decimal"/>
      <w:lvlText w:val="%1."/>
      <w:lvlJc w:val="left"/>
      <w:pPr>
        <w:tabs>
          <w:tab w:val="num" w:pos="720"/>
        </w:tabs>
        <w:ind w:left="720" w:hanging="360"/>
      </w:pPr>
    </w:lvl>
    <w:lvl w:ilvl="1" w:tplc="0A7CB15A" w:tentative="1">
      <w:start w:val="1"/>
      <w:numFmt w:val="decimal"/>
      <w:lvlText w:val="%2."/>
      <w:lvlJc w:val="left"/>
      <w:pPr>
        <w:tabs>
          <w:tab w:val="num" w:pos="1440"/>
        </w:tabs>
        <w:ind w:left="1440" w:hanging="360"/>
      </w:pPr>
    </w:lvl>
    <w:lvl w:ilvl="2" w:tplc="44B41CEC" w:tentative="1">
      <w:start w:val="1"/>
      <w:numFmt w:val="decimal"/>
      <w:lvlText w:val="%3."/>
      <w:lvlJc w:val="left"/>
      <w:pPr>
        <w:tabs>
          <w:tab w:val="num" w:pos="2160"/>
        </w:tabs>
        <w:ind w:left="2160" w:hanging="360"/>
      </w:pPr>
    </w:lvl>
    <w:lvl w:ilvl="3" w:tplc="FC9A6260" w:tentative="1">
      <w:start w:val="1"/>
      <w:numFmt w:val="decimal"/>
      <w:lvlText w:val="%4."/>
      <w:lvlJc w:val="left"/>
      <w:pPr>
        <w:tabs>
          <w:tab w:val="num" w:pos="2880"/>
        </w:tabs>
        <w:ind w:left="2880" w:hanging="360"/>
      </w:pPr>
    </w:lvl>
    <w:lvl w:ilvl="4" w:tplc="8C4E2DEA" w:tentative="1">
      <w:start w:val="1"/>
      <w:numFmt w:val="decimal"/>
      <w:lvlText w:val="%5."/>
      <w:lvlJc w:val="left"/>
      <w:pPr>
        <w:tabs>
          <w:tab w:val="num" w:pos="3600"/>
        </w:tabs>
        <w:ind w:left="3600" w:hanging="360"/>
      </w:pPr>
    </w:lvl>
    <w:lvl w:ilvl="5" w:tplc="F97243BE" w:tentative="1">
      <w:start w:val="1"/>
      <w:numFmt w:val="decimal"/>
      <w:lvlText w:val="%6."/>
      <w:lvlJc w:val="left"/>
      <w:pPr>
        <w:tabs>
          <w:tab w:val="num" w:pos="4320"/>
        </w:tabs>
        <w:ind w:left="4320" w:hanging="360"/>
      </w:pPr>
    </w:lvl>
    <w:lvl w:ilvl="6" w:tplc="38543CCC" w:tentative="1">
      <w:start w:val="1"/>
      <w:numFmt w:val="decimal"/>
      <w:lvlText w:val="%7."/>
      <w:lvlJc w:val="left"/>
      <w:pPr>
        <w:tabs>
          <w:tab w:val="num" w:pos="5040"/>
        </w:tabs>
        <w:ind w:left="5040" w:hanging="360"/>
      </w:pPr>
    </w:lvl>
    <w:lvl w:ilvl="7" w:tplc="ACFCD39E" w:tentative="1">
      <w:start w:val="1"/>
      <w:numFmt w:val="decimal"/>
      <w:lvlText w:val="%8."/>
      <w:lvlJc w:val="left"/>
      <w:pPr>
        <w:tabs>
          <w:tab w:val="num" w:pos="5760"/>
        </w:tabs>
        <w:ind w:left="5760" w:hanging="360"/>
      </w:pPr>
    </w:lvl>
    <w:lvl w:ilvl="8" w:tplc="069CE550" w:tentative="1">
      <w:start w:val="1"/>
      <w:numFmt w:val="decimal"/>
      <w:lvlText w:val="%9."/>
      <w:lvlJc w:val="left"/>
      <w:pPr>
        <w:tabs>
          <w:tab w:val="num" w:pos="6480"/>
        </w:tabs>
        <w:ind w:left="6480" w:hanging="360"/>
      </w:pPr>
    </w:lvl>
  </w:abstractNum>
  <w:abstractNum w:abstractNumId="11" w15:restartNumberingAfterBreak="0">
    <w:nsid w:val="2CC77872"/>
    <w:multiLevelType w:val="hybridMultilevel"/>
    <w:tmpl w:val="22A0A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B074C"/>
    <w:multiLevelType w:val="hybridMultilevel"/>
    <w:tmpl w:val="2E3AF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82726A"/>
    <w:multiLevelType w:val="hybridMultilevel"/>
    <w:tmpl w:val="38882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C055D9"/>
    <w:multiLevelType w:val="hybridMultilevel"/>
    <w:tmpl w:val="6E96C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31A97"/>
    <w:multiLevelType w:val="hybridMultilevel"/>
    <w:tmpl w:val="AA368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644590"/>
    <w:multiLevelType w:val="hybridMultilevel"/>
    <w:tmpl w:val="B88E9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26002"/>
    <w:multiLevelType w:val="hybridMultilevel"/>
    <w:tmpl w:val="100A9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E27B33"/>
    <w:multiLevelType w:val="hybridMultilevel"/>
    <w:tmpl w:val="157811A8"/>
    <w:lvl w:ilvl="0" w:tplc="A0021C60">
      <w:start w:val="1"/>
      <w:numFmt w:val="decimal"/>
      <w:lvlText w:val="%1."/>
      <w:lvlJc w:val="left"/>
      <w:pPr>
        <w:tabs>
          <w:tab w:val="num" w:pos="720"/>
        </w:tabs>
        <w:ind w:left="720" w:hanging="360"/>
      </w:pPr>
    </w:lvl>
    <w:lvl w:ilvl="1" w:tplc="0A7CB15A" w:tentative="1">
      <w:start w:val="1"/>
      <w:numFmt w:val="decimal"/>
      <w:lvlText w:val="%2."/>
      <w:lvlJc w:val="left"/>
      <w:pPr>
        <w:tabs>
          <w:tab w:val="num" w:pos="1440"/>
        </w:tabs>
        <w:ind w:left="1440" w:hanging="360"/>
      </w:pPr>
    </w:lvl>
    <w:lvl w:ilvl="2" w:tplc="44B41CEC" w:tentative="1">
      <w:start w:val="1"/>
      <w:numFmt w:val="decimal"/>
      <w:lvlText w:val="%3."/>
      <w:lvlJc w:val="left"/>
      <w:pPr>
        <w:tabs>
          <w:tab w:val="num" w:pos="2160"/>
        </w:tabs>
        <w:ind w:left="2160" w:hanging="360"/>
      </w:pPr>
    </w:lvl>
    <w:lvl w:ilvl="3" w:tplc="FC9A6260" w:tentative="1">
      <w:start w:val="1"/>
      <w:numFmt w:val="decimal"/>
      <w:lvlText w:val="%4."/>
      <w:lvlJc w:val="left"/>
      <w:pPr>
        <w:tabs>
          <w:tab w:val="num" w:pos="2880"/>
        </w:tabs>
        <w:ind w:left="2880" w:hanging="360"/>
      </w:pPr>
    </w:lvl>
    <w:lvl w:ilvl="4" w:tplc="8C4E2DEA" w:tentative="1">
      <w:start w:val="1"/>
      <w:numFmt w:val="decimal"/>
      <w:lvlText w:val="%5."/>
      <w:lvlJc w:val="left"/>
      <w:pPr>
        <w:tabs>
          <w:tab w:val="num" w:pos="3600"/>
        </w:tabs>
        <w:ind w:left="3600" w:hanging="360"/>
      </w:pPr>
    </w:lvl>
    <w:lvl w:ilvl="5" w:tplc="F97243BE" w:tentative="1">
      <w:start w:val="1"/>
      <w:numFmt w:val="decimal"/>
      <w:lvlText w:val="%6."/>
      <w:lvlJc w:val="left"/>
      <w:pPr>
        <w:tabs>
          <w:tab w:val="num" w:pos="4320"/>
        </w:tabs>
        <w:ind w:left="4320" w:hanging="360"/>
      </w:pPr>
    </w:lvl>
    <w:lvl w:ilvl="6" w:tplc="38543CCC" w:tentative="1">
      <w:start w:val="1"/>
      <w:numFmt w:val="decimal"/>
      <w:lvlText w:val="%7."/>
      <w:lvlJc w:val="left"/>
      <w:pPr>
        <w:tabs>
          <w:tab w:val="num" w:pos="5040"/>
        </w:tabs>
        <w:ind w:left="5040" w:hanging="360"/>
      </w:pPr>
    </w:lvl>
    <w:lvl w:ilvl="7" w:tplc="ACFCD39E" w:tentative="1">
      <w:start w:val="1"/>
      <w:numFmt w:val="decimal"/>
      <w:lvlText w:val="%8."/>
      <w:lvlJc w:val="left"/>
      <w:pPr>
        <w:tabs>
          <w:tab w:val="num" w:pos="5760"/>
        </w:tabs>
        <w:ind w:left="5760" w:hanging="360"/>
      </w:pPr>
    </w:lvl>
    <w:lvl w:ilvl="8" w:tplc="069CE550" w:tentative="1">
      <w:start w:val="1"/>
      <w:numFmt w:val="decimal"/>
      <w:lvlText w:val="%9."/>
      <w:lvlJc w:val="left"/>
      <w:pPr>
        <w:tabs>
          <w:tab w:val="num" w:pos="6480"/>
        </w:tabs>
        <w:ind w:left="6480" w:hanging="360"/>
      </w:pPr>
    </w:lvl>
  </w:abstractNum>
  <w:abstractNum w:abstractNumId="19" w15:restartNumberingAfterBreak="0">
    <w:nsid w:val="3F8D477C"/>
    <w:multiLevelType w:val="hybridMultilevel"/>
    <w:tmpl w:val="41DC2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452FBF"/>
    <w:multiLevelType w:val="hybridMultilevel"/>
    <w:tmpl w:val="C05E6E7C"/>
    <w:lvl w:ilvl="0" w:tplc="F8E03B14">
      <w:start w:val="1"/>
      <w:numFmt w:val="bullet"/>
      <w:lvlText w:val="•"/>
      <w:lvlJc w:val="left"/>
      <w:pPr>
        <w:tabs>
          <w:tab w:val="num" w:pos="720"/>
        </w:tabs>
        <w:ind w:left="720" w:hanging="360"/>
      </w:pPr>
      <w:rPr>
        <w:rFonts w:ascii="Arial" w:hAnsi="Arial" w:hint="default"/>
      </w:rPr>
    </w:lvl>
    <w:lvl w:ilvl="1" w:tplc="FCC833E6" w:tentative="1">
      <w:start w:val="1"/>
      <w:numFmt w:val="bullet"/>
      <w:lvlText w:val="•"/>
      <w:lvlJc w:val="left"/>
      <w:pPr>
        <w:tabs>
          <w:tab w:val="num" w:pos="1440"/>
        </w:tabs>
        <w:ind w:left="1440" w:hanging="360"/>
      </w:pPr>
      <w:rPr>
        <w:rFonts w:ascii="Arial" w:hAnsi="Arial" w:hint="default"/>
      </w:rPr>
    </w:lvl>
    <w:lvl w:ilvl="2" w:tplc="5EC05BF6" w:tentative="1">
      <w:start w:val="1"/>
      <w:numFmt w:val="bullet"/>
      <w:lvlText w:val="•"/>
      <w:lvlJc w:val="left"/>
      <w:pPr>
        <w:tabs>
          <w:tab w:val="num" w:pos="2160"/>
        </w:tabs>
        <w:ind w:left="2160" w:hanging="360"/>
      </w:pPr>
      <w:rPr>
        <w:rFonts w:ascii="Arial" w:hAnsi="Arial" w:hint="default"/>
      </w:rPr>
    </w:lvl>
    <w:lvl w:ilvl="3" w:tplc="7A242B82" w:tentative="1">
      <w:start w:val="1"/>
      <w:numFmt w:val="bullet"/>
      <w:lvlText w:val="•"/>
      <w:lvlJc w:val="left"/>
      <w:pPr>
        <w:tabs>
          <w:tab w:val="num" w:pos="2880"/>
        </w:tabs>
        <w:ind w:left="2880" w:hanging="360"/>
      </w:pPr>
      <w:rPr>
        <w:rFonts w:ascii="Arial" w:hAnsi="Arial" w:hint="default"/>
      </w:rPr>
    </w:lvl>
    <w:lvl w:ilvl="4" w:tplc="6A827900" w:tentative="1">
      <w:start w:val="1"/>
      <w:numFmt w:val="bullet"/>
      <w:lvlText w:val="•"/>
      <w:lvlJc w:val="left"/>
      <w:pPr>
        <w:tabs>
          <w:tab w:val="num" w:pos="3600"/>
        </w:tabs>
        <w:ind w:left="3600" w:hanging="360"/>
      </w:pPr>
      <w:rPr>
        <w:rFonts w:ascii="Arial" w:hAnsi="Arial" w:hint="default"/>
      </w:rPr>
    </w:lvl>
    <w:lvl w:ilvl="5" w:tplc="89DC2730" w:tentative="1">
      <w:start w:val="1"/>
      <w:numFmt w:val="bullet"/>
      <w:lvlText w:val="•"/>
      <w:lvlJc w:val="left"/>
      <w:pPr>
        <w:tabs>
          <w:tab w:val="num" w:pos="4320"/>
        </w:tabs>
        <w:ind w:left="4320" w:hanging="360"/>
      </w:pPr>
      <w:rPr>
        <w:rFonts w:ascii="Arial" w:hAnsi="Arial" w:hint="default"/>
      </w:rPr>
    </w:lvl>
    <w:lvl w:ilvl="6" w:tplc="BFF6E92C" w:tentative="1">
      <w:start w:val="1"/>
      <w:numFmt w:val="bullet"/>
      <w:lvlText w:val="•"/>
      <w:lvlJc w:val="left"/>
      <w:pPr>
        <w:tabs>
          <w:tab w:val="num" w:pos="5040"/>
        </w:tabs>
        <w:ind w:left="5040" w:hanging="360"/>
      </w:pPr>
      <w:rPr>
        <w:rFonts w:ascii="Arial" w:hAnsi="Arial" w:hint="default"/>
      </w:rPr>
    </w:lvl>
    <w:lvl w:ilvl="7" w:tplc="ED7EC43C" w:tentative="1">
      <w:start w:val="1"/>
      <w:numFmt w:val="bullet"/>
      <w:lvlText w:val="•"/>
      <w:lvlJc w:val="left"/>
      <w:pPr>
        <w:tabs>
          <w:tab w:val="num" w:pos="5760"/>
        </w:tabs>
        <w:ind w:left="5760" w:hanging="360"/>
      </w:pPr>
      <w:rPr>
        <w:rFonts w:ascii="Arial" w:hAnsi="Arial" w:hint="default"/>
      </w:rPr>
    </w:lvl>
    <w:lvl w:ilvl="8" w:tplc="E6BEC6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EC6FE0"/>
    <w:multiLevelType w:val="hybridMultilevel"/>
    <w:tmpl w:val="EE7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1A45D4"/>
    <w:multiLevelType w:val="hybridMultilevel"/>
    <w:tmpl w:val="31C01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3715E0"/>
    <w:multiLevelType w:val="hybridMultilevel"/>
    <w:tmpl w:val="CE6ED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C27C77"/>
    <w:multiLevelType w:val="hybridMultilevel"/>
    <w:tmpl w:val="796A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CE043B"/>
    <w:multiLevelType w:val="hybridMultilevel"/>
    <w:tmpl w:val="1AF80F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8627284"/>
    <w:multiLevelType w:val="hybridMultilevel"/>
    <w:tmpl w:val="1C621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9212DD"/>
    <w:multiLevelType w:val="hybridMultilevel"/>
    <w:tmpl w:val="B6D6B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FE3522"/>
    <w:multiLevelType w:val="hybridMultilevel"/>
    <w:tmpl w:val="D62CF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993D34"/>
    <w:multiLevelType w:val="hybridMultilevel"/>
    <w:tmpl w:val="5C000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375F9E"/>
    <w:multiLevelType w:val="hybridMultilevel"/>
    <w:tmpl w:val="DC50A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006D7C"/>
    <w:multiLevelType w:val="hybridMultilevel"/>
    <w:tmpl w:val="EE281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A401D2"/>
    <w:multiLevelType w:val="hybridMultilevel"/>
    <w:tmpl w:val="129C4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6B0912"/>
    <w:multiLevelType w:val="hybridMultilevel"/>
    <w:tmpl w:val="4DEAA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F92860"/>
    <w:multiLevelType w:val="hybridMultilevel"/>
    <w:tmpl w:val="D62CF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722E34"/>
    <w:multiLevelType w:val="hybridMultilevel"/>
    <w:tmpl w:val="771E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6B6DED"/>
    <w:multiLevelType w:val="hybridMultilevel"/>
    <w:tmpl w:val="F910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390FD1"/>
    <w:multiLevelType w:val="hybridMultilevel"/>
    <w:tmpl w:val="FADA2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BFA0180"/>
    <w:multiLevelType w:val="hybridMultilevel"/>
    <w:tmpl w:val="D62CF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303FD5"/>
    <w:multiLevelType w:val="hybridMultilevel"/>
    <w:tmpl w:val="164A7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B64205"/>
    <w:multiLevelType w:val="hybridMultilevel"/>
    <w:tmpl w:val="EEE21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36"/>
  </w:num>
  <w:num w:numId="4">
    <w:abstractNumId w:val="12"/>
  </w:num>
  <w:num w:numId="5">
    <w:abstractNumId w:val="5"/>
  </w:num>
  <w:num w:numId="6">
    <w:abstractNumId w:val="21"/>
  </w:num>
  <w:num w:numId="7">
    <w:abstractNumId w:val="20"/>
  </w:num>
  <w:num w:numId="8">
    <w:abstractNumId w:val="0"/>
  </w:num>
  <w:num w:numId="9">
    <w:abstractNumId w:val="39"/>
  </w:num>
  <w:num w:numId="10">
    <w:abstractNumId w:val="19"/>
  </w:num>
  <w:num w:numId="11">
    <w:abstractNumId w:val="14"/>
  </w:num>
  <w:num w:numId="12">
    <w:abstractNumId w:val="40"/>
  </w:num>
  <w:num w:numId="13">
    <w:abstractNumId w:val="38"/>
  </w:num>
  <w:num w:numId="14">
    <w:abstractNumId w:val="8"/>
  </w:num>
  <w:num w:numId="15">
    <w:abstractNumId w:val="25"/>
  </w:num>
  <w:num w:numId="16">
    <w:abstractNumId w:val="26"/>
  </w:num>
  <w:num w:numId="17">
    <w:abstractNumId w:val="29"/>
  </w:num>
  <w:num w:numId="18">
    <w:abstractNumId w:val="2"/>
  </w:num>
  <w:num w:numId="19">
    <w:abstractNumId w:val="27"/>
  </w:num>
  <w:num w:numId="20">
    <w:abstractNumId w:val="28"/>
  </w:num>
  <w:num w:numId="21">
    <w:abstractNumId w:val="22"/>
  </w:num>
  <w:num w:numId="22">
    <w:abstractNumId w:val="10"/>
  </w:num>
  <w:num w:numId="23">
    <w:abstractNumId w:val="18"/>
  </w:num>
  <w:num w:numId="24">
    <w:abstractNumId w:val="23"/>
  </w:num>
  <w:num w:numId="25">
    <w:abstractNumId w:val="1"/>
  </w:num>
  <w:num w:numId="26">
    <w:abstractNumId w:val="34"/>
  </w:num>
  <w:num w:numId="27">
    <w:abstractNumId w:val="32"/>
  </w:num>
  <w:num w:numId="28">
    <w:abstractNumId w:val="13"/>
  </w:num>
  <w:num w:numId="29">
    <w:abstractNumId w:val="16"/>
  </w:num>
  <w:num w:numId="30">
    <w:abstractNumId w:val="3"/>
  </w:num>
  <w:num w:numId="31">
    <w:abstractNumId w:val="15"/>
  </w:num>
  <w:num w:numId="32">
    <w:abstractNumId w:val="33"/>
  </w:num>
  <w:num w:numId="33">
    <w:abstractNumId w:val="11"/>
  </w:num>
  <w:num w:numId="34">
    <w:abstractNumId w:val="7"/>
  </w:num>
  <w:num w:numId="35">
    <w:abstractNumId w:val="9"/>
  </w:num>
  <w:num w:numId="36">
    <w:abstractNumId w:val="37"/>
  </w:num>
  <w:num w:numId="37">
    <w:abstractNumId w:val="17"/>
  </w:num>
  <w:num w:numId="38">
    <w:abstractNumId w:val="4"/>
  </w:num>
  <w:num w:numId="39">
    <w:abstractNumId w:val="31"/>
  </w:num>
  <w:num w:numId="40">
    <w:abstractNumId w:val="35"/>
  </w:num>
  <w:num w:numId="41">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98"/>
    <w:rsid w:val="000111EC"/>
    <w:rsid w:val="000265F5"/>
    <w:rsid w:val="00030505"/>
    <w:rsid w:val="0003051A"/>
    <w:rsid w:val="00043104"/>
    <w:rsid w:val="000438BB"/>
    <w:rsid w:val="00060157"/>
    <w:rsid w:val="000813FD"/>
    <w:rsid w:val="00083B29"/>
    <w:rsid w:val="000B4198"/>
    <w:rsid w:val="000B4382"/>
    <w:rsid w:val="000C0E78"/>
    <w:rsid w:val="000D0262"/>
    <w:rsid w:val="000E1C9D"/>
    <w:rsid w:val="000F07E6"/>
    <w:rsid w:val="000F5C98"/>
    <w:rsid w:val="00106936"/>
    <w:rsid w:val="001131C4"/>
    <w:rsid w:val="00136775"/>
    <w:rsid w:val="001377AD"/>
    <w:rsid w:val="00150CFE"/>
    <w:rsid w:val="00162AA6"/>
    <w:rsid w:val="00167575"/>
    <w:rsid w:val="00167F39"/>
    <w:rsid w:val="001742D6"/>
    <w:rsid w:val="001827D2"/>
    <w:rsid w:val="00192780"/>
    <w:rsid w:val="00194476"/>
    <w:rsid w:val="001A1B98"/>
    <w:rsid w:val="001A33BC"/>
    <w:rsid w:val="001B569D"/>
    <w:rsid w:val="001C13CD"/>
    <w:rsid w:val="001C58CE"/>
    <w:rsid w:val="001D1BA4"/>
    <w:rsid w:val="001D2B3E"/>
    <w:rsid w:val="001D4321"/>
    <w:rsid w:val="001E2B1A"/>
    <w:rsid w:val="001E3EE8"/>
    <w:rsid w:val="001F7CB0"/>
    <w:rsid w:val="00225E1C"/>
    <w:rsid w:val="00233441"/>
    <w:rsid w:val="002334D0"/>
    <w:rsid w:val="00235936"/>
    <w:rsid w:val="002447C0"/>
    <w:rsid w:val="002471A6"/>
    <w:rsid w:val="00250290"/>
    <w:rsid w:val="00252723"/>
    <w:rsid w:val="00254CE5"/>
    <w:rsid w:val="002606A3"/>
    <w:rsid w:val="002751DE"/>
    <w:rsid w:val="00275724"/>
    <w:rsid w:val="00275EDB"/>
    <w:rsid w:val="00280EE8"/>
    <w:rsid w:val="002812C2"/>
    <w:rsid w:val="0029481F"/>
    <w:rsid w:val="002B1A0D"/>
    <w:rsid w:val="002B1E4F"/>
    <w:rsid w:val="002B4035"/>
    <w:rsid w:val="002D51BF"/>
    <w:rsid w:val="002F24E1"/>
    <w:rsid w:val="00301169"/>
    <w:rsid w:val="00315000"/>
    <w:rsid w:val="0031684E"/>
    <w:rsid w:val="00321698"/>
    <w:rsid w:val="00331329"/>
    <w:rsid w:val="0033181E"/>
    <w:rsid w:val="003478A2"/>
    <w:rsid w:val="00362CB2"/>
    <w:rsid w:val="00374244"/>
    <w:rsid w:val="00374762"/>
    <w:rsid w:val="00381105"/>
    <w:rsid w:val="00387A6C"/>
    <w:rsid w:val="00395BA2"/>
    <w:rsid w:val="003A1BFD"/>
    <w:rsid w:val="003B0453"/>
    <w:rsid w:val="003B1F02"/>
    <w:rsid w:val="003B25F8"/>
    <w:rsid w:val="003B7153"/>
    <w:rsid w:val="003D3F6A"/>
    <w:rsid w:val="003D6A23"/>
    <w:rsid w:val="003E18D1"/>
    <w:rsid w:val="003E2B94"/>
    <w:rsid w:val="003E63DE"/>
    <w:rsid w:val="003F145A"/>
    <w:rsid w:val="004019FE"/>
    <w:rsid w:val="004117C8"/>
    <w:rsid w:val="0043609D"/>
    <w:rsid w:val="004432E5"/>
    <w:rsid w:val="00474F2A"/>
    <w:rsid w:val="004831B0"/>
    <w:rsid w:val="00491425"/>
    <w:rsid w:val="00491CB9"/>
    <w:rsid w:val="004934CB"/>
    <w:rsid w:val="004B7C4B"/>
    <w:rsid w:val="004C3643"/>
    <w:rsid w:val="004C38E3"/>
    <w:rsid w:val="004D49A1"/>
    <w:rsid w:val="004E1241"/>
    <w:rsid w:val="004E59F2"/>
    <w:rsid w:val="00503340"/>
    <w:rsid w:val="00504735"/>
    <w:rsid w:val="005116CA"/>
    <w:rsid w:val="005147C1"/>
    <w:rsid w:val="00517424"/>
    <w:rsid w:val="0051791C"/>
    <w:rsid w:val="005201FC"/>
    <w:rsid w:val="00520761"/>
    <w:rsid w:val="00521D08"/>
    <w:rsid w:val="00531D91"/>
    <w:rsid w:val="00533EA7"/>
    <w:rsid w:val="005449C6"/>
    <w:rsid w:val="00544F92"/>
    <w:rsid w:val="005458D7"/>
    <w:rsid w:val="0055623E"/>
    <w:rsid w:val="005603B6"/>
    <w:rsid w:val="0057389A"/>
    <w:rsid w:val="00573AA8"/>
    <w:rsid w:val="005B2ED4"/>
    <w:rsid w:val="005C1C00"/>
    <w:rsid w:val="005C2F17"/>
    <w:rsid w:val="005D5E94"/>
    <w:rsid w:val="005E364A"/>
    <w:rsid w:val="005F0561"/>
    <w:rsid w:val="005F75BF"/>
    <w:rsid w:val="006007F7"/>
    <w:rsid w:val="00627016"/>
    <w:rsid w:val="00637FF7"/>
    <w:rsid w:val="00640D79"/>
    <w:rsid w:val="00642459"/>
    <w:rsid w:val="00646253"/>
    <w:rsid w:val="00653FCF"/>
    <w:rsid w:val="006809B1"/>
    <w:rsid w:val="00681A92"/>
    <w:rsid w:val="00691642"/>
    <w:rsid w:val="006A3C1E"/>
    <w:rsid w:val="006A40B1"/>
    <w:rsid w:val="006A58B1"/>
    <w:rsid w:val="006B63BB"/>
    <w:rsid w:val="006C320E"/>
    <w:rsid w:val="006C686E"/>
    <w:rsid w:val="006E012F"/>
    <w:rsid w:val="00702C8C"/>
    <w:rsid w:val="007041A0"/>
    <w:rsid w:val="00711482"/>
    <w:rsid w:val="007140CC"/>
    <w:rsid w:val="007160DE"/>
    <w:rsid w:val="00726A9A"/>
    <w:rsid w:val="00727888"/>
    <w:rsid w:val="007345DD"/>
    <w:rsid w:val="00740036"/>
    <w:rsid w:val="00750792"/>
    <w:rsid w:val="00777E4D"/>
    <w:rsid w:val="00780B48"/>
    <w:rsid w:val="00785AC5"/>
    <w:rsid w:val="007B29E6"/>
    <w:rsid w:val="007D1AF0"/>
    <w:rsid w:val="007E37D6"/>
    <w:rsid w:val="007E4A9A"/>
    <w:rsid w:val="007E6EC5"/>
    <w:rsid w:val="007E73C0"/>
    <w:rsid w:val="00811CAE"/>
    <w:rsid w:val="00822588"/>
    <w:rsid w:val="00824D6C"/>
    <w:rsid w:val="008370EA"/>
    <w:rsid w:val="008417C4"/>
    <w:rsid w:val="00844571"/>
    <w:rsid w:val="00846EAA"/>
    <w:rsid w:val="00885078"/>
    <w:rsid w:val="00885D4D"/>
    <w:rsid w:val="008921B5"/>
    <w:rsid w:val="008A4918"/>
    <w:rsid w:val="008A6C12"/>
    <w:rsid w:val="008C3790"/>
    <w:rsid w:val="008D2E2C"/>
    <w:rsid w:val="008D4F17"/>
    <w:rsid w:val="008D73B7"/>
    <w:rsid w:val="008E024C"/>
    <w:rsid w:val="008E0654"/>
    <w:rsid w:val="008E705F"/>
    <w:rsid w:val="00902392"/>
    <w:rsid w:val="009034AE"/>
    <w:rsid w:val="00904020"/>
    <w:rsid w:val="00904F3A"/>
    <w:rsid w:val="00914BA5"/>
    <w:rsid w:val="00915E3F"/>
    <w:rsid w:val="00922F82"/>
    <w:rsid w:val="00925055"/>
    <w:rsid w:val="00925B55"/>
    <w:rsid w:val="009267C2"/>
    <w:rsid w:val="00930DB7"/>
    <w:rsid w:val="009316AE"/>
    <w:rsid w:val="00953722"/>
    <w:rsid w:val="00957AE4"/>
    <w:rsid w:val="0096582B"/>
    <w:rsid w:val="00970738"/>
    <w:rsid w:val="00990757"/>
    <w:rsid w:val="009926B9"/>
    <w:rsid w:val="00993FCD"/>
    <w:rsid w:val="009B1756"/>
    <w:rsid w:val="009D0C19"/>
    <w:rsid w:val="009D0CF9"/>
    <w:rsid w:val="009D3677"/>
    <w:rsid w:val="009E35E2"/>
    <w:rsid w:val="009F7253"/>
    <w:rsid w:val="009F7850"/>
    <w:rsid w:val="00A0219F"/>
    <w:rsid w:val="00A02C6B"/>
    <w:rsid w:val="00A23E39"/>
    <w:rsid w:val="00A26BEE"/>
    <w:rsid w:val="00A34E63"/>
    <w:rsid w:val="00A37069"/>
    <w:rsid w:val="00A50EA8"/>
    <w:rsid w:val="00A5171E"/>
    <w:rsid w:val="00A5486E"/>
    <w:rsid w:val="00A91DD2"/>
    <w:rsid w:val="00A96F49"/>
    <w:rsid w:val="00AA4493"/>
    <w:rsid w:val="00AA4CAA"/>
    <w:rsid w:val="00AA7095"/>
    <w:rsid w:val="00AA7A13"/>
    <w:rsid w:val="00AB33DF"/>
    <w:rsid w:val="00AC553C"/>
    <w:rsid w:val="00AD1791"/>
    <w:rsid w:val="00AD3011"/>
    <w:rsid w:val="00AE49C3"/>
    <w:rsid w:val="00AE5544"/>
    <w:rsid w:val="00AE5D8F"/>
    <w:rsid w:val="00AE71B7"/>
    <w:rsid w:val="00AF1EE1"/>
    <w:rsid w:val="00B05789"/>
    <w:rsid w:val="00B1374B"/>
    <w:rsid w:val="00B3773B"/>
    <w:rsid w:val="00B64F85"/>
    <w:rsid w:val="00B821F7"/>
    <w:rsid w:val="00B83103"/>
    <w:rsid w:val="00B867CC"/>
    <w:rsid w:val="00B86C6A"/>
    <w:rsid w:val="00BA2058"/>
    <w:rsid w:val="00BA2E4C"/>
    <w:rsid w:val="00BB0943"/>
    <w:rsid w:val="00BB4242"/>
    <w:rsid w:val="00BC5940"/>
    <w:rsid w:val="00BD1B29"/>
    <w:rsid w:val="00BD58C4"/>
    <w:rsid w:val="00BD6BC9"/>
    <w:rsid w:val="00BE47FA"/>
    <w:rsid w:val="00C07B14"/>
    <w:rsid w:val="00C21FFA"/>
    <w:rsid w:val="00C25D37"/>
    <w:rsid w:val="00C36092"/>
    <w:rsid w:val="00C36236"/>
    <w:rsid w:val="00C37D10"/>
    <w:rsid w:val="00C46FC8"/>
    <w:rsid w:val="00C509B1"/>
    <w:rsid w:val="00C519B3"/>
    <w:rsid w:val="00C52D5B"/>
    <w:rsid w:val="00C6565C"/>
    <w:rsid w:val="00C73233"/>
    <w:rsid w:val="00C83884"/>
    <w:rsid w:val="00CA468E"/>
    <w:rsid w:val="00CC123E"/>
    <w:rsid w:val="00CD18A4"/>
    <w:rsid w:val="00CD29D6"/>
    <w:rsid w:val="00CE2529"/>
    <w:rsid w:val="00CF7FE3"/>
    <w:rsid w:val="00D011B8"/>
    <w:rsid w:val="00D05608"/>
    <w:rsid w:val="00D067A2"/>
    <w:rsid w:val="00D073FA"/>
    <w:rsid w:val="00D322D5"/>
    <w:rsid w:val="00D368C0"/>
    <w:rsid w:val="00D55575"/>
    <w:rsid w:val="00D719BA"/>
    <w:rsid w:val="00D71ECF"/>
    <w:rsid w:val="00D96205"/>
    <w:rsid w:val="00DB5D27"/>
    <w:rsid w:val="00DC584E"/>
    <w:rsid w:val="00DE40FC"/>
    <w:rsid w:val="00DE6456"/>
    <w:rsid w:val="00DF0059"/>
    <w:rsid w:val="00DF65D2"/>
    <w:rsid w:val="00E068FC"/>
    <w:rsid w:val="00E1431A"/>
    <w:rsid w:val="00E22FD1"/>
    <w:rsid w:val="00E36A54"/>
    <w:rsid w:val="00E60607"/>
    <w:rsid w:val="00E75AB4"/>
    <w:rsid w:val="00E960D6"/>
    <w:rsid w:val="00EA5DC2"/>
    <w:rsid w:val="00EB0CAD"/>
    <w:rsid w:val="00EB28FB"/>
    <w:rsid w:val="00EC38AC"/>
    <w:rsid w:val="00EC5F7C"/>
    <w:rsid w:val="00EC6BB3"/>
    <w:rsid w:val="00F06CE5"/>
    <w:rsid w:val="00F21467"/>
    <w:rsid w:val="00F24AD6"/>
    <w:rsid w:val="00F260BB"/>
    <w:rsid w:val="00F27A53"/>
    <w:rsid w:val="00F3454A"/>
    <w:rsid w:val="00F37ABC"/>
    <w:rsid w:val="00F540A7"/>
    <w:rsid w:val="00F60066"/>
    <w:rsid w:val="00F67726"/>
    <w:rsid w:val="00F83C72"/>
    <w:rsid w:val="00F868B1"/>
    <w:rsid w:val="00F9090B"/>
    <w:rsid w:val="00F930CD"/>
    <w:rsid w:val="00F976C1"/>
    <w:rsid w:val="00FA3FAD"/>
    <w:rsid w:val="00FB2EF0"/>
    <w:rsid w:val="00FB4809"/>
    <w:rsid w:val="00FD64AB"/>
    <w:rsid w:val="00FF4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576E8"/>
  <w15:docId w15:val="{9A3AF052-AF6F-42DE-A1F2-E136E621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EC5"/>
    <w:pPr>
      <w:spacing w:before="120" w:after="0" w:line="240" w:lineRule="auto"/>
    </w:pPr>
  </w:style>
  <w:style w:type="paragraph" w:styleId="Heading1">
    <w:name w:val="heading 1"/>
    <w:basedOn w:val="Normal"/>
    <w:next w:val="Normal"/>
    <w:link w:val="Heading1Char"/>
    <w:autoRedefine/>
    <w:uiPriority w:val="9"/>
    <w:qFormat/>
    <w:rsid w:val="000F5C98"/>
    <w:pPr>
      <w:spacing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F5C98"/>
    <w:pPr>
      <w:keepNext/>
      <w:keepLines/>
      <w:spacing w:before="240" w:after="120"/>
      <w:outlineLvl w:val="1"/>
    </w:pPr>
    <w:rPr>
      <w:rFonts w:eastAsia="Arial" w:cs="Arial"/>
      <w:b/>
      <w:bCs/>
      <w:sz w:val="36"/>
      <w:szCs w:val="32"/>
    </w:rPr>
  </w:style>
  <w:style w:type="paragraph" w:styleId="Heading3">
    <w:name w:val="heading 3"/>
    <w:basedOn w:val="Normal"/>
    <w:next w:val="Normal"/>
    <w:link w:val="Heading3Char"/>
    <w:autoRedefine/>
    <w:uiPriority w:val="9"/>
    <w:unhideWhenUsed/>
    <w:qFormat/>
    <w:rsid w:val="000F5C98"/>
    <w:pPr>
      <w:keepNext/>
      <w:keepLines/>
      <w:spacing w:after="240" w:line="360" w:lineRule="auto"/>
      <w:outlineLvl w:val="2"/>
    </w:pPr>
    <w:rPr>
      <w:rFonts w:eastAsia="Arial" w:cs="Arial"/>
      <w:b/>
      <w:sz w:val="28"/>
      <w:szCs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C98"/>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F5C98"/>
    <w:rPr>
      <w:rFonts w:eastAsia="Arial" w:cs="Arial"/>
      <w:b/>
      <w:bCs/>
      <w:sz w:val="36"/>
      <w:szCs w:val="32"/>
    </w:rPr>
  </w:style>
  <w:style w:type="character" w:customStyle="1" w:styleId="Heading3Char">
    <w:name w:val="Heading 3 Char"/>
    <w:basedOn w:val="DefaultParagraphFont"/>
    <w:link w:val="Heading3"/>
    <w:uiPriority w:val="9"/>
    <w:rsid w:val="000F5C98"/>
    <w:rPr>
      <w:rFonts w:eastAsia="Arial" w:cs="Arial"/>
      <w:b/>
      <w:sz w:val="28"/>
      <w:szCs w:val="28"/>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0F5C98"/>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0F5C98"/>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UnresolvedMention1">
    <w:name w:val="Unresolved Mention1"/>
    <w:basedOn w:val="DefaultParagraphFont"/>
    <w:uiPriority w:val="99"/>
    <w:semiHidden/>
    <w:unhideWhenUsed/>
    <w:rsid w:val="0055623E"/>
    <w:rPr>
      <w:color w:val="605E5C"/>
      <w:shd w:val="clear" w:color="auto" w:fill="E1DFDD"/>
    </w:rPr>
  </w:style>
  <w:style w:type="character" w:styleId="FollowedHyperlink">
    <w:name w:val="FollowedHyperlink"/>
    <w:basedOn w:val="DefaultParagraphFont"/>
    <w:uiPriority w:val="99"/>
    <w:semiHidden/>
    <w:unhideWhenUsed/>
    <w:rsid w:val="00993FCD"/>
    <w:rPr>
      <w:color w:val="954F72" w:themeColor="followedHyperlink"/>
      <w:u w:val="single"/>
    </w:rPr>
  </w:style>
  <w:style w:type="paragraph" w:styleId="Subtitle">
    <w:name w:val="Subtitle"/>
    <w:basedOn w:val="Normal"/>
    <w:next w:val="Normal"/>
    <w:link w:val="SubtitleChar"/>
    <w:uiPriority w:val="11"/>
    <w:qFormat/>
    <w:rsid w:val="000F5C98"/>
    <w:pPr>
      <w:numPr>
        <w:ilvl w:val="1"/>
      </w:numPr>
      <w:spacing w:before="0"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0F5C98"/>
    <w:rPr>
      <w:rFonts w:asciiTheme="minorHAnsi" w:eastAsiaTheme="minorEastAsia" w:hAnsiTheme="minorHAnsi"/>
      <w:color w:val="5A5A5A" w:themeColor="text1" w:themeTint="A5"/>
      <w:spacing w:val="15"/>
      <w:sz w:val="22"/>
      <w:szCs w:val="22"/>
    </w:rPr>
  </w:style>
  <w:style w:type="character" w:customStyle="1" w:styleId="normaltextrun">
    <w:name w:val="normaltextrun"/>
    <w:basedOn w:val="DefaultParagraphFont"/>
    <w:rsid w:val="000F5C98"/>
  </w:style>
  <w:style w:type="paragraph" w:customStyle="1" w:styleId="paragraph">
    <w:name w:val="paragraph"/>
    <w:basedOn w:val="Normal"/>
    <w:rsid w:val="000F5C98"/>
    <w:pPr>
      <w:spacing w:before="100" w:beforeAutospacing="1" w:after="100" w:afterAutospacing="1"/>
    </w:pPr>
    <w:rPr>
      <w:rFonts w:ascii="Times New Roman" w:hAnsi="Times New Roman" w:cs="Times New Roman"/>
      <w:lang w:eastAsia="en-AU"/>
    </w:rPr>
  </w:style>
  <w:style w:type="character" w:customStyle="1" w:styleId="eop">
    <w:name w:val="eop"/>
    <w:basedOn w:val="DefaultParagraphFont"/>
    <w:rsid w:val="000F5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
      <w:bodyDiv w:val="1"/>
      <w:marLeft w:val="0"/>
      <w:marRight w:val="0"/>
      <w:marTop w:val="0"/>
      <w:marBottom w:val="0"/>
      <w:divBdr>
        <w:top w:val="none" w:sz="0" w:space="0" w:color="auto"/>
        <w:left w:val="none" w:sz="0" w:space="0" w:color="auto"/>
        <w:bottom w:val="none" w:sz="0" w:space="0" w:color="auto"/>
        <w:right w:val="none" w:sz="0" w:space="0" w:color="auto"/>
      </w:divBdr>
    </w:div>
    <w:div w:id="31804129">
      <w:bodyDiv w:val="1"/>
      <w:marLeft w:val="0"/>
      <w:marRight w:val="0"/>
      <w:marTop w:val="0"/>
      <w:marBottom w:val="0"/>
      <w:divBdr>
        <w:top w:val="none" w:sz="0" w:space="0" w:color="auto"/>
        <w:left w:val="none" w:sz="0" w:space="0" w:color="auto"/>
        <w:bottom w:val="none" w:sz="0" w:space="0" w:color="auto"/>
        <w:right w:val="none" w:sz="0" w:space="0" w:color="auto"/>
      </w:divBdr>
    </w:div>
    <w:div w:id="78211660">
      <w:bodyDiv w:val="1"/>
      <w:marLeft w:val="0"/>
      <w:marRight w:val="0"/>
      <w:marTop w:val="0"/>
      <w:marBottom w:val="0"/>
      <w:divBdr>
        <w:top w:val="none" w:sz="0" w:space="0" w:color="auto"/>
        <w:left w:val="none" w:sz="0" w:space="0" w:color="auto"/>
        <w:bottom w:val="none" w:sz="0" w:space="0" w:color="auto"/>
        <w:right w:val="none" w:sz="0" w:space="0" w:color="auto"/>
      </w:divBdr>
    </w:div>
    <w:div w:id="96876564">
      <w:bodyDiv w:val="1"/>
      <w:marLeft w:val="0"/>
      <w:marRight w:val="0"/>
      <w:marTop w:val="0"/>
      <w:marBottom w:val="0"/>
      <w:divBdr>
        <w:top w:val="none" w:sz="0" w:space="0" w:color="auto"/>
        <w:left w:val="none" w:sz="0" w:space="0" w:color="auto"/>
        <w:bottom w:val="none" w:sz="0" w:space="0" w:color="auto"/>
        <w:right w:val="none" w:sz="0" w:space="0" w:color="auto"/>
      </w:divBdr>
    </w:div>
    <w:div w:id="123088430">
      <w:bodyDiv w:val="1"/>
      <w:marLeft w:val="0"/>
      <w:marRight w:val="0"/>
      <w:marTop w:val="0"/>
      <w:marBottom w:val="0"/>
      <w:divBdr>
        <w:top w:val="none" w:sz="0" w:space="0" w:color="auto"/>
        <w:left w:val="none" w:sz="0" w:space="0" w:color="auto"/>
        <w:bottom w:val="none" w:sz="0" w:space="0" w:color="auto"/>
        <w:right w:val="none" w:sz="0" w:space="0" w:color="auto"/>
      </w:divBdr>
    </w:div>
    <w:div w:id="123695723">
      <w:bodyDiv w:val="1"/>
      <w:marLeft w:val="0"/>
      <w:marRight w:val="0"/>
      <w:marTop w:val="0"/>
      <w:marBottom w:val="0"/>
      <w:divBdr>
        <w:top w:val="none" w:sz="0" w:space="0" w:color="auto"/>
        <w:left w:val="none" w:sz="0" w:space="0" w:color="auto"/>
        <w:bottom w:val="none" w:sz="0" w:space="0" w:color="auto"/>
        <w:right w:val="none" w:sz="0" w:space="0" w:color="auto"/>
      </w:divBdr>
    </w:div>
    <w:div w:id="176431157">
      <w:bodyDiv w:val="1"/>
      <w:marLeft w:val="0"/>
      <w:marRight w:val="0"/>
      <w:marTop w:val="0"/>
      <w:marBottom w:val="0"/>
      <w:divBdr>
        <w:top w:val="none" w:sz="0" w:space="0" w:color="auto"/>
        <w:left w:val="none" w:sz="0" w:space="0" w:color="auto"/>
        <w:bottom w:val="none" w:sz="0" w:space="0" w:color="auto"/>
        <w:right w:val="none" w:sz="0" w:space="0" w:color="auto"/>
      </w:divBdr>
    </w:div>
    <w:div w:id="207106109">
      <w:bodyDiv w:val="1"/>
      <w:marLeft w:val="0"/>
      <w:marRight w:val="0"/>
      <w:marTop w:val="0"/>
      <w:marBottom w:val="0"/>
      <w:divBdr>
        <w:top w:val="none" w:sz="0" w:space="0" w:color="auto"/>
        <w:left w:val="none" w:sz="0" w:space="0" w:color="auto"/>
        <w:bottom w:val="none" w:sz="0" w:space="0" w:color="auto"/>
        <w:right w:val="none" w:sz="0" w:space="0" w:color="auto"/>
      </w:divBdr>
      <w:divsChild>
        <w:div w:id="978073442">
          <w:marLeft w:val="403"/>
          <w:marRight w:val="0"/>
          <w:marTop w:val="181"/>
          <w:marBottom w:val="0"/>
          <w:divBdr>
            <w:top w:val="none" w:sz="0" w:space="0" w:color="auto"/>
            <w:left w:val="none" w:sz="0" w:space="0" w:color="auto"/>
            <w:bottom w:val="none" w:sz="0" w:space="0" w:color="auto"/>
            <w:right w:val="none" w:sz="0" w:space="0" w:color="auto"/>
          </w:divBdr>
        </w:div>
        <w:div w:id="793642508">
          <w:marLeft w:val="403"/>
          <w:marRight w:val="0"/>
          <w:marTop w:val="181"/>
          <w:marBottom w:val="0"/>
          <w:divBdr>
            <w:top w:val="none" w:sz="0" w:space="0" w:color="auto"/>
            <w:left w:val="none" w:sz="0" w:space="0" w:color="auto"/>
            <w:bottom w:val="none" w:sz="0" w:space="0" w:color="auto"/>
            <w:right w:val="none" w:sz="0" w:space="0" w:color="auto"/>
          </w:divBdr>
        </w:div>
        <w:div w:id="1849979849">
          <w:marLeft w:val="403"/>
          <w:marRight w:val="0"/>
          <w:marTop w:val="181"/>
          <w:marBottom w:val="0"/>
          <w:divBdr>
            <w:top w:val="none" w:sz="0" w:space="0" w:color="auto"/>
            <w:left w:val="none" w:sz="0" w:space="0" w:color="auto"/>
            <w:bottom w:val="none" w:sz="0" w:space="0" w:color="auto"/>
            <w:right w:val="none" w:sz="0" w:space="0" w:color="auto"/>
          </w:divBdr>
        </w:div>
        <w:div w:id="1135560571">
          <w:marLeft w:val="403"/>
          <w:marRight w:val="0"/>
          <w:marTop w:val="181"/>
          <w:marBottom w:val="0"/>
          <w:divBdr>
            <w:top w:val="none" w:sz="0" w:space="0" w:color="auto"/>
            <w:left w:val="none" w:sz="0" w:space="0" w:color="auto"/>
            <w:bottom w:val="none" w:sz="0" w:space="0" w:color="auto"/>
            <w:right w:val="none" w:sz="0" w:space="0" w:color="auto"/>
          </w:divBdr>
        </w:div>
        <w:div w:id="765659312">
          <w:marLeft w:val="403"/>
          <w:marRight w:val="0"/>
          <w:marTop w:val="181"/>
          <w:marBottom w:val="0"/>
          <w:divBdr>
            <w:top w:val="none" w:sz="0" w:space="0" w:color="auto"/>
            <w:left w:val="none" w:sz="0" w:space="0" w:color="auto"/>
            <w:bottom w:val="none" w:sz="0" w:space="0" w:color="auto"/>
            <w:right w:val="none" w:sz="0" w:space="0" w:color="auto"/>
          </w:divBdr>
        </w:div>
        <w:div w:id="626396885">
          <w:marLeft w:val="403"/>
          <w:marRight w:val="0"/>
          <w:marTop w:val="181"/>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29198408">
      <w:bodyDiv w:val="1"/>
      <w:marLeft w:val="0"/>
      <w:marRight w:val="0"/>
      <w:marTop w:val="0"/>
      <w:marBottom w:val="0"/>
      <w:divBdr>
        <w:top w:val="none" w:sz="0" w:space="0" w:color="auto"/>
        <w:left w:val="none" w:sz="0" w:space="0" w:color="auto"/>
        <w:bottom w:val="none" w:sz="0" w:space="0" w:color="auto"/>
        <w:right w:val="none" w:sz="0" w:space="0" w:color="auto"/>
      </w:divBdr>
      <w:divsChild>
        <w:div w:id="1831368139">
          <w:marLeft w:val="605"/>
          <w:marRight w:val="0"/>
          <w:marTop w:val="160"/>
          <w:marBottom w:val="160"/>
          <w:divBdr>
            <w:top w:val="none" w:sz="0" w:space="0" w:color="auto"/>
            <w:left w:val="none" w:sz="0" w:space="0" w:color="auto"/>
            <w:bottom w:val="none" w:sz="0" w:space="0" w:color="auto"/>
            <w:right w:val="none" w:sz="0" w:space="0" w:color="auto"/>
          </w:divBdr>
        </w:div>
        <w:div w:id="273054312">
          <w:marLeft w:val="605"/>
          <w:marRight w:val="0"/>
          <w:marTop w:val="160"/>
          <w:marBottom w:val="160"/>
          <w:divBdr>
            <w:top w:val="none" w:sz="0" w:space="0" w:color="auto"/>
            <w:left w:val="none" w:sz="0" w:space="0" w:color="auto"/>
            <w:bottom w:val="none" w:sz="0" w:space="0" w:color="auto"/>
            <w:right w:val="none" w:sz="0" w:space="0" w:color="auto"/>
          </w:divBdr>
        </w:div>
      </w:divsChild>
    </w:div>
    <w:div w:id="230889439">
      <w:bodyDiv w:val="1"/>
      <w:marLeft w:val="0"/>
      <w:marRight w:val="0"/>
      <w:marTop w:val="0"/>
      <w:marBottom w:val="0"/>
      <w:divBdr>
        <w:top w:val="none" w:sz="0" w:space="0" w:color="auto"/>
        <w:left w:val="none" w:sz="0" w:space="0" w:color="auto"/>
        <w:bottom w:val="none" w:sz="0" w:space="0" w:color="auto"/>
        <w:right w:val="none" w:sz="0" w:space="0" w:color="auto"/>
      </w:divBdr>
      <w:divsChild>
        <w:div w:id="118230891">
          <w:marLeft w:val="360"/>
          <w:marRight w:val="0"/>
          <w:marTop w:val="200"/>
          <w:marBottom w:val="0"/>
          <w:divBdr>
            <w:top w:val="none" w:sz="0" w:space="0" w:color="auto"/>
            <w:left w:val="none" w:sz="0" w:space="0" w:color="auto"/>
            <w:bottom w:val="none" w:sz="0" w:space="0" w:color="auto"/>
            <w:right w:val="none" w:sz="0" w:space="0" w:color="auto"/>
          </w:divBdr>
        </w:div>
        <w:div w:id="947200010">
          <w:marLeft w:val="1080"/>
          <w:marRight w:val="0"/>
          <w:marTop w:val="100"/>
          <w:marBottom w:val="0"/>
          <w:divBdr>
            <w:top w:val="none" w:sz="0" w:space="0" w:color="auto"/>
            <w:left w:val="none" w:sz="0" w:space="0" w:color="auto"/>
            <w:bottom w:val="none" w:sz="0" w:space="0" w:color="auto"/>
            <w:right w:val="none" w:sz="0" w:space="0" w:color="auto"/>
          </w:divBdr>
        </w:div>
        <w:div w:id="1187713512">
          <w:marLeft w:val="360"/>
          <w:marRight w:val="0"/>
          <w:marTop w:val="200"/>
          <w:marBottom w:val="0"/>
          <w:divBdr>
            <w:top w:val="none" w:sz="0" w:space="0" w:color="auto"/>
            <w:left w:val="none" w:sz="0" w:space="0" w:color="auto"/>
            <w:bottom w:val="none" w:sz="0" w:space="0" w:color="auto"/>
            <w:right w:val="none" w:sz="0" w:space="0" w:color="auto"/>
          </w:divBdr>
        </w:div>
        <w:div w:id="1005211661">
          <w:marLeft w:val="1080"/>
          <w:marRight w:val="0"/>
          <w:marTop w:val="100"/>
          <w:marBottom w:val="0"/>
          <w:divBdr>
            <w:top w:val="none" w:sz="0" w:space="0" w:color="auto"/>
            <w:left w:val="none" w:sz="0" w:space="0" w:color="auto"/>
            <w:bottom w:val="none" w:sz="0" w:space="0" w:color="auto"/>
            <w:right w:val="none" w:sz="0" w:space="0" w:color="auto"/>
          </w:divBdr>
        </w:div>
        <w:div w:id="1034965047">
          <w:marLeft w:val="360"/>
          <w:marRight w:val="0"/>
          <w:marTop w:val="200"/>
          <w:marBottom w:val="0"/>
          <w:divBdr>
            <w:top w:val="none" w:sz="0" w:space="0" w:color="auto"/>
            <w:left w:val="none" w:sz="0" w:space="0" w:color="auto"/>
            <w:bottom w:val="none" w:sz="0" w:space="0" w:color="auto"/>
            <w:right w:val="none" w:sz="0" w:space="0" w:color="auto"/>
          </w:divBdr>
        </w:div>
        <w:div w:id="1121991363">
          <w:marLeft w:val="1080"/>
          <w:marRight w:val="0"/>
          <w:marTop w:val="100"/>
          <w:marBottom w:val="0"/>
          <w:divBdr>
            <w:top w:val="none" w:sz="0" w:space="0" w:color="auto"/>
            <w:left w:val="none" w:sz="0" w:space="0" w:color="auto"/>
            <w:bottom w:val="none" w:sz="0" w:space="0" w:color="auto"/>
            <w:right w:val="none" w:sz="0" w:space="0" w:color="auto"/>
          </w:divBdr>
        </w:div>
        <w:div w:id="592323909">
          <w:marLeft w:val="360"/>
          <w:marRight w:val="0"/>
          <w:marTop w:val="200"/>
          <w:marBottom w:val="0"/>
          <w:divBdr>
            <w:top w:val="none" w:sz="0" w:space="0" w:color="auto"/>
            <w:left w:val="none" w:sz="0" w:space="0" w:color="auto"/>
            <w:bottom w:val="none" w:sz="0" w:space="0" w:color="auto"/>
            <w:right w:val="none" w:sz="0" w:space="0" w:color="auto"/>
          </w:divBdr>
        </w:div>
        <w:div w:id="707418142">
          <w:marLeft w:val="1080"/>
          <w:marRight w:val="0"/>
          <w:marTop w:val="100"/>
          <w:marBottom w:val="0"/>
          <w:divBdr>
            <w:top w:val="none" w:sz="0" w:space="0" w:color="auto"/>
            <w:left w:val="none" w:sz="0" w:space="0" w:color="auto"/>
            <w:bottom w:val="none" w:sz="0" w:space="0" w:color="auto"/>
            <w:right w:val="none" w:sz="0" w:space="0" w:color="auto"/>
          </w:divBdr>
        </w:div>
        <w:div w:id="693268858">
          <w:marLeft w:val="360"/>
          <w:marRight w:val="0"/>
          <w:marTop w:val="200"/>
          <w:marBottom w:val="0"/>
          <w:divBdr>
            <w:top w:val="none" w:sz="0" w:space="0" w:color="auto"/>
            <w:left w:val="none" w:sz="0" w:space="0" w:color="auto"/>
            <w:bottom w:val="none" w:sz="0" w:space="0" w:color="auto"/>
            <w:right w:val="none" w:sz="0" w:space="0" w:color="auto"/>
          </w:divBdr>
        </w:div>
        <w:div w:id="799882835">
          <w:marLeft w:val="1080"/>
          <w:marRight w:val="0"/>
          <w:marTop w:val="100"/>
          <w:marBottom w:val="0"/>
          <w:divBdr>
            <w:top w:val="none" w:sz="0" w:space="0" w:color="auto"/>
            <w:left w:val="none" w:sz="0" w:space="0" w:color="auto"/>
            <w:bottom w:val="none" w:sz="0" w:space="0" w:color="auto"/>
            <w:right w:val="none" w:sz="0" w:space="0" w:color="auto"/>
          </w:divBdr>
        </w:div>
        <w:div w:id="374083889">
          <w:marLeft w:val="360"/>
          <w:marRight w:val="0"/>
          <w:marTop w:val="200"/>
          <w:marBottom w:val="0"/>
          <w:divBdr>
            <w:top w:val="none" w:sz="0" w:space="0" w:color="auto"/>
            <w:left w:val="none" w:sz="0" w:space="0" w:color="auto"/>
            <w:bottom w:val="none" w:sz="0" w:space="0" w:color="auto"/>
            <w:right w:val="none" w:sz="0" w:space="0" w:color="auto"/>
          </w:divBdr>
        </w:div>
        <w:div w:id="100761306">
          <w:marLeft w:val="1080"/>
          <w:marRight w:val="0"/>
          <w:marTop w:val="100"/>
          <w:marBottom w:val="0"/>
          <w:divBdr>
            <w:top w:val="none" w:sz="0" w:space="0" w:color="auto"/>
            <w:left w:val="none" w:sz="0" w:space="0" w:color="auto"/>
            <w:bottom w:val="none" w:sz="0" w:space="0" w:color="auto"/>
            <w:right w:val="none" w:sz="0" w:space="0" w:color="auto"/>
          </w:divBdr>
        </w:div>
      </w:divsChild>
    </w:div>
    <w:div w:id="241571434">
      <w:bodyDiv w:val="1"/>
      <w:marLeft w:val="0"/>
      <w:marRight w:val="0"/>
      <w:marTop w:val="0"/>
      <w:marBottom w:val="0"/>
      <w:divBdr>
        <w:top w:val="none" w:sz="0" w:space="0" w:color="auto"/>
        <w:left w:val="none" w:sz="0" w:space="0" w:color="auto"/>
        <w:bottom w:val="none" w:sz="0" w:space="0" w:color="auto"/>
        <w:right w:val="none" w:sz="0" w:space="0" w:color="auto"/>
      </w:divBdr>
    </w:div>
    <w:div w:id="270943627">
      <w:bodyDiv w:val="1"/>
      <w:marLeft w:val="0"/>
      <w:marRight w:val="0"/>
      <w:marTop w:val="0"/>
      <w:marBottom w:val="0"/>
      <w:divBdr>
        <w:top w:val="none" w:sz="0" w:space="0" w:color="auto"/>
        <w:left w:val="none" w:sz="0" w:space="0" w:color="auto"/>
        <w:bottom w:val="none" w:sz="0" w:space="0" w:color="auto"/>
        <w:right w:val="none" w:sz="0" w:space="0" w:color="auto"/>
      </w:divBdr>
    </w:div>
    <w:div w:id="293562741">
      <w:bodyDiv w:val="1"/>
      <w:marLeft w:val="0"/>
      <w:marRight w:val="0"/>
      <w:marTop w:val="0"/>
      <w:marBottom w:val="0"/>
      <w:divBdr>
        <w:top w:val="none" w:sz="0" w:space="0" w:color="auto"/>
        <w:left w:val="none" w:sz="0" w:space="0" w:color="auto"/>
        <w:bottom w:val="none" w:sz="0" w:space="0" w:color="auto"/>
        <w:right w:val="none" w:sz="0" w:space="0" w:color="auto"/>
      </w:divBdr>
    </w:div>
    <w:div w:id="308170423">
      <w:bodyDiv w:val="1"/>
      <w:marLeft w:val="0"/>
      <w:marRight w:val="0"/>
      <w:marTop w:val="0"/>
      <w:marBottom w:val="0"/>
      <w:divBdr>
        <w:top w:val="none" w:sz="0" w:space="0" w:color="auto"/>
        <w:left w:val="none" w:sz="0" w:space="0" w:color="auto"/>
        <w:bottom w:val="none" w:sz="0" w:space="0" w:color="auto"/>
        <w:right w:val="none" w:sz="0" w:space="0" w:color="auto"/>
      </w:divBdr>
    </w:div>
    <w:div w:id="324549178">
      <w:bodyDiv w:val="1"/>
      <w:marLeft w:val="0"/>
      <w:marRight w:val="0"/>
      <w:marTop w:val="0"/>
      <w:marBottom w:val="0"/>
      <w:divBdr>
        <w:top w:val="none" w:sz="0" w:space="0" w:color="auto"/>
        <w:left w:val="none" w:sz="0" w:space="0" w:color="auto"/>
        <w:bottom w:val="none" w:sz="0" w:space="0" w:color="auto"/>
        <w:right w:val="none" w:sz="0" w:space="0" w:color="auto"/>
      </w:divBdr>
    </w:div>
    <w:div w:id="325979199">
      <w:bodyDiv w:val="1"/>
      <w:marLeft w:val="0"/>
      <w:marRight w:val="0"/>
      <w:marTop w:val="0"/>
      <w:marBottom w:val="0"/>
      <w:divBdr>
        <w:top w:val="none" w:sz="0" w:space="0" w:color="auto"/>
        <w:left w:val="none" w:sz="0" w:space="0" w:color="auto"/>
        <w:bottom w:val="none" w:sz="0" w:space="0" w:color="auto"/>
        <w:right w:val="none" w:sz="0" w:space="0" w:color="auto"/>
      </w:divBdr>
    </w:div>
    <w:div w:id="327095293">
      <w:bodyDiv w:val="1"/>
      <w:marLeft w:val="0"/>
      <w:marRight w:val="0"/>
      <w:marTop w:val="0"/>
      <w:marBottom w:val="0"/>
      <w:divBdr>
        <w:top w:val="none" w:sz="0" w:space="0" w:color="auto"/>
        <w:left w:val="none" w:sz="0" w:space="0" w:color="auto"/>
        <w:bottom w:val="none" w:sz="0" w:space="0" w:color="auto"/>
        <w:right w:val="none" w:sz="0" w:space="0" w:color="auto"/>
      </w:divBdr>
    </w:div>
    <w:div w:id="329260785">
      <w:bodyDiv w:val="1"/>
      <w:marLeft w:val="0"/>
      <w:marRight w:val="0"/>
      <w:marTop w:val="0"/>
      <w:marBottom w:val="0"/>
      <w:divBdr>
        <w:top w:val="none" w:sz="0" w:space="0" w:color="auto"/>
        <w:left w:val="none" w:sz="0" w:space="0" w:color="auto"/>
        <w:bottom w:val="none" w:sz="0" w:space="0" w:color="auto"/>
        <w:right w:val="none" w:sz="0" w:space="0" w:color="auto"/>
      </w:divBdr>
    </w:div>
    <w:div w:id="399451517">
      <w:bodyDiv w:val="1"/>
      <w:marLeft w:val="0"/>
      <w:marRight w:val="0"/>
      <w:marTop w:val="0"/>
      <w:marBottom w:val="0"/>
      <w:divBdr>
        <w:top w:val="none" w:sz="0" w:space="0" w:color="auto"/>
        <w:left w:val="none" w:sz="0" w:space="0" w:color="auto"/>
        <w:bottom w:val="none" w:sz="0" w:space="0" w:color="auto"/>
        <w:right w:val="none" w:sz="0" w:space="0" w:color="auto"/>
      </w:divBdr>
    </w:div>
    <w:div w:id="409694402">
      <w:bodyDiv w:val="1"/>
      <w:marLeft w:val="0"/>
      <w:marRight w:val="0"/>
      <w:marTop w:val="0"/>
      <w:marBottom w:val="0"/>
      <w:divBdr>
        <w:top w:val="none" w:sz="0" w:space="0" w:color="auto"/>
        <w:left w:val="none" w:sz="0" w:space="0" w:color="auto"/>
        <w:bottom w:val="none" w:sz="0" w:space="0" w:color="auto"/>
        <w:right w:val="none" w:sz="0" w:space="0" w:color="auto"/>
      </w:divBdr>
      <w:divsChild>
        <w:div w:id="466899135">
          <w:marLeft w:val="605"/>
          <w:marRight w:val="0"/>
          <w:marTop w:val="213"/>
          <w:marBottom w:val="0"/>
          <w:divBdr>
            <w:top w:val="none" w:sz="0" w:space="0" w:color="auto"/>
            <w:left w:val="none" w:sz="0" w:space="0" w:color="auto"/>
            <w:bottom w:val="none" w:sz="0" w:space="0" w:color="auto"/>
            <w:right w:val="none" w:sz="0" w:space="0" w:color="auto"/>
          </w:divBdr>
        </w:div>
        <w:div w:id="218323610">
          <w:marLeft w:val="605"/>
          <w:marRight w:val="0"/>
          <w:marTop w:val="213"/>
          <w:marBottom w:val="0"/>
          <w:divBdr>
            <w:top w:val="none" w:sz="0" w:space="0" w:color="auto"/>
            <w:left w:val="none" w:sz="0" w:space="0" w:color="auto"/>
            <w:bottom w:val="none" w:sz="0" w:space="0" w:color="auto"/>
            <w:right w:val="none" w:sz="0" w:space="0" w:color="auto"/>
          </w:divBdr>
        </w:div>
        <w:div w:id="1265504009">
          <w:marLeft w:val="605"/>
          <w:marRight w:val="0"/>
          <w:marTop w:val="213"/>
          <w:marBottom w:val="0"/>
          <w:divBdr>
            <w:top w:val="none" w:sz="0" w:space="0" w:color="auto"/>
            <w:left w:val="none" w:sz="0" w:space="0" w:color="auto"/>
            <w:bottom w:val="none" w:sz="0" w:space="0" w:color="auto"/>
            <w:right w:val="none" w:sz="0" w:space="0" w:color="auto"/>
          </w:divBdr>
        </w:div>
        <w:div w:id="1870602870">
          <w:marLeft w:val="605"/>
          <w:marRight w:val="0"/>
          <w:marTop w:val="213"/>
          <w:marBottom w:val="0"/>
          <w:divBdr>
            <w:top w:val="none" w:sz="0" w:space="0" w:color="auto"/>
            <w:left w:val="none" w:sz="0" w:space="0" w:color="auto"/>
            <w:bottom w:val="none" w:sz="0" w:space="0" w:color="auto"/>
            <w:right w:val="none" w:sz="0" w:space="0" w:color="auto"/>
          </w:divBdr>
        </w:div>
        <w:div w:id="1219706760">
          <w:marLeft w:val="605"/>
          <w:marRight w:val="0"/>
          <w:marTop w:val="213"/>
          <w:marBottom w:val="0"/>
          <w:divBdr>
            <w:top w:val="none" w:sz="0" w:space="0" w:color="auto"/>
            <w:left w:val="none" w:sz="0" w:space="0" w:color="auto"/>
            <w:bottom w:val="none" w:sz="0" w:space="0" w:color="auto"/>
            <w:right w:val="none" w:sz="0" w:space="0" w:color="auto"/>
          </w:divBdr>
        </w:div>
        <w:div w:id="1153107583">
          <w:marLeft w:val="605"/>
          <w:marRight w:val="0"/>
          <w:marTop w:val="213"/>
          <w:marBottom w:val="0"/>
          <w:divBdr>
            <w:top w:val="none" w:sz="0" w:space="0" w:color="auto"/>
            <w:left w:val="none" w:sz="0" w:space="0" w:color="auto"/>
            <w:bottom w:val="none" w:sz="0" w:space="0" w:color="auto"/>
            <w:right w:val="none" w:sz="0" w:space="0" w:color="auto"/>
          </w:divBdr>
        </w:div>
        <w:div w:id="305740635">
          <w:marLeft w:val="605"/>
          <w:marRight w:val="0"/>
          <w:marTop w:val="213"/>
          <w:marBottom w:val="0"/>
          <w:divBdr>
            <w:top w:val="none" w:sz="0" w:space="0" w:color="auto"/>
            <w:left w:val="none" w:sz="0" w:space="0" w:color="auto"/>
            <w:bottom w:val="none" w:sz="0" w:space="0" w:color="auto"/>
            <w:right w:val="none" w:sz="0" w:space="0" w:color="auto"/>
          </w:divBdr>
        </w:div>
        <w:div w:id="1452092427">
          <w:marLeft w:val="605"/>
          <w:marRight w:val="0"/>
          <w:marTop w:val="160"/>
          <w:marBottom w:val="160"/>
          <w:divBdr>
            <w:top w:val="none" w:sz="0" w:space="0" w:color="auto"/>
            <w:left w:val="none" w:sz="0" w:space="0" w:color="auto"/>
            <w:bottom w:val="none" w:sz="0" w:space="0" w:color="auto"/>
            <w:right w:val="none" w:sz="0" w:space="0" w:color="auto"/>
          </w:divBdr>
        </w:div>
        <w:div w:id="1042293926">
          <w:marLeft w:val="605"/>
          <w:marRight w:val="0"/>
          <w:marTop w:val="160"/>
          <w:marBottom w:val="160"/>
          <w:divBdr>
            <w:top w:val="none" w:sz="0" w:space="0" w:color="auto"/>
            <w:left w:val="none" w:sz="0" w:space="0" w:color="auto"/>
            <w:bottom w:val="none" w:sz="0" w:space="0" w:color="auto"/>
            <w:right w:val="none" w:sz="0" w:space="0" w:color="auto"/>
          </w:divBdr>
        </w:div>
      </w:divsChild>
    </w:div>
    <w:div w:id="446193876">
      <w:bodyDiv w:val="1"/>
      <w:marLeft w:val="0"/>
      <w:marRight w:val="0"/>
      <w:marTop w:val="0"/>
      <w:marBottom w:val="0"/>
      <w:divBdr>
        <w:top w:val="none" w:sz="0" w:space="0" w:color="auto"/>
        <w:left w:val="none" w:sz="0" w:space="0" w:color="auto"/>
        <w:bottom w:val="none" w:sz="0" w:space="0" w:color="auto"/>
        <w:right w:val="none" w:sz="0" w:space="0" w:color="auto"/>
      </w:divBdr>
    </w:div>
    <w:div w:id="463083978">
      <w:bodyDiv w:val="1"/>
      <w:marLeft w:val="0"/>
      <w:marRight w:val="0"/>
      <w:marTop w:val="0"/>
      <w:marBottom w:val="0"/>
      <w:divBdr>
        <w:top w:val="none" w:sz="0" w:space="0" w:color="auto"/>
        <w:left w:val="none" w:sz="0" w:space="0" w:color="auto"/>
        <w:bottom w:val="none" w:sz="0" w:space="0" w:color="auto"/>
        <w:right w:val="none" w:sz="0" w:space="0" w:color="auto"/>
      </w:divBdr>
    </w:div>
    <w:div w:id="501244726">
      <w:bodyDiv w:val="1"/>
      <w:marLeft w:val="0"/>
      <w:marRight w:val="0"/>
      <w:marTop w:val="0"/>
      <w:marBottom w:val="0"/>
      <w:divBdr>
        <w:top w:val="none" w:sz="0" w:space="0" w:color="auto"/>
        <w:left w:val="none" w:sz="0" w:space="0" w:color="auto"/>
        <w:bottom w:val="none" w:sz="0" w:space="0" w:color="auto"/>
        <w:right w:val="none" w:sz="0" w:space="0" w:color="auto"/>
      </w:divBdr>
    </w:div>
    <w:div w:id="522716712">
      <w:bodyDiv w:val="1"/>
      <w:marLeft w:val="0"/>
      <w:marRight w:val="0"/>
      <w:marTop w:val="0"/>
      <w:marBottom w:val="0"/>
      <w:divBdr>
        <w:top w:val="none" w:sz="0" w:space="0" w:color="auto"/>
        <w:left w:val="none" w:sz="0" w:space="0" w:color="auto"/>
        <w:bottom w:val="none" w:sz="0" w:space="0" w:color="auto"/>
        <w:right w:val="none" w:sz="0" w:space="0" w:color="auto"/>
      </w:divBdr>
    </w:div>
    <w:div w:id="535704043">
      <w:bodyDiv w:val="1"/>
      <w:marLeft w:val="0"/>
      <w:marRight w:val="0"/>
      <w:marTop w:val="0"/>
      <w:marBottom w:val="0"/>
      <w:divBdr>
        <w:top w:val="none" w:sz="0" w:space="0" w:color="auto"/>
        <w:left w:val="none" w:sz="0" w:space="0" w:color="auto"/>
        <w:bottom w:val="none" w:sz="0" w:space="0" w:color="auto"/>
        <w:right w:val="none" w:sz="0" w:space="0" w:color="auto"/>
      </w:divBdr>
    </w:div>
    <w:div w:id="635722792">
      <w:bodyDiv w:val="1"/>
      <w:marLeft w:val="0"/>
      <w:marRight w:val="0"/>
      <w:marTop w:val="0"/>
      <w:marBottom w:val="0"/>
      <w:divBdr>
        <w:top w:val="none" w:sz="0" w:space="0" w:color="auto"/>
        <w:left w:val="none" w:sz="0" w:space="0" w:color="auto"/>
        <w:bottom w:val="none" w:sz="0" w:space="0" w:color="auto"/>
        <w:right w:val="none" w:sz="0" w:space="0" w:color="auto"/>
      </w:divBdr>
    </w:div>
    <w:div w:id="699673303">
      <w:bodyDiv w:val="1"/>
      <w:marLeft w:val="0"/>
      <w:marRight w:val="0"/>
      <w:marTop w:val="0"/>
      <w:marBottom w:val="0"/>
      <w:divBdr>
        <w:top w:val="none" w:sz="0" w:space="0" w:color="auto"/>
        <w:left w:val="none" w:sz="0" w:space="0" w:color="auto"/>
        <w:bottom w:val="none" w:sz="0" w:space="0" w:color="auto"/>
        <w:right w:val="none" w:sz="0" w:space="0" w:color="auto"/>
      </w:divBdr>
      <w:divsChild>
        <w:div w:id="728768418">
          <w:marLeft w:val="720"/>
          <w:marRight w:val="0"/>
          <w:marTop w:val="0"/>
          <w:marBottom w:val="0"/>
          <w:divBdr>
            <w:top w:val="none" w:sz="0" w:space="0" w:color="auto"/>
            <w:left w:val="none" w:sz="0" w:space="0" w:color="auto"/>
            <w:bottom w:val="none" w:sz="0" w:space="0" w:color="auto"/>
            <w:right w:val="none" w:sz="0" w:space="0" w:color="auto"/>
          </w:divBdr>
        </w:div>
        <w:div w:id="2101363044">
          <w:marLeft w:val="720"/>
          <w:marRight w:val="0"/>
          <w:marTop w:val="0"/>
          <w:marBottom w:val="0"/>
          <w:divBdr>
            <w:top w:val="none" w:sz="0" w:space="0" w:color="auto"/>
            <w:left w:val="none" w:sz="0" w:space="0" w:color="auto"/>
            <w:bottom w:val="none" w:sz="0" w:space="0" w:color="auto"/>
            <w:right w:val="none" w:sz="0" w:space="0" w:color="auto"/>
          </w:divBdr>
        </w:div>
      </w:divsChild>
    </w:div>
    <w:div w:id="70925979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837233997">
      <w:bodyDiv w:val="1"/>
      <w:marLeft w:val="0"/>
      <w:marRight w:val="0"/>
      <w:marTop w:val="0"/>
      <w:marBottom w:val="0"/>
      <w:divBdr>
        <w:top w:val="none" w:sz="0" w:space="0" w:color="auto"/>
        <w:left w:val="none" w:sz="0" w:space="0" w:color="auto"/>
        <w:bottom w:val="none" w:sz="0" w:space="0" w:color="auto"/>
        <w:right w:val="none" w:sz="0" w:space="0" w:color="auto"/>
      </w:divBdr>
    </w:div>
    <w:div w:id="961034233">
      <w:bodyDiv w:val="1"/>
      <w:marLeft w:val="0"/>
      <w:marRight w:val="0"/>
      <w:marTop w:val="0"/>
      <w:marBottom w:val="0"/>
      <w:divBdr>
        <w:top w:val="none" w:sz="0" w:space="0" w:color="auto"/>
        <w:left w:val="none" w:sz="0" w:space="0" w:color="auto"/>
        <w:bottom w:val="none" w:sz="0" w:space="0" w:color="auto"/>
        <w:right w:val="none" w:sz="0" w:space="0" w:color="auto"/>
      </w:divBdr>
    </w:div>
    <w:div w:id="961959820">
      <w:bodyDiv w:val="1"/>
      <w:marLeft w:val="0"/>
      <w:marRight w:val="0"/>
      <w:marTop w:val="0"/>
      <w:marBottom w:val="0"/>
      <w:divBdr>
        <w:top w:val="none" w:sz="0" w:space="0" w:color="auto"/>
        <w:left w:val="none" w:sz="0" w:space="0" w:color="auto"/>
        <w:bottom w:val="none" w:sz="0" w:space="0" w:color="auto"/>
        <w:right w:val="none" w:sz="0" w:space="0" w:color="auto"/>
      </w:divBdr>
    </w:div>
    <w:div w:id="971403441">
      <w:bodyDiv w:val="1"/>
      <w:marLeft w:val="0"/>
      <w:marRight w:val="0"/>
      <w:marTop w:val="0"/>
      <w:marBottom w:val="0"/>
      <w:divBdr>
        <w:top w:val="none" w:sz="0" w:space="0" w:color="auto"/>
        <w:left w:val="none" w:sz="0" w:space="0" w:color="auto"/>
        <w:bottom w:val="none" w:sz="0" w:space="0" w:color="auto"/>
        <w:right w:val="none" w:sz="0" w:space="0" w:color="auto"/>
      </w:divBdr>
    </w:div>
    <w:div w:id="977345469">
      <w:bodyDiv w:val="1"/>
      <w:marLeft w:val="0"/>
      <w:marRight w:val="0"/>
      <w:marTop w:val="0"/>
      <w:marBottom w:val="0"/>
      <w:divBdr>
        <w:top w:val="none" w:sz="0" w:space="0" w:color="auto"/>
        <w:left w:val="none" w:sz="0" w:space="0" w:color="auto"/>
        <w:bottom w:val="none" w:sz="0" w:space="0" w:color="auto"/>
        <w:right w:val="none" w:sz="0" w:space="0" w:color="auto"/>
      </w:divBdr>
    </w:div>
    <w:div w:id="990019243">
      <w:bodyDiv w:val="1"/>
      <w:marLeft w:val="0"/>
      <w:marRight w:val="0"/>
      <w:marTop w:val="0"/>
      <w:marBottom w:val="0"/>
      <w:divBdr>
        <w:top w:val="none" w:sz="0" w:space="0" w:color="auto"/>
        <w:left w:val="none" w:sz="0" w:space="0" w:color="auto"/>
        <w:bottom w:val="none" w:sz="0" w:space="0" w:color="auto"/>
        <w:right w:val="none" w:sz="0" w:space="0" w:color="auto"/>
      </w:divBdr>
    </w:div>
    <w:div w:id="1037779047">
      <w:bodyDiv w:val="1"/>
      <w:marLeft w:val="0"/>
      <w:marRight w:val="0"/>
      <w:marTop w:val="0"/>
      <w:marBottom w:val="0"/>
      <w:divBdr>
        <w:top w:val="none" w:sz="0" w:space="0" w:color="auto"/>
        <w:left w:val="none" w:sz="0" w:space="0" w:color="auto"/>
        <w:bottom w:val="none" w:sz="0" w:space="0" w:color="auto"/>
        <w:right w:val="none" w:sz="0" w:space="0" w:color="auto"/>
      </w:divBdr>
    </w:div>
    <w:div w:id="1040207533">
      <w:bodyDiv w:val="1"/>
      <w:marLeft w:val="0"/>
      <w:marRight w:val="0"/>
      <w:marTop w:val="0"/>
      <w:marBottom w:val="0"/>
      <w:divBdr>
        <w:top w:val="none" w:sz="0" w:space="0" w:color="auto"/>
        <w:left w:val="none" w:sz="0" w:space="0" w:color="auto"/>
        <w:bottom w:val="none" w:sz="0" w:space="0" w:color="auto"/>
        <w:right w:val="none" w:sz="0" w:space="0" w:color="auto"/>
      </w:divBdr>
      <w:divsChild>
        <w:div w:id="635568652">
          <w:marLeft w:val="720"/>
          <w:marRight w:val="0"/>
          <w:marTop w:val="200"/>
          <w:marBottom w:val="0"/>
          <w:divBdr>
            <w:top w:val="none" w:sz="0" w:space="0" w:color="auto"/>
            <w:left w:val="none" w:sz="0" w:space="0" w:color="auto"/>
            <w:bottom w:val="none" w:sz="0" w:space="0" w:color="auto"/>
            <w:right w:val="none" w:sz="0" w:space="0" w:color="auto"/>
          </w:divBdr>
        </w:div>
        <w:div w:id="332992126">
          <w:marLeft w:val="720"/>
          <w:marRight w:val="0"/>
          <w:marTop w:val="200"/>
          <w:marBottom w:val="0"/>
          <w:divBdr>
            <w:top w:val="none" w:sz="0" w:space="0" w:color="auto"/>
            <w:left w:val="none" w:sz="0" w:space="0" w:color="auto"/>
            <w:bottom w:val="none" w:sz="0" w:space="0" w:color="auto"/>
            <w:right w:val="none" w:sz="0" w:space="0" w:color="auto"/>
          </w:divBdr>
        </w:div>
        <w:div w:id="1647583723">
          <w:marLeft w:val="720"/>
          <w:marRight w:val="0"/>
          <w:marTop w:val="200"/>
          <w:marBottom w:val="0"/>
          <w:divBdr>
            <w:top w:val="none" w:sz="0" w:space="0" w:color="auto"/>
            <w:left w:val="none" w:sz="0" w:space="0" w:color="auto"/>
            <w:bottom w:val="none" w:sz="0" w:space="0" w:color="auto"/>
            <w:right w:val="none" w:sz="0" w:space="0" w:color="auto"/>
          </w:divBdr>
        </w:div>
      </w:divsChild>
    </w:div>
    <w:div w:id="1066102618">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77168462">
      <w:bodyDiv w:val="1"/>
      <w:marLeft w:val="0"/>
      <w:marRight w:val="0"/>
      <w:marTop w:val="0"/>
      <w:marBottom w:val="0"/>
      <w:divBdr>
        <w:top w:val="none" w:sz="0" w:space="0" w:color="auto"/>
        <w:left w:val="none" w:sz="0" w:space="0" w:color="auto"/>
        <w:bottom w:val="none" w:sz="0" w:space="0" w:color="auto"/>
        <w:right w:val="none" w:sz="0" w:space="0" w:color="auto"/>
      </w:divBdr>
    </w:div>
    <w:div w:id="1085153825">
      <w:bodyDiv w:val="1"/>
      <w:marLeft w:val="0"/>
      <w:marRight w:val="0"/>
      <w:marTop w:val="0"/>
      <w:marBottom w:val="0"/>
      <w:divBdr>
        <w:top w:val="none" w:sz="0" w:space="0" w:color="auto"/>
        <w:left w:val="none" w:sz="0" w:space="0" w:color="auto"/>
        <w:bottom w:val="none" w:sz="0" w:space="0" w:color="auto"/>
        <w:right w:val="none" w:sz="0" w:space="0" w:color="auto"/>
      </w:divBdr>
      <w:divsChild>
        <w:div w:id="1832721791">
          <w:marLeft w:val="605"/>
          <w:marRight w:val="0"/>
          <w:marTop w:val="0"/>
          <w:marBottom w:val="0"/>
          <w:divBdr>
            <w:top w:val="none" w:sz="0" w:space="0" w:color="auto"/>
            <w:left w:val="none" w:sz="0" w:space="0" w:color="auto"/>
            <w:bottom w:val="none" w:sz="0" w:space="0" w:color="auto"/>
            <w:right w:val="none" w:sz="0" w:space="0" w:color="auto"/>
          </w:divBdr>
        </w:div>
        <w:div w:id="2128236193">
          <w:marLeft w:val="605"/>
          <w:marRight w:val="0"/>
          <w:marTop w:val="0"/>
          <w:marBottom w:val="0"/>
          <w:divBdr>
            <w:top w:val="none" w:sz="0" w:space="0" w:color="auto"/>
            <w:left w:val="none" w:sz="0" w:space="0" w:color="auto"/>
            <w:bottom w:val="none" w:sz="0" w:space="0" w:color="auto"/>
            <w:right w:val="none" w:sz="0" w:space="0" w:color="auto"/>
          </w:divBdr>
        </w:div>
        <w:div w:id="1254633719">
          <w:marLeft w:val="605"/>
          <w:marRight w:val="0"/>
          <w:marTop w:val="0"/>
          <w:marBottom w:val="0"/>
          <w:divBdr>
            <w:top w:val="none" w:sz="0" w:space="0" w:color="auto"/>
            <w:left w:val="none" w:sz="0" w:space="0" w:color="auto"/>
            <w:bottom w:val="none" w:sz="0" w:space="0" w:color="auto"/>
            <w:right w:val="none" w:sz="0" w:space="0" w:color="auto"/>
          </w:divBdr>
        </w:div>
        <w:div w:id="1269629769">
          <w:marLeft w:val="605"/>
          <w:marRight w:val="0"/>
          <w:marTop w:val="0"/>
          <w:marBottom w:val="0"/>
          <w:divBdr>
            <w:top w:val="none" w:sz="0" w:space="0" w:color="auto"/>
            <w:left w:val="none" w:sz="0" w:space="0" w:color="auto"/>
            <w:bottom w:val="none" w:sz="0" w:space="0" w:color="auto"/>
            <w:right w:val="none" w:sz="0" w:space="0" w:color="auto"/>
          </w:divBdr>
        </w:div>
        <w:div w:id="59643567">
          <w:marLeft w:val="605"/>
          <w:marRight w:val="0"/>
          <w:marTop w:val="0"/>
          <w:marBottom w:val="0"/>
          <w:divBdr>
            <w:top w:val="none" w:sz="0" w:space="0" w:color="auto"/>
            <w:left w:val="none" w:sz="0" w:space="0" w:color="auto"/>
            <w:bottom w:val="none" w:sz="0" w:space="0" w:color="auto"/>
            <w:right w:val="none" w:sz="0" w:space="0" w:color="auto"/>
          </w:divBdr>
        </w:div>
        <w:div w:id="1067918317">
          <w:marLeft w:val="605"/>
          <w:marRight w:val="0"/>
          <w:marTop w:val="0"/>
          <w:marBottom w:val="0"/>
          <w:divBdr>
            <w:top w:val="none" w:sz="0" w:space="0" w:color="auto"/>
            <w:left w:val="none" w:sz="0" w:space="0" w:color="auto"/>
            <w:bottom w:val="none" w:sz="0" w:space="0" w:color="auto"/>
            <w:right w:val="none" w:sz="0" w:space="0" w:color="auto"/>
          </w:divBdr>
        </w:div>
      </w:divsChild>
    </w:div>
    <w:div w:id="1211530571">
      <w:bodyDiv w:val="1"/>
      <w:marLeft w:val="0"/>
      <w:marRight w:val="0"/>
      <w:marTop w:val="0"/>
      <w:marBottom w:val="0"/>
      <w:divBdr>
        <w:top w:val="none" w:sz="0" w:space="0" w:color="auto"/>
        <w:left w:val="none" w:sz="0" w:space="0" w:color="auto"/>
        <w:bottom w:val="none" w:sz="0" w:space="0" w:color="auto"/>
        <w:right w:val="none" w:sz="0" w:space="0" w:color="auto"/>
      </w:divBdr>
    </w:div>
    <w:div w:id="1230188901">
      <w:bodyDiv w:val="1"/>
      <w:marLeft w:val="0"/>
      <w:marRight w:val="0"/>
      <w:marTop w:val="0"/>
      <w:marBottom w:val="0"/>
      <w:divBdr>
        <w:top w:val="none" w:sz="0" w:space="0" w:color="auto"/>
        <w:left w:val="none" w:sz="0" w:space="0" w:color="auto"/>
        <w:bottom w:val="none" w:sz="0" w:space="0" w:color="auto"/>
        <w:right w:val="none" w:sz="0" w:space="0" w:color="auto"/>
      </w:divBdr>
    </w:div>
    <w:div w:id="1250771127">
      <w:bodyDiv w:val="1"/>
      <w:marLeft w:val="0"/>
      <w:marRight w:val="0"/>
      <w:marTop w:val="0"/>
      <w:marBottom w:val="0"/>
      <w:divBdr>
        <w:top w:val="none" w:sz="0" w:space="0" w:color="auto"/>
        <w:left w:val="none" w:sz="0" w:space="0" w:color="auto"/>
        <w:bottom w:val="none" w:sz="0" w:space="0" w:color="auto"/>
        <w:right w:val="none" w:sz="0" w:space="0" w:color="auto"/>
      </w:divBdr>
    </w:div>
    <w:div w:id="1285161748">
      <w:bodyDiv w:val="1"/>
      <w:marLeft w:val="0"/>
      <w:marRight w:val="0"/>
      <w:marTop w:val="0"/>
      <w:marBottom w:val="0"/>
      <w:divBdr>
        <w:top w:val="none" w:sz="0" w:space="0" w:color="auto"/>
        <w:left w:val="none" w:sz="0" w:space="0" w:color="auto"/>
        <w:bottom w:val="none" w:sz="0" w:space="0" w:color="auto"/>
        <w:right w:val="none" w:sz="0" w:space="0" w:color="auto"/>
      </w:divBdr>
    </w:div>
    <w:div w:id="1310787932">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19846704">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0887343">
      <w:bodyDiv w:val="1"/>
      <w:marLeft w:val="0"/>
      <w:marRight w:val="0"/>
      <w:marTop w:val="0"/>
      <w:marBottom w:val="0"/>
      <w:divBdr>
        <w:top w:val="none" w:sz="0" w:space="0" w:color="auto"/>
        <w:left w:val="none" w:sz="0" w:space="0" w:color="auto"/>
        <w:bottom w:val="none" w:sz="0" w:space="0" w:color="auto"/>
        <w:right w:val="none" w:sz="0" w:space="0" w:color="auto"/>
      </w:divBdr>
    </w:div>
    <w:div w:id="1363674953">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66642266">
      <w:bodyDiv w:val="1"/>
      <w:marLeft w:val="0"/>
      <w:marRight w:val="0"/>
      <w:marTop w:val="0"/>
      <w:marBottom w:val="0"/>
      <w:divBdr>
        <w:top w:val="none" w:sz="0" w:space="0" w:color="auto"/>
        <w:left w:val="none" w:sz="0" w:space="0" w:color="auto"/>
        <w:bottom w:val="none" w:sz="0" w:space="0" w:color="auto"/>
        <w:right w:val="none" w:sz="0" w:space="0" w:color="auto"/>
      </w:divBdr>
    </w:div>
    <w:div w:id="1367826378">
      <w:bodyDiv w:val="1"/>
      <w:marLeft w:val="0"/>
      <w:marRight w:val="0"/>
      <w:marTop w:val="0"/>
      <w:marBottom w:val="0"/>
      <w:divBdr>
        <w:top w:val="none" w:sz="0" w:space="0" w:color="auto"/>
        <w:left w:val="none" w:sz="0" w:space="0" w:color="auto"/>
        <w:bottom w:val="none" w:sz="0" w:space="0" w:color="auto"/>
        <w:right w:val="none" w:sz="0" w:space="0" w:color="auto"/>
      </w:divBdr>
    </w:div>
    <w:div w:id="137384173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513765297">
      <w:bodyDiv w:val="1"/>
      <w:marLeft w:val="0"/>
      <w:marRight w:val="0"/>
      <w:marTop w:val="0"/>
      <w:marBottom w:val="0"/>
      <w:divBdr>
        <w:top w:val="none" w:sz="0" w:space="0" w:color="auto"/>
        <w:left w:val="none" w:sz="0" w:space="0" w:color="auto"/>
        <w:bottom w:val="none" w:sz="0" w:space="0" w:color="auto"/>
        <w:right w:val="none" w:sz="0" w:space="0" w:color="auto"/>
      </w:divBdr>
    </w:div>
    <w:div w:id="1515538632">
      <w:bodyDiv w:val="1"/>
      <w:marLeft w:val="0"/>
      <w:marRight w:val="0"/>
      <w:marTop w:val="0"/>
      <w:marBottom w:val="0"/>
      <w:divBdr>
        <w:top w:val="none" w:sz="0" w:space="0" w:color="auto"/>
        <w:left w:val="none" w:sz="0" w:space="0" w:color="auto"/>
        <w:bottom w:val="none" w:sz="0" w:space="0" w:color="auto"/>
        <w:right w:val="none" w:sz="0" w:space="0" w:color="auto"/>
      </w:divBdr>
      <w:divsChild>
        <w:div w:id="1802796655">
          <w:marLeft w:val="720"/>
          <w:marRight w:val="0"/>
          <w:marTop w:val="0"/>
          <w:marBottom w:val="0"/>
          <w:divBdr>
            <w:top w:val="none" w:sz="0" w:space="0" w:color="auto"/>
            <w:left w:val="none" w:sz="0" w:space="0" w:color="auto"/>
            <w:bottom w:val="none" w:sz="0" w:space="0" w:color="auto"/>
            <w:right w:val="none" w:sz="0" w:space="0" w:color="auto"/>
          </w:divBdr>
        </w:div>
        <w:div w:id="2072073087">
          <w:marLeft w:val="720"/>
          <w:marRight w:val="0"/>
          <w:marTop w:val="0"/>
          <w:marBottom w:val="0"/>
          <w:divBdr>
            <w:top w:val="none" w:sz="0" w:space="0" w:color="auto"/>
            <w:left w:val="none" w:sz="0" w:space="0" w:color="auto"/>
            <w:bottom w:val="none" w:sz="0" w:space="0" w:color="auto"/>
            <w:right w:val="none" w:sz="0" w:space="0" w:color="auto"/>
          </w:divBdr>
        </w:div>
      </w:divsChild>
    </w:div>
    <w:div w:id="1589459652">
      <w:bodyDiv w:val="1"/>
      <w:marLeft w:val="0"/>
      <w:marRight w:val="0"/>
      <w:marTop w:val="0"/>
      <w:marBottom w:val="0"/>
      <w:divBdr>
        <w:top w:val="none" w:sz="0" w:space="0" w:color="auto"/>
        <w:left w:val="none" w:sz="0" w:space="0" w:color="auto"/>
        <w:bottom w:val="none" w:sz="0" w:space="0" w:color="auto"/>
        <w:right w:val="none" w:sz="0" w:space="0" w:color="auto"/>
      </w:divBdr>
    </w:div>
    <w:div w:id="1593051190">
      <w:bodyDiv w:val="1"/>
      <w:marLeft w:val="0"/>
      <w:marRight w:val="0"/>
      <w:marTop w:val="0"/>
      <w:marBottom w:val="0"/>
      <w:divBdr>
        <w:top w:val="none" w:sz="0" w:space="0" w:color="auto"/>
        <w:left w:val="none" w:sz="0" w:space="0" w:color="auto"/>
        <w:bottom w:val="none" w:sz="0" w:space="0" w:color="auto"/>
        <w:right w:val="none" w:sz="0" w:space="0" w:color="auto"/>
      </w:divBdr>
    </w:div>
    <w:div w:id="1600523852">
      <w:bodyDiv w:val="1"/>
      <w:marLeft w:val="0"/>
      <w:marRight w:val="0"/>
      <w:marTop w:val="0"/>
      <w:marBottom w:val="0"/>
      <w:divBdr>
        <w:top w:val="none" w:sz="0" w:space="0" w:color="auto"/>
        <w:left w:val="none" w:sz="0" w:space="0" w:color="auto"/>
        <w:bottom w:val="none" w:sz="0" w:space="0" w:color="auto"/>
        <w:right w:val="none" w:sz="0" w:space="0" w:color="auto"/>
      </w:divBdr>
      <w:divsChild>
        <w:div w:id="272171889">
          <w:marLeft w:val="720"/>
          <w:marRight w:val="0"/>
          <w:marTop w:val="200"/>
          <w:marBottom w:val="0"/>
          <w:divBdr>
            <w:top w:val="none" w:sz="0" w:space="0" w:color="auto"/>
            <w:left w:val="none" w:sz="0" w:space="0" w:color="auto"/>
            <w:bottom w:val="none" w:sz="0" w:space="0" w:color="auto"/>
            <w:right w:val="none" w:sz="0" w:space="0" w:color="auto"/>
          </w:divBdr>
        </w:div>
        <w:div w:id="1759673651">
          <w:marLeft w:val="720"/>
          <w:marRight w:val="0"/>
          <w:marTop w:val="200"/>
          <w:marBottom w:val="0"/>
          <w:divBdr>
            <w:top w:val="none" w:sz="0" w:space="0" w:color="auto"/>
            <w:left w:val="none" w:sz="0" w:space="0" w:color="auto"/>
            <w:bottom w:val="none" w:sz="0" w:space="0" w:color="auto"/>
            <w:right w:val="none" w:sz="0" w:space="0" w:color="auto"/>
          </w:divBdr>
        </w:div>
        <w:div w:id="678310010">
          <w:marLeft w:val="720"/>
          <w:marRight w:val="0"/>
          <w:marTop w:val="200"/>
          <w:marBottom w:val="0"/>
          <w:divBdr>
            <w:top w:val="none" w:sz="0" w:space="0" w:color="auto"/>
            <w:left w:val="none" w:sz="0" w:space="0" w:color="auto"/>
            <w:bottom w:val="none" w:sz="0" w:space="0" w:color="auto"/>
            <w:right w:val="none" w:sz="0" w:space="0" w:color="auto"/>
          </w:divBdr>
        </w:div>
      </w:divsChild>
    </w:div>
    <w:div w:id="1610623281">
      <w:bodyDiv w:val="1"/>
      <w:marLeft w:val="0"/>
      <w:marRight w:val="0"/>
      <w:marTop w:val="0"/>
      <w:marBottom w:val="0"/>
      <w:divBdr>
        <w:top w:val="none" w:sz="0" w:space="0" w:color="auto"/>
        <w:left w:val="none" w:sz="0" w:space="0" w:color="auto"/>
        <w:bottom w:val="none" w:sz="0" w:space="0" w:color="auto"/>
        <w:right w:val="none" w:sz="0" w:space="0" w:color="auto"/>
      </w:divBdr>
    </w:div>
    <w:div w:id="1626618134">
      <w:bodyDiv w:val="1"/>
      <w:marLeft w:val="0"/>
      <w:marRight w:val="0"/>
      <w:marTop w:val="0"/>
      <w:marBottom w:val="0"/>
      <w:divBdr>
        <w:top w:val="none" w:sz="0" w:space="0" w:color="auto"/>
        <w:left w:val="none" w:sz="0" w:space="0" w:color="auto"/>
        <w:bottom w:val="none" w:sz="0" w:space="0" w:color="auto"/>
        <w:right w:val="none" w:sz="0" w:space="0" w:color="auto"/>
      </w:divBdr>
      <w:divsChild>
        <w:div w:id="180048392">
          <w:marLeft w:val="1440"/>
          <w:marRight w:val="0"/>
          <w:marTop w:val="360"/>
          <w:marBottom w:val="0"/>
          <w:divBdr>
            <w:top w:val="none" w:sz="0" w:space="0" w:color="auto"/>
            <w:left w:val="none" w:sz="0" w:space="0" w:color="auto"/>
            <w:bottom w:val="none" w:sz="0" w:space="0" w:color="auto"/>
            <w:right w:val="none" w:sz="0" w:space="0" w:color="auto"/>
          </w:divBdr>
        </w:div>
        <w:div w:id="686449512">
          <w:marLeft w:val="1440"/>
          <w:marRight w:val="0"/>
          <w:marTop w:val="360"/>
          <w:marBottom w:val="0"/>
          <w:divBdr>
            <w:top w:val="none" w:sz="0" w:space="0" w:color="auto"/>
            <w:left w:val="none" w:sz="0" w:space="0" w:color="auto"/>
            <w:bottom w:val="none" w:sz="0" w:space="0" w:color="auto"/>
            <w:right w:val="none" w:sz="0" w:space="0" w:color="auto"/>
          </w:divBdr>
        </w:div>
        <w:div w:id="106513992">
          <w:marLeft w:val="1440"/>
          <w:marRight w:val="0"/>
          <w:marTop w:val="360"/>
          <w:marBottom w:val="0"/>
          <w:divBdr>
            <w:top w:val="none" w:sz="0" w:space="0" w:color="auto"/>
            <w:left w:val="none" w:sz="0" w:space="0" w:color="auto"/>
            <w:bottom w:val="none" w:sz="0" w:space="0" w:color="auto"/>
            <w:right w:val="none" w:sz="0" w:space="0" w:color="auto"/>
          </w:divBdr>
        </w:div>
        <w:div w:id="825366597">
          <w:marLeft w:val="1440"/>
          <w:marRight w:val="0"/>
          <w:marTop w:val="360"/>
          <w:marBottom w:val="0"/>
          <w:divBdr>
            <w:top w:val="none" w:sz="0" w:space="0" w:color="auto"/>
            <w:left w:val="none" w:sz="0" w:space="0" w:color="auto"/>
            <w:bottom w:val="none" w:sz="0" w:space="0" w:color="auto"/>
            <w:right w:val="none" w:sz="0" w:space="0" w:color="auto"/>
          </w:divBdr>
        </w:div>
        <w:div w:id="1734617031">
          <w:marLeft w:val="1440"/>
          <w:marRight w:val="0"/>
          <w:marTop w:val="360"/>
          <w:marBottom w:val="0"/>
          <w:divBdr>
            <w:top w:val="none" w:sz="0" w:space="0" w:color="auto"/>
            <w:left w:val="none" w:sz="0" w:space="0" w:color="auto"/>
            <w:bottom w:val="none" w:sz="0" w:space="0" w:color="auto"/>
            <w:right w:val="none" w:sz="0" w:space="0" w:color="auto"/>
          </w:divBdr>
        </w:div>
        <w:div w:id="1081638837">
          <w:marLeft w:val="1440"/>
          <w:marRight w:val="0"/>
          <w:marTop w:val="360"/>
          <w:marBottom w:val="0"/>
          <w:divBdr>
            <w:top w:val="none" w:sz="0" w:space="0" w:color="auto"/>
            <w:left w:val="none" w:sz="0" w:space="0" w:color="auto"/>
            <w:bottom w:val="none" w:sz="0" w:space="0" w:color="auto"/>
            <w:right w:val="none" w:sz="0" w:space="0" w:color="auto"/>
          </w:divBdr>
        </w:div>
      </w:divsChild>
    </w:div>
    <w:div w:id="1681080532">
      <w:bodyDiv w:val="1"/>
      <w:marLeft w:val="0"/>
      <w:marRight w:val="0"/>
      <w:marTop w:val="0"/>
      <w:marBottom w:val="0"/>
      <w:divBdr>
        <w:top w:val="none" w:sz="0" w:space="0" w:color="auto"/>
        <w:left w:val="none" w:sz="0" w:space="0" w:color="auto"/>
        <w:bottom w:val="none" w:sz="0" w:space="0" w:color="auto"/>
        <w:right w:val="none" w:sz="0" w:space="0" w:color="auto"/>
      </w:divBdr>
    </w:div>
    <w:div w:id="1719428335">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15175470">
      <w:bodyDiv w:val="1"/>
      <w:marLeft w:val="0"/>
      <w:marRight w:val="0"/>
      <w:marTop w:val="0"/>
      <w:marBottom w:val="0"/>
      <w:divBdr>
        <w:top w:val="none" w:sz="0" w:space="0" w:color="auto"/>
        <w:left w:val="none" w:sz="0" w:space="0" w:color="auto"/>
        <w:bottom w:val="none" w:sz="0" w:space="0" w:color="auto"/>
        <w:right w:val="none" w:sz="0" w:space="0" w:color="auto"/>
      </w:divBdr>
    </w:div>
    <w:div w:id="1858225638">
      <w:bodyDiv w:val="1"/>
      <w:marLeft w:val="0"/>
      <w:marRight w:val="0"/>
      <w:marTop w:val="0"/>
      <w:marBottom w:val="0"/>
      <w:divBdr>
        <w:top w:val="none" w:sz="0" w:space="0" w:color="auto"/>
        <w:left w:val="none" w:sz="0" w:space="0" w:color="auto"/>
        <w:bottom w:val="none" w:sz="0" w:space="0" w:color="auto"/>
        <w:right w:val="none" w:sz="0" w:space="0" w:color="auto"/>
      </w:divBdr>
    </w:div>
    <w:div w:id="1881282307">
      <w:bodyDiv w:val="1"/>
      <w:marLeft w:val="0"/>
      <w:marRight w:val="0"/>
      <w:marTop w:val="0"/>
      <w:marBottom w:val="0"/>
      <w:divBdr>
        <w:top w:val="none" w:sz="0" w:space="0" w:color="auto"/>
        <w:left w:val="none" w:sz="0" w:space="0" w:color="auto"/>
        <w:bottom w:val="none" w:sz="0" w:space="0" w:color="auto"/>
        <w:right w:val="none" w:sz="0" w:space="0" w:color="auto"/>
      </w:divBdr>
      <w:divsChild>
        <w:div w:id="1092244190">
          <w:marLeft w:val="1339"/>
          <w:marRight w:val="0"/>
          <w:marTop w:val="0"/>
          <w:marBottom w:val="0"/>
          <w:divBdr>
            <w:top w:val="none" w:sz="0" w:space="0" w:color="auto"/>
            <w:left w:val="none" w:sz="0" w:space="0" w:color="auto"/>
            <w:bottom w:val="none" w:sz="0" w:space="0" w:color="auto"/>
            <w:right w:val="none" w:sz="0" w:space="0" w:color="auto"/>
          </w:divBdr>
        </w:div>
        <w:div w:id="1759403058">
          <w:marLeft w:val="1339"/>
          <w:marRight w:val="0"/>
          <w:marTop w:val="0"/>
          <w:marBottom w:val="0"/>
          <w:divBdr>
            <w:top w:val="none" w:sz="0" w:space="0" w:color="auto"/>
            <w:left w:val="none" w:sz="0" w:space="0" w:color="auto"/>
            <w:bottom w:val="none" w:sz="0" w:space="0" w:color="auto"/>
            <w:right w:val="none" w:sz="0" w:space="0" w:color="auto"/>
          </w:divBdr>
        </w:div>
        <w:div w:id="211578093">
          <w:marLeft w:val="1339"/>
          <w:marRight w:val="0"/>
          <w:marTop w:val="0"/>
          <w:marBottom w:val="0"/>
          <w:divBdr>
            <w:top w:val="none" w:sz="0" w:space="0" w:color="auto"/>
            <w:left w:val="none" w:sz="0" w:space="0" w:color="auto"/>
            <w:bottom w:val="none" w:sz="0" w:space="0" w:color="auto"/>
            <w:right w:val="none" w:sz="0" w:space="0" w:color="auto"/>
          </w:divBdr>
        </w:div>
        <w:div w:id="700933152">
          <w:marLeft w:val="1339"/>
          <w:marRight w:val="0"/>
          <w:marTop w:val="0"/>
          <w:marBottom w:val="0"/>
          <w:divBdr>
            <w:top w:val="none" w:sz="0" w:space="0" w:color="auto"/>
            <w:left w:val="none" w:sz="0" w:space="0" w:color="auto"/>
            <w:bottom w:val="none" w:sz="0" w:space="0" w:color="auto"/>
            <w:right w:val="none" w:sz="0" w:space="0" w:color="auto"/>
          </w:divBdr>
        </w:div>
        <w:div w:id="1632052786">
          <w:marLeft w:val="1339"/>
          <w:marRight w:val="0"/>
          <w:marTop w:val="0"/>
          <w:marBottom w:val="0"/>
          <w:divBdr>
            <w:top w:val="none" w:sz="0" w:space="0" w:color="auto"/>
            <w:left w:val="none" w:sz="0" w:space="0" w:color="auto"/>
            <w:bottom w:val="none" w:sz="0" w:space="0" w:color="auto"/>
            <w:right w:val="none" w:sz="0" w:space="0" w:color="auto"/>
          </w:divBdr>
        </w:div>
      </w:divsChild>
    </w:div>
    <w:div w:id="1914310685">
      <w:bodyDiv w:val="1"/>
      <w:marLeft w:val="0"/>
      <w:marRight w:val="0"/>
      <w:marTop w:val="0"/>
      <w:marBottom w:val="0"/>
      <w:divBdr>
        <w:top w:val="none" w:sz="0" w:space="0" w:color="auto"/>
        <w:left w:val="none" w:sz="0" w:space="0" w:color="auto"/>
        <w:bottom w:val="none" w:sz="0" w:space="0" w:color="auto"/>
        <w:right w:val="none" w:sz="0" w:space="0" w:color="auto"/>
      </w:divBdr>
    </w:div>
    <w:div w:id="1918783413">
      <w:bodyDiv w:val="1"/>
      <w:marLeft w:val="0"/>
      <w:marRight w:val="0"/>
      <w:marTop w:val="0"/>
      <w:marBottom w:val="0"/>
      <w:divBdr>
        <w:top w:val="none" w:sz="0" w:space="0" w:color="auto"/>
        <w:left w:val="none" w:sz="0" w:space="0" w:color="auto"/>
        <w:bottom w:val="none" w:sz="0" w:space="0" w:color="auto"/>
        <w:right w:val="none" w:sz="0" w:space="0" w:color="auto"/>
      </w:divBdr>
      <w:divsChild>
        <w:div w:id="30541374">
          <w:marLeft w:val="605"/>
          <w:marRight w:val="0"/>
          <w:marTop w:val="160"/>
          <w:marBottom w:val="160"/>
          <w:divBdr>
            <w:top w:val="none" w:sz="0" w:space="0" w:color="auto"/>
            <w:left w:val="none" w:sz="0" w:space="0" w:color="auto"/>
            <w:bottom w:val="none" w:sz="0" w:space="0" w:color="auto"/>
            <w:right w:val="none" w:sz="0" w:space="0" w:color="auto"/>
          </w:divBdr>
        </w:div>
        <w:div w:id="214977334">
          <w:marLeft w:val="605"/>
          <w:marRight w:val="0"/>
          <w:marTop w:val="160"/>
          <w:marBottom w:val="160"/>
          <w:divBdr>
            <w:top w:val="none" w:sz="0" w:space="0" w:color="auto"/>
            <w:left w:val="none" w:sz="0" w:space="0" w:color="auto"/>
            <w:bottom w:val="none" w:sz="0" w:space="0" w:color="auto"/>
            <w:right w:val="none" w:sz="0" w:space="0" w:color="auto"/>
          </w:divBdr>
        </w:div>
        <w:div w:id="1194658821">
          <w:marLeft w:val="605"/>
          <w:marRight w:val="0"/>
          <w:marTop w:val="160"/>
          <w:marBottom w:val="160"/>
          <w:divBdr>
            <w:top w:val="none" w:sz="0" w:space="0" w:color="auto"/>
            <w:left w:val="none" w:sz="0" w:space="0" w:color="auto"/>
            <w:bottom w:val="none" w:sz="0" w:space="0" w:color="auto"/>
            <w:right w:val="none" w:sz="0" w:space="0" w:color="auto"/>
          </w:divBdr>
        </w:div>
        <w:div w:id="1995525819">
          <w:marLeft w:val="605"/>
          <w:marRight w:val="0"/>
          <w:marTop w:val="160"/>
          <w:marBottom w:val="160"/>
          <w:divBdr>
            <w:top w:val="none" w:sz="0" w:space="0" w:color="auto"/>
            <w:left w:val="none" w:sz="0" w:space="0" w:color="auto"/>
            <w:bottom w:val="none" w:sz="0" w:space="0" w:color="auto"/>
            <w:right w:val="none" w:sz="0" w:space="0" w:color="auto"/>
          </w:divBdr>
        </w:div>
      </w:divsChild>
    </w:div>
    <w:div w:id="1924027257">
      <w:bodyDiv w:val="1"/>
      <w:marLeft w:val="0"/>
      <w:marRight w:val="0"/>
      <w:marTop w:val="0"/>
      <w:marBottom w:val="0"/>
      <w:divBdr>
        <w:top w:val="none" w:sz="0" w:space="0" w:color="auto"/>
        <w:left w:val="none" w:sz="0" w:space="0" w:color="auto"/>
        <w:bottom w:val="none" w:sz="0" w:space="0" w:color="auto"/>
        <w:right w:val="none" w:sz="0" w:space="0" w:color="auto"/>
      </w:divBdr>
    </w:div>
    <w:div w:id="1949240234">
      <w:bodyDiv w:val="1"/>
      <w:marLeft w:val="0"/>
      <w:marRight w:val="0"/>
      <w:marTop w:val="0"/>
      <w:marBottom w:val="0"/>
      <w:divBdr>
        <w:top w:val="none" w:sz="0" w:space="0" w:color="auto"/>
        <w:left w:val="none" w:sz="0" w:space="0" w:color="auto"/>
        <w:bottom w:val="none" w:sz="0" w:space="0" w:color="auto"/>
        <w:right w:val="none" w:sz="0" w:space="0" w:color="auto"/>
      </w:divBdr>
    </w:div>
    <w:div w:id="2042124821">
      <w:bodyDiv w:val="1"/>
      <w:marLeft w:val="0"/>
      <w:marRight w:val="0"/>
      <w:marTop w:val="0"/>
      <w:marBottom w:val="0"/>
      <w:divBdr>
        <w:top w:val="none" w:sz="0" w:space="0" w:color="auto"/>
        <w:left w:val="none" w:sz="0" w:space="0" w:color="auto"/>
        <w:bottom w:val="none" w:sz="0" w:space="0" w:color="auto"/>
        <w:right w:val="none" w:sz="0" w:space="0" w:color="auto"/>
      </w:divBdr>
    </w:div>
    <w:div w:id="2073237939">
      <w:bodyDiv w:val="1"/>
      <w:marLeft w:val="0"/>
      <w:marRight w:val="0"/>
      <w:marTop w:val="0"/>
      <w:marBottom w:val="0"/>
      <w:divBdr>
        <w:top w:val="none" w:sz="0" w:space="0" w:color="auto"/>
        <w:left w:val="none" w:sz="0" w:space="0" w:color="auto"/>
        <w:bottom w:val="none" w:sz="0" w:space="0" w:color="auto"/>
        <w:right w:val="none" w:sz="0" w:space="0" w:color="auto"/>
      </w:divBdr>
      <w:divsChild>
        <w:div w:id="1467772440">
          <w:marLeft w:val="547"/>
          <w:marRight w:val="0"/>
          <w:marTop w:val="0"/>
          <w:marBottom w:val="0"/>
          <w:divBdr>
            <w:top w:val="none" w:sz="0" w:space="0" w:color="auto"/>
            <w:left w:val="none" w:sz="0" w:space="0" w:color="auto"/>
            <w:bottom w:val="none" w:sz="0" w:space="0" w:color="auto"/>
            <w:right w:val="none" w:sz="0" w:space="0" w:color="auto"/>
          </w:divBdr>
        </w:div>
        <w:div w:id="1011224686">
          <w:marLeft w:val="547"/>
          <w:marRight w:val="0"/>
          <w:marTop w:val="0"/>
          <w:marBottom w:val="0"/>
          <w:divBdr>
            <w:top w:val="none" w:sz="0" w:space="0" w:color="auto"/>
            <w:left w:val="none" w:sz="0" w:space="0" w:color="auto"/>
            <w:bottom w:val="none" w:sz="0" w:space="0" w:color="auto"/>
            <w:right w:val="none" w:sz="0" w:space="0" w:color="auto"/>
          </w:divBdr>
        </w:div>
        <w:div w:id="336075442">
          <w:marLeft w:val="547"/>
          <w:marRight w:val="0"/>
          <w:marTop w:val="0"/>
          <w:marBottom w:val="0"/>
          <w:divBdr>
            <w:top w:val="none" w:sz="0" w:space="0" w:color="auto"/>
            <w:left w:val="none" w:sz="0" w:space="0" w:color="auto"/>
            <w:bottom w:val="none" w:sz="0" w:space="0" w:color="auto"/>
            <w:right w:val="none" w:sz="0" w:space="0" w:color="auto"/>
          </w:divBdr>
        </w:div>
        <w:div w:id="1081559445">
          <w:marLeft w:val="547"/>
          <w:marRight w:val="0"/>
          <w:marTop w:val="0"/>
          <w:marBottom w:val="0"/>
          <w:divBdr>
            <w:top w:val="none" w:sz="0" w:space="0" w:color="auto"/>
            <w:left w:val="none" w:sz="0" w:space="0" w:color="auto"/>
            <w:bottom w:val="none" w:sz="0" w:space="0" w:color="auto"/>
            <w:right w:val="none" w:sz="0" w:space="0" w:color="auto"/>
          </w:divBdr>
        </w:div>
      </w:divsChild>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0635309">
      <w:bodyDiv w:val="1"/>
      <w:marLeft w:val="0"/>
      <w:marRight w:val="0"/>
      <w:marTop w:val="0"/>
      <w:marBottom w:val="0"/>
      <w:divBdr>
        <w:top w:val="none" w:sz="0" w:space="0" w:color="auto"/>
        <w:left w:val="none" w:sz="0" w:space="0" w:color="auto"/>
        <w:bottom w:val="none" w:sz="0" w:space="0" w:color="auto"/>
        <w:right w:val="none" w:sz="0" w:space="0" w:color="auto"/>
      </w:divBdr>
    </w:div>
    <w:div w:id="2101903085">
      <w:bodyDiv w:val="1"/>
      <w:marLeft w:val="0"/>
      <w:marRight w:val="0"/>
      <w:marTop w:val="0"/>
      <w:marBottom w:val="0"/>
      <w:divBdr>
        <w:top w:val="none" w:sz="0" w:space="0" w:color="auto"/>
        <w:left w:val="none" w:sz="0" w:space="0" w:color="auto"/>
        <w:bottom w:val="none" w:sz="0" w:space="0" w:color="auto"/>
        <w:right w:val="none" w:sz="0" w:space="0" w:color="auto"/>
      </w:divBdr>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 w:id="2118716835">
      <w:bodyDiv w:val="1"/>
      <w:marLeft w:val="0"/>
      <w:marRight w:val="0"/>
      <w:marTop w:val="0"/>
      <w:marBottom w:val="0"/>
      <w:divBdr>
        <w:top w:val="none" w:sz="0" w:space="0" w:color="auto"/>
        <w:left w:val="none" w:sz="0" w:space="0" w:color="auto"/>
        <w:bottom w:val="none" w:sz="0" w:space="0" w:color="auto"/>
        <w:right w:val="none" w:sz="0" w:space="0" w:color="auto"/>
      </w:divBdr>
    </w:div>
    <w:div w:id="2130465145">
      <w:bodyDiv w:val="1"/>
      <w:marLeft w:val="0"/>
      <w:marRight w:val="0"/>
      <w:marTop w:val="0"/>
      <w:marBottom w:val="0"/>
      <w:divBdr>
        <w:top w:val="none" w:sz="0" w:space="0" w:color="auto"/>
        <w:left w:val="none" w:sz="0" w:space="0" w:color="auto"/>
        <w:bottom w:val="none" w:sz="0" w:space="0" w:color="auto"/>
        <w:right w:val="none" w:sz="0" w:space="0" w:color="auto"/>
      </w:divBdr>
    </w:div>
    <w:div w:id="2135637434">
      <w:bodyDiv w:val="1"/>
      <w:marLeft w:val="0"/>
      <w:marRight w:val="0"/>
      <w:marTop w:val="0"/>
      <w:marBottom w:val="0"/>
      <w:divBdr>
        <w:top w:val="none" w:sz="0" w:space="0" w:color="auto"/>
        <w:left w:val="none" w:sz="0" w:space="0" w:color="auto"/>
        <w:bottom w:val="none" w:sz="0" w:space="0" w:color="auto"/>
        <w:right w:val="none" w:sz="0" w:space="0" w:color="auto"/>
      </w:divBdr>
      <w:divsChild>
        <w:div w:id="2105375159">
          <w:marLeft w:val="274"/>
          <w:marRight w:val="0"/>
          <w:marTop w:val="0"/>
          <w:marBottom w:val="0"/>
          <w:divBdr>
            <w:top w:val="none" w:sz="0" w:space="0" w:color="auto"/>
            <w:left w:val="none" w:sz="0" w:space="0" w:color="auto"/>
            <w:bottom w:val="none" w:sz="0" w:space="0" w:color="auto"/>
            <w:right w:val="none" w:sz="0" w:space="0" w:color="auto"/>
          </w:divBdr>
        </w:div>
        <w:div w:id="1383870792">
          <w:marLeft w:val="274"/>
          <w:marRight w:val="0"/>
          <w:marTop w:val="0"/>
          <w:marBottom w:val="0"/>
          <w:divBdr>
            <w:top w:val="none" w:sz="0" w:space="0" w:color="auto"/>
            <w:left w:val="none" w:sz="0" w:space="0" w:color="auto"/>
            <w:bottom w:val="none" w:sz="0" w:space="0" w:color="auto"/>
            <w:right w:val="none" w:sz="0" w:space="0" w:color="auto"/>
          </w:divBdr>
        </w:div>
        <w:div w:id="157117399">
          <w:marLeft w:val="274"/>
          <w:marRight w:val="0"/>
          <w:marTop w:val="0"/>
          <w:marBottom w:val="0"/>
          <w:divBdr>
            <w:top w:val="none" w:sz="0" w:space="0" w:color="auto"/>
            <w:left w:val="none" w:sz="0" w:space="0" w:color="auto"/>
            <w:bottom w:val="none" w:sz="0" w:space="0" w:color="auto"/>
            <w:right w:val="none" w:sz="0" w:space="0" w:color="auto"/>
          </w:divBdr>
        </w:div>
        <w:div w:id="236326119">
          <w:marLeft w:val="274"/>
          <w:marRight w:val="0"/>
          <w:marTop w:val="0"/>
          <w:marBottom w:val="0"/>
          <w:divBdr>
            <w:top w:val="none" w:sz="0" w:space="0" w:color="auto"/>
            <w:left w:val="none" w:sz="0" w:space="0" w:color="auto"/>
            <w:bottom w:val="none" w:sz="0" w:space="0" w:color="auto"/>
            <w:right w:val="none" w:sz="0" w:space="0" w:color="auto"/>
          </w:divBdr>
        </w:div>
        <w:div w:id="780294772">
          <w:marLeft w:val="274"/>
          <w:marRight w:val="0"/>
          <w:marTop w:val="0"/>
          <w:marBottom w:val="0"/>
          <w:divBdr>
            <w:top w:val="none" w:sz="0" w:space="0" w:color="auto"/>
            <w:left w:val="none" w:sz="0" w:space="0" w:color="auto"/>
            <w:bottom w:val="none" w:sz="0" w:space="0" w:color="auto"/>
            <w:right w:val="none" w:sz="0" w:space="0" w:color="auto"/>
          </w:divBdr>
        </w:div>
        <w:div w:id="1932662050">
          <w:marLeft w:val="274"/>
          <w:marRight w:val="0"/>
          <w:marTop w:val="0"/>
          <w:marBottom w:val="0"/>
          <w:divBdr>
            <w:top w:val="none" w:sz="0" w:space="0" w:color="auto"/>
            <w:left w:val="none" w:sz="0" w:space="0" w:color="auto"/>
            <w:bottom w:val="none" w:sz="0" w:space="0" w:color="auto"/>
            <w:right w:val="none" w:sz="0" w:space="0" w:color="auto"/>
          </w:divBdr>
        </w:div>
        <w:div w:id="21906412">
          <w:marLeft w:val="274"/>
          <w:marRight w:val="0"/>
          <w:marTop w:val="0"/>
          <w:marBottom w:val="0"/>
          <w:divBdr>
            <w:top w:val="none" w:sz="0" w:space="0" w:color="auto"/>
            <w:left w:val="none" w:sz="0" w:space="0" w:color="auto"/>
            <w:bottom w:val="none" w:sz="0" w:space="0" w:color="auto"/>
            <w:right w:val="none" w:sz="0" w:space="0" w:color="auto"/>
          </w:divBdr>
        </w:div>
        <w:div w:id="1193958386">
          <w:marLeft w:val="274"/>
          <w:marRight w:val="0"/>
          <w:marTop w:val="0"/>
          <w:marBottom w:val="0"/>
          <w:divBdr>
            <w:top w:val="none" w:sz="0" w:space="0" w:color="auto"/>
            <w:left w:val="none" w:sz="0" w:space="0" w:color="auto"/>
            <w:bottom w:val="none" w:sz="0" w:space="0" w:color="auto"/>
            <w:right w:val="none" w:sz="0" w:space="0" w:color="auto"/>
          </w:divBdr>
        </w:div>
        <w:div w:id="1403138612">
          <w:marLeft w:val="274"/>
          <w:marRight w:val="0"/>
          <w:marTop w:val="0"/>
          <w:marBottom w:val="0"/>
          <w:divBdr>
            <w:top w:val="none" w:sz="0" w:space="0" w:color="auto"/>
            <w:left w:val="none" w:sz="0" w:space="0" w:color="auto"/>
            <w:bottom w:val="none" w:sz="0" w:space="0" w:color="auto"/>
            <w:right w:val="none" w:sz="0" w:space="0" w:color="auto"/>
          </w:divBdr>
        </w:div>
        <w:div w:id="1304431033">
          <w:marLeft w:val="274"/>
          <w:marRight w:val="0"/>
          <w:marTop w:val="0"/>
          <w:marBottom w:val="0"/>
          <w:divBdr>
            <w:top w:val="none" w:sz="0" w:space="0" w:color="auto"/>
            <w:left w:val="none" w:sz="0" w:space="0" w:color="auto"/>
            <w:bottom w:val="none" w:sz="0" w:space="0" w:color="auto"/>
            <w:right w:val="none" w:sz="0" w:space="0" w:color="auto"/>
          </w:divBdr>
        </w:div>
        <w:div w:id="2106998888">
          <w:marLeft w:val="274"/>
          <w:marRight w:val="0"/>
          <w:marTop w:val="0"/>
          <w:marBottom w:val="0"/>
          <w:divBdr>
            <w:top w:val="none" w:sz="0" w:space="0" w:color="auto"/>
            <w:left w:val="none" w:sz="0" w:space="0" w:color="auto"/>
            <w:bottom w:val="none" w:sz="0" w:space="0" w:color="auto"/>
            <w:right w:val="none" w:sz="0" w:space="0" w:color="auto"/>
          </w:divBdr>
        </w:div>
        <w:div w:id="1241674827">
          <w:marLeft w:val="274"/>
          <w:marRight w:val="0"/>
          <w:marTop w:val="0"/>
          <w:marBottom w:val="0"/>
          <w:divBdr>
            <w:top w:val="none" w:sz="0" w:space="0" w:color="auto"/>
            <w:left w:val="none" w:sz="0" w:space="0" w:color="auto"/>
            <w:bottom w:val="none" w:sz="0" w:space="0" w:color="auto"/>
            <w:right w:val="none" w:sz="0" w:space="0" w:color="auto"/>
          </w:divBdr>
        </w:div>
        <w:div w:id="339967997">
          <w:marLeft w:val="274"/>
          <w:marRight w:val="0"/>
          <w:marTop w:val="0"/>
          <w:marBottom w:val="0"/>
          <w:divBdr>
            <w:top w:val="none" w:sz="0" w:space="0" w:color="auto"/>
            <w:left w:val="none" w:sz="0" w:space="0" w:color="auto"/>
            <w:bottom w:val="none" w:sz="0" w:space="0" w:color="auto"/>
            <w:right w:val="none" w:sz="0" w:space="0" w:color="auto"/>
          </w:divBdr>
        </w:div>
        <w:div w:id="1469665358">
          <w:marLeft w:val="274"/>
          <w:marRight w:val="0"/>
          <w:marTop w:val="0"/>
          <w:marBottom w:val="0"/>
          <w:divBdr>
            <w:top w:val="none" w:sz="0" w:space="0" w:color="auto"/>
            <w:left w:val="none" w:sz="0" w:space="0" w:color="auto"/>
            <w:bottom w:val="none" w:sz="0" w:space="0" w:color="auto"/>
            <w:right w:val="none" w:sz="0" w:space="0" w:color="auto"/>
          </w:divBdr>
        </w:div>
        <w:div w:id="761340172">
          <w:marLeft w:val="274"/>
          <w:marRight w:val="0"/>
          <w:marTop w:val="0"/>
          <w:marBottom w:val="0"/>
          <w:divBdr>
            <w:top w:val="none" w:sz="0" w:space="0" w:color="auto"/>
            <w:left w:val="none" w:sz="0" w:space="0" w:color="auto"/>
            <w:bottom w:val="none" w:sz="0" w:space="0" w:color="auto"/>
            <w:right w:val="none" w:sz="0" w:space="0" w:color="auto"/>
          </w:divBdr>
        </w:div>
        <w:div w:id="17676570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hs.vic.gov.au/publications/client-services-charter" TargetMode="External"/><Relationship Id="rId18" Type="http://schemas.openxmlformats.org/officeDocument/2006/relationships/hyperlink" Target="mailto:Clare.Hambly@nds.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s.org.au/news/dffh-collaboration-agreements-with-victorian-sil-providers" TargetMode="External"/><Relationship Id="rId17" Type="http://schemas.openxmlformats.org/officeDocument/2006/relationships/hyperlink" Target="mailto:Heidi.Cheung@nds.org.au" TargetMode="External"/><Relationship Id="rId2" Type="http://schemas.openxmlformats.org/officeDocument/2006/relationships/customXml" Target="../customXml/item2.xml"/><Relationship Id="rId16" Type="http://schemas.openxmlformats.org/officeDocument/2006/relationships/hyperlink" Target="https://providers.dffh.vic.gov.au/sites/default/files/2017-07/disability-leasing-model-operatinal-framewor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discommission.gov.au/providers/ndis-practice-standard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media/1868/download?attach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spinks\OneDrive%20-%20National%20Disability%20Services\Desktop\Accessib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8ED310827DBA43A8E6665095C0C650" ma:contentTypeVersion="12" ma:contentTypeDescription="Create a new document." ma:contentTypeScope="" ma:versionID="bc69ba513a4394dfe982b3500400ef3f">
  <xsd:schema xmlns:xsd="http://www.w3.org/2001/XMLSchema" xmlns:xs="http://www.w3.org/2001/XMLSchema" xmlns:p="http://schemas.microsoft.com/office/2006/metadata/properties" xmlns:ns2="15828c5e-7aea-4e43-b251-f2b5de6fd0cf" xmlns:ns3="07ec0253-281f-4e05-8467-65a429d6a9f3" targetNamespace="http://schemas.microsoft.com/office/2006/metadata/properties" ma:root="true" ma:fieldsID="11260a59a7aba0f0df0be3064bccd93c" ns2:_="" ns3:_="">
    <xsd:import namespace="15828c5e-7aea-4e43-b251-f2b5de6fd0c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8c5e-7aea-4e43-b251-f2b5de6fd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5BC13-F592-4F62-8A7F-B72FAD375DF5}">
  <ds:schemaRefs>
    <ds:schemaRef ds:uri="http://schemas.openxmlformats.org/officeDocument/2006/bibliography"/>
  </ds:schemaRefs>
</ds:datastoreItem>
</file>

<file path=customXml/itemProps2.xml><?xml version="1.0" encoding="utf-8"?>
<ds:datastoreItem xmlns:ds="http://schemas.openxmlformats.org/officeDocument/2006/customXml" ds:itemID="{3051EBEA-D243-413A-ADB7-1B61037BD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28c5e-7aea-4e43-b251-f2b5de6fd0c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FCD7D-A347-4B82-A396-54FAD6435896}">
  <ds:schemaRefs>
    <ds:schemaRef ds:uri="http://schemas.microsoft.com/sharepoint/v3/contenttype/forms"/>
  </ds:schemaRefs>
</ds:datastoreItem>
</file>

<file path=customXml/itemProps4.xml><?xml version="1.0" encoding="utf-8"?>
<ds:datastoreItem xmlns:ds="http://schemas.openxmlformats.org/officeDocument/2006/customXml" ds:itemID="{FC45D1F4-E013-41D3-8BBB-115A071495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Accessible_template.dotx</Template>
  <TotalTime>6</TotalTime>
  <Pages>10</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Writing positive behaviour support plans using Plain Language accessible word document</vt:lpstr>
    </vt:vector>
  </TitlesOfParts>
  <Company>Microsoft</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positive behaviour support plans using Plain Language accessible word document</dc:title>
  <dc:subject/>
  <dc:creator>Danielle Spinks</dc:creator>
  <cp:keywords>accessible word</cp:keywords>
  <dc:description/>
  <cp:lastModifiedBy>Danielle Spinks</cp:lastModifiedBy>
  <cp:revision>1</cp:revision>
  <cp:lastPrinted>2018-10-10T22:15:00Z</cp:lastPrinted>
  <dcterms:created xsi:type="dcterms:W3CDTF">2021-11-09T03:45:00Z</dcterms:created>
  <dcterms:modified xsi:type="dcterms:W3CDTF">2021-11-09T03:51:00Z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0x010100FE8ED310827DBA43A8E6665095C0C650</vt:lpwstr>
  </property>
</Properties>
</file>