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ADFF" w14:textId="3E27D758" w:rsidR="00997A74" w:rsidRPr="00997A74" w:rsidRDefault="00997A74" w:rsidP="00997A74">
      <w:pPr>
        <w:pStyle w:val="Title"/>
        <w:spacing w:before="120" w:after="240" w:line="360" w:lineRule="auto"/>
        <w:contextualSpacing w:val="0"/>
        <w:rPr>
          <w:rFonts w:ascii="Arial" w:hAnsi="Arial" w:cs="Arial"/>
          <w:b/>
          <w:sz w:val="44"/>
          <w:szCs w:val="44"/>
        </w:rPr>
      </w:pPr>
      <w:r w:rsidRPr="00997A74">
        <w:rPr>
          <w:rFonts w:ascii="Arial" w:hAnsi="Arial" w:cs="Arial"/>
          <w:b/>
          <w:sz w:val="44"/>
          <w:szCs w:val="44"/>
        </w:rPr>
        <w:t>Tasmanian Disability Services Sector Election Asks</w:t>
      </w:r>
    </w:p>
    <w:p w14:paraId="56428A05" w14:textId="3E570374" w:rsidR="00704F89" w:rsidRPr="00997A74" w:rsidRDefault="000E766C"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N</w:t>
      </w:r>
      <w:r w:rsidR="00704F89" w:rsidRPr="00997A74">
        <w:rPr>
          <w:rFonts w:ascii="Arial" w:hAnsi="Arial" w:cs="Arial"/>
          <w:sz w:val="24"/>
          <w:szCs w:val="24"/>
        </w:rPr>
        <w:t>umber of Tasmanians with a disability</w:t>
      </w:r>
      <w:r w:rsidR="00997A74" w:rsidRPr="00997A74">
        <w:rPr>
          <w:rFonts w:ascii="Arial" w:hAnsi="Arial" w:cs="Arial"/>
          <w:sz w:val="24"/>
          <w:szCs w:val="24"/>
        </w:rPr>
        <w:t>: 140,100</w:t>
      </w:r>
    </w:p>
    <w:p w14:paraId="51B5CD0A" w14:textId="02FDBB99" w:rsidR="00704F89" w:rsidRPr="00997A74" w:rsidRDefault="00704F89"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Active participants</w:t>
      </w:r>
      <w:r w:rsidR="000E766C" w:rsidRPr="00997A74">
        <w:rPr>
          <w:rFonts w:ascii="Arial" w:hAnsi="Arial" w:cs="Arial"/>
          <w:sz w:val="24"/>
          <w:szCs w:val="24"/>
        </w:rPr>
        <w:t>:</w:t>
      </w:r>
      <w:r w:rsidRPr="00997A74">
        <w:rPr>
          <w:rFonts w:ascii="Arial" w:hAnsi="Arial" w:cs="Arial"/>
          <w:sz w:val="24"/>
          <w:szCs w:val="24"/>
        </w:rPr>
        <w:t xml:space="preserve"> 10,109</w:t>
      </w:r>
    </w:p>
    <w:p w14:paraId="4687CFB3" w14:textId="2AFC1540" w:rsidR="00704F89" w:rsidRPr="00997A74" w:rsidRDefault="000E766C"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 xml:space="preserve">Just </w:t>
      </w:r>
      <w:r w:rsidR="00704F89" w:rsidRPr="00997A74">
        <w:rPr>
          <w:rFonts w:ascii="Arial" w:hAnsi="Arial" w:cs="Arial"/>
          <w:sz w:val="24"/>
          <w:szCs w:val="24"/>
        </w:rPr>
        <w:t>7</w:t>
      </w:r>
      <w:r w:rsidR="00997A74">
        <w:rPr>
          <w:rFonts w:ascii="Arial" w:hAnsi="Arial" w:cs="Arial"/>
          <w:sz w:val="24"/>
          <w:szCs w:val="24"/>
        </w:rPr>
        <w:t xml:space="preserve"> per cent</w:t>
      </w:r>
      <w:r w:rsidR="00704F89" w:rsidRPr="00997A74">
        <w:rPr>
          <w:rFonts w:ascii="Arial" w:hAnsi="Arial" w:cs="Arial"/>
          <w:sz w:val="24"/>
          <w:szCs w:val="24"/>
        </w:rPr>
        <w:t xml:space="preserve"> are supported by the NDIS</w:t>
      </w:r>
    </w:p>
    <w:p w14:paraId="174E4A58" w14:textId="0BED96CB" w:rsidR="00704F89" w:rsidRPr="00997A74" w:rsidRDefault="00704F89"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Number of active NDIS providers</w:t>
      </w:r>
      <w:r w:rsidR="000E766C" w:rsidRPr="00997A74">
        <w:rPr>
          <w:rFonts w:ascii="Arial" w:hAnsi="Arial" w:cs="Arial"/>
          <w:sz w:val="24"/>
          <w:szCs w:val="24"/>
        </w:rPr>
        <w:t>:</w:t>
      </w:r>
      <w:r w:rsidRPr="00997A74">
        <w:rPr>
          <w:rFonts w:ascii="Arial" w:hAnsi="Arial" w:cs="Arial"/>
          <w:sz w:val="24"/>
          <w:szCs w:val="24"/>
        </w:rPr>
        <w:t xml:space="preserve"> 477</w:t>
      </w:r>
    </w:p>
    <w:p w14:paraId="17127D3E" w14:textId="68C866D1" w:rsidR="00E42132" w:rsidRPr="00997A74" w:rsidRDefault="00834025"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1.3</w:t>
      </w:r>
      <w:r w:rsidR="00997A74">
        <w:rPr>
          <w:rFonts w:ascii="Arial" w:hAnsi="Arial" w:cs="Arial"/>
          <w:sz w:val="24"/>
          <w:szCs w:val="24"/>
        </w:rPr>
        <w:t xml:space="preserve"> per cent</w:t>
      </w:r>
      <w:r w:rsidRPr="00997A74">
        <w:rPr>
          <w:rFonts w:ascii="Arial" w:hAnsi="Arial" w:cs="Arial"/>
          <w:sz w:val="24"/>
          <w:szCs w:val="24"/>
        </w:rPr>
        <w:t xml:space="preserve"> of </w:t>
      </w:r>
      <w:r w:rsidR="00FA28D1" w:rsidRPr="00997A74">
        <w:rPr>
          <w:rFonts w:ascii="Arial" w:hAnsi="Arial" w:cs="Arial"/>
          <w:sz w:val="24"/>
          <w:szCs w:val="24"/>
        </w:rPr>
        <w:t>participants</w:t>
      </w:r>
      <w:r w:rsidRPr="00997A74">
        <w:rPr>
          <w:rFonts w:ascii="Arial" w:hAnsi="Arial" w:cs="Arial"/>
          <w:sz w:val="24"/>
          <w:szCs w:val="24"/>
        </w:rPr>
        <w:t xml:space="preserve"> live remote </w:t>
      </w:r>
      <w:r w:rsidR="00FA28D1" w:rsidRPr="00997A74">
        <w:rPr>
          <w:rFonts w:ascii="Arial" w:hAnsi="Arial" w:cs="Arial"/>
          <w:sz w:val="24"/>
          <w:szCs w:val="24"/>
        </w:rPr>
        <w:t xml:space="preserve">or </w:t>
      </w:r>
      <w:r w:rsidRPr="00997A74">
        <w:rPr>
          <w:rFonts w:ascii="Arial" w:hAnsi="Arial" w:cs="Arial"/>
          <w:sz w:val="24"/>
          <w:szCs w:val="24"/>
        </w:rPr>
        <w:t>very remote</w:t>
      </w:r>
    </w:p>
    <w:p w14:paraId="3A05F414" w14:textId="19ED91BE" w:rsidR="00AD2636" w:rsidRPr="00997A74" w:rsidRDefault="0096171C"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64.8</w:t>
      </w:r>
      <w:r w:rsidR="00997A74">
        <w:rPr>
          <w:rFonts w:ascii="Arial" w:hAnsi="Arial" w:cs="Arial"/>
          <w:sz w:val="24"/>
          <w:szCs w:val="24"/>
        </w:rPr>
        <w:t xml:space="preserve"> per cent</w:t>
      </w:r>
      <w:r w:rsidRPr="00997A74">
        <w:rPr>
          <w:rFonts w:ascii="Arial" w:hAnsi="Arial" w:cs="Arial"/>
          <w:sz w:val="24"/>
          <w:szCs w:val="24"/>
        </w:rPr>
        <w:t xml:space="preserve"> </w:t>
      </w:r>
      <w:r w:rsidR="00AD2636" w:rsidRPr="00997A74">
        <w:rPr>
          <w:rFonts w:ascii="Arial" w:hAnsi="Arial" w:cs="Arial"/>
          <w:sz w:val="24"/>
          <w:szCs w:val="24"/>
        </w:rPr>
        <w:t xml:space="preserve">of </w:t>
      </w:r>
      <w:r w:rsidR="00FA28D1" w:rsidRPr="00997A74">
        <w:rPr>
          <w:rFonts w:ascii="Arial" w:hAnsi="Arial" w:cs="Arial"/>
          <w:sz w:val="24"/>
          <w:szCs w:val="24"/>
        </w:rPr>
        <w:t>participants live</w:t>
      </w:r>
      <w:r w:rsidR="00AD2636" w:rsidRPr="00997A74">
        <w:rPr>
          <w:rFonts w:ascii="Arial" w:hAnsi="Arial" w:cs="Arial"/>
          <w:sz w:val="24"/>
          <w:szCs w:val="24"/>
        </w:rPr>
        <w:t xml:space="preserve"> in </w:t>
      </w:r>
      <w:r w:rsidR="009142CE" w:rsidRPr="00997A74">
        <w:rPr>
          <w:rFonts w:ascii="Arial" w:hAnsi="Arial" w:cs="Arial"/>
          <w:sz w:val="24"/>
          <w:szCs w:val="24"/>
        </w:rPr>
        <w:t xml:space="preserve">Hobart or </w:t>
      </w:r>
      <w:r w:rsidR="00997A74" w:rsidRPr="00997A74">
        <w:rPr>
          <w:rFonts w:ascii="Arial" w:hAnsi="Arial" w:cs="Arial"/>
          <w:sz w:val="24"/>
          <w:szCs w:val="24"/>
        </w:rPr>
        <w:t xml:space="preserve">Launceston </w:t>
      </w:r>
      <w:r w:rsidR="00997A74" w:rsidRPr="00997A74">
        <w:rPr>
          <w:rStyle w:val="FootnoteReference"/>
          <w:rFonts w:ascii="Arial" w:hAnsi="Arial" w:cs="Arial"/>
          <w:sz w:val="24"/>
          <w:szCs w:val="24"/>
        </w:rPr>
        <w:t xml:space="preserve"> </w:t>
      </w:r>
      <w:r w:rsidR="00997A74" w:rsidRPr="00997A74">
        <w:rPr>
          <w:rFonts w:ascii="Arial" w:hAnsi="Arial" w:cs="Arial"/>
          <w:sz w:val="24"/>
          <w:szCs w:val="24"/>
        </w:rPr>
        <w:t xml:space="preserve">(Note: </w:t>
      </w:r>
      <w:r w:rsidR="00997A74" w:rsidRPr="00997A74">
        <w:rPr>
          <w:rFonts w:ascii="Arial" w:hAnsi="Arial" w:cs="Arial"/>
          <w:sz w:val="24"/>
          <w:szCs w:val="24"/>
        </w:rPr>
        <w:t>Cities with more than 50,000 people in Tasmania</w:t>
      </w:r>
      <w:r w:rsidR="00997A74">
        <w:t>)</w:t>
      </w:r>
    </w:p>
    <w:p w14:paraId="188BAF25" w14:textId="4D11E387" w:rsidR="00681BE1" w:rsidRPr="00997A74" w:rsidRDefault="00FA28D1"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35</w:t>
      </w:r>
      <w:r w:rsidR="00997A74">
        <w:rPr>
          <w:rFonts w:ascii="Arial" w:hAnsi="Arial" w:cs="Arial"/>
          <w:sz w:val="24"/>
          <w:szCs w:val="24"/>
        </w:rPr>
        <w:t xml:space="preserve"> per cent</w:t>
      </w:r>
      <w:r w:rsidRPr="00997A74">
        <w:rPr>
          <w:rFonts w:ascii="Arial" w:hAnsi="Arial" w:cs="Arial"/>
          <w:sz w:val="24"/>
          <w:szCs w:val="24"/>
        </w:rPr>
        <w:t xml:space="preserve"> of participants are c</w:t>
      </w:r>
      <w:r w:rsidR="00695CAE" w:rsidRPr="00997A74">
        <w:rPr>
          <w:rFonts w:ascii="Arial" w:hAnsi="Arial" w:cs="Arial"/>
          <w:sz w:val="24"/>
          <w:szCs w:val="24"/>
        </w:rPr>
        <w:t xml:space="preserve">hildren aged 0-14 years </w:t>
      </w:r>
    </w:p>
    <w:p w14:paraId="07F90888" w14:textId="50E43C3E" w:rsidR="00721B4A" w:rsidRPr="00997A74" w:rsidRDefault="00721B4A"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$403.7</w:t>
      </w:r>
      <w:r w:rsidR="00FA28D1" w:rsidRPr="00997A74">
        <w:rPr>
          <w:rFonts w:ascii="Arial" w:hAnsi="Arial" w:cs="Arial"/>
          <w:sz w:val="24"/>
          <w:szCs w:val="24"/>
        </w:rPr>
        <w:t>m</w:t>
      </w:r>
      <w:r w:rsidRPr="00997A74">
        <w:rPr>
          <w:rFonts w:ascii="Arial" w:hAnsi="Arial" w:cs="Arial"/>
          <w:sz w:val="24"/>
          <w:szCs w:val="24"/>
        </w:rPr>
        <w:t xml:space="preserve"> committed this year</w:t>
      </w:r>
    </w:p>
    <w:p w14:paraId="77C90EDD" w14:textId="5EE7E499" w:rsidR="00721B4A" w:rsidRPr="00997A74" w:rsidRDefault="00721B4A"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$261.6</w:t>
      </w:r>
      <w:r w:rsidR="00FA28D1" w:rsidRPr="00997A74">
        <w:rPr>
          <w:rFonts w:ascii="Arial" w:hAnsi="Arial" w:cs="Arial"/>
          <w:sz w:val="24"/>
          <w:szCs w:val="24"/>
        </w:rPr>
        <w:t>m</w:t>
      </w:r>
      <w:r w:rsidRPr="00997A74">
        <w:rPr>
          <w:rFonts w:ascii="Arial" w:hAnsi="Arial" w:cs="Arial"/>
          <w:sz w:val="24"/>
          <w:szCs w:val="24"/>
        </w:rPr>
        <w:t xml:space="preserve"> paid</w:t>
      </w:r>
    </w:p>
    <w:p w14:paraId="5F9DD9A5" w14:textId="088D86C5" w:rsidR="00FA28D1" w:rsidRPr="00997A74" w:rsidRDefault="00721B4A" w:rsidP="00997A74">
      <w:pPr>
        <w:pStyle w:val="ListParagraph"/>
        <w:numPr>
          <w:ilvl w:val="0"/>
          <w:numId w:val="10"/>
        </w:numPr>
        <w:spacing w:before="120" w:after="240" w:line="360" w:lineRule="auto"/>
        <w:rPr>
          <w:rFonts w:ascii="Arial" w:hAnsi="Arial" w:cs="Arial"/>
          <w:sz w:val="24"/>
          <w:szCs w:val="24"/>
        </w:rPr>
      </w:pPr>
      <w:r w:rsidRPr="00997A74">
        <w:rPr>
          <w:rFonts w:ascii="Arial" w:hAnsi="Arial" w:cs="Arial"/>
          <w:sz w:val="24"/>
          <w:szCs w:val="24"/>
        </w:rPr>
        <w:t>35</w:t>
      </w:r>
      <w:r w:rsidR="00997A74">
        <w:rPr>
          <w:rFonts w:ascii="Arial" w:hAnsi="Arial" w:cs="Arial"/>
          <w:sz w:val="24"/>
          <w:szCs w:val="24"/>
        </w:rPr>
        <w:t xml:space="preserve"> per cent</w:t>
      </w:r>
      <w:r w:rsidRPr="00997A74">
        <w:rPr>
          <w:rFonts w:ascii="Arial" w:hAnsi="Arial" w:cs="Arial"/>
          <w:sz w:val="24"/>
          <w:szCs w:val="24"/>
        </w:rPr>
        <w:t xml:space="preserve"> underutilisation </w:t>
      </w:r>
      <w:r w:rsidR="00FA28D1" w:rsidRPr="00997A74">
        <w:rPr>
          <w:rFonts w:ascii="Arial" w:hAnsi="Arial" w:cs="Arial"/>
          <w:sz w:val="24"/>
          <w:szCs w:val="24"/>
        </w:rPr>
        <w:t xml:space="preserve">($140.1m) </w:t>
      </w:r>
    </w:p>
    <w:p w14:paraId="2CE277CA" w14:textId="63E2DFD2" w:rsidR="00A21981" w:rsidRPr="00997A74" w:rsidRDefault="00B27BE6" w:rsidP="00997A74">
      <w:pPr>
        <w:pStyle w:val="Heading1"/>
        <w:spacing w:before="120" w:after="240"/>
        <w:rPr>
          <w:rFonts w:ascii="Arial" w:hAnsi="Arial" w:cs="Arial"/>
          <w:b/>
          <w:color w:val="auto"/>
          <w:sz w:val="40"/>
          <w:szCs w:val="40"/>
          <w:lang w:val="en-US"/>
        </w:rPr>
      </w:pPr>
      <w:r w:rsidRPr="00997A74">
        <w:rPr>
          <w:rFonts w:ascii="Arial" w:hAnsi="Arial" w:cs="Arial"/>
          <w:b/>
          <w:color w:val="auto"/>
          <w:sz w:val="40"/>
          <w:szCs w:val="40"/>
          <w:lang w:val="en-US"/>
        </w:rPr>
        <w:t>Disability Sector</w:t>
      </w:r>
      <w:r w:rsidR="003B2A06" w:rsidRPr="00997A74">
        <w:rPr>
          <w:rFonts w:ascii="Arial" w:hAnsi="Arial" w:cs="Arial"/>
          <w:b/>
          <w:color w:val="auto"/>
          <w:sz w:val="40"/>
          <w:szCs w:val="40"/>
          <w:lang w:val="en-US"/>
        </w:rPr>
        <w:t xml:space="preserve"> Asks</w:t>
      </w:r>
    </w:p>
    <w:p w14:paraId="487208AB" w14:textId="2EC6E8F8" w:rsidR="004379AE" w:rsidRPr="00997A74" w:rsidRDefault="00F77F22" w:rsidP="00997A74">
      <w:pPr>
        <w:pStyle w:val="Heading2"/>
        <w:numPr>
          <w:ilvl w:val="0"/>
          <w:numId w:val="11"/>
        </w:numPr>
        <w:spacing w:before="120" w:after="240" w:line="360" w:lineRule="auto"/>
        <w:ind w:left="709" w:hanging="709"/>
        <w:rPr>
          <w:rFonts w:ascii="Arial" w:hAnsi="Arial" w:cs="Arial"/>
          <w:b/>
          <w:color w:val="auto"/>
          <w:sz w:val="32"/>
          <w:szCs w:val="32"/>
          <w:lang w:val="en-US"/>
        </w:rPr>
      </w:pPr>
      <w:r w:rsidRPr="00997A74">
        <w:rPr>
          <w:rFonts w:ascii="Arial" w:hAnsi="Arial" w:cs="Arial"/>
          <w:b/>
          <w:color w:val="auto"/>
          <w:sz w:val="32"/>
          <w:szCs w:val="32"/>
          <w:lang w:val="en-US"/>
        </w:rPr>
        <w:t xml:space="preserve">Ensure that all Tasmanians with disability receive the services and support they need to live an ordinary life. </w:t>
      </w:r>
    </w:p>
    <w:p w14:paraId="1FE4359B" w14:textId="4E66F992" w:rsidR="0046092A" w:rsidRPr="00997A74" w:rsidRDefault="0046092A" w:rsidP="00997A74">
      <w:pPr>
        <w:spacing w:before="120" w:after="240" w:line="360" w:lineRule="auto"/>
        <w:rPr>
          <w:rFonts w:ascii="Arial" w:hAnsi="Arial" w:cs="Arial"/>
          <w:sz w:val="24"/>
          <w:szCs w:val="24"/>
          <w:lang w:val="en-US"/>
        </w:rPr>
      </w:pPr>
      <w:r w:rsidRPr="00997A74">
        <w:rPr>
          <w:rFonts w:ascii="Arial" w:hAnsi="Arial" w:cs="Arial"/>
          <w:sz w:val="24"/>
          <w:szCs w:val="24"/>
          <w:lang w:val="en-US"/>
        </w:rPr>
        <w:t>As Australia’s most regionalised population, investigation needs to be undertaken to determine whether the distribution of NDIS plans accurately reflects the population of people with disability or reflects significant NDIS underutilisation in remote or very remote areas. Currently only 1.3</w:t>
      </w:r>
      <w:r w:rsidR="00997A74">
        <w:rPr>
          <w:rFonts w:ascii="Arial" w:hAnsi="Arial" w:cs="Arial"/>
          <w:sz w:val="24"/>
          <w:szCs w:val="24"/>
          <w:lang w:val="en-US"/>
        </w:rPr>
        <w:t xml:space="preserve"> per cent</w:t>
      </w:r>
      <w:r w:rsidRPr="00997A74">
        <w:rPr>
          <w:rFonts w:ascii="Arial" w:hAnsi="Arial" w:cs="Arial"/>
          <w:sz w:val="24"/>
          <w:szCs w:val="24"/>
          <w:lang w:val="en-US"/>
        </w:rPr>
        <w:t xml:space="preserve"> of NDIS</w:t>
      </w:r>
      <w:r w:rsidR="005D2662" w:rsidRPr="00997A74">
        <w:rPr>
          <w:rFonts w:ascii="Arial" w:hAnsi="Arial" w:cs="Arial"/>
          <w:sz w:val="24"/>
          <w:szCs w:val="24"/>
          <w:lang w:val="en-US"/>
        </w:rPr>
        <w:t xml:space="preserve"> </w:t>
      </w:r>
      <w:r w:rsidRPr="00997A74">
        <w:rPr>
          <w:rFonts w:ascii="Arial" w:hAnsi="Arial" w:cs="Arial"/>
          <w:sz w:val="24"/>
          <w:szCs w:val="24"/>
          <w:lang w:val="en-US"/>
        </w:rPr>
        <w:t>participants in Tasmania live in remote or very remote areas.</w:t>
      </w:r>
    </w:p>
    <w:p w14:paraId="4201E380" w14:textId="38A60976" w:rsidR="004379AE" w:rsidRPr="00997A74" w:rsidRDefault="004379AE" w:rsidP="00997A74">
      <w:pPr>
        <w:pStyle w:val="Heading3"/>
        <w:spacing w:before="120" w:after="240" w:line="360" w:lineRule="auto"/>
        <w:rPr>
          <w:rFonts w:ascii="Arial" w:hAnsi="Arial" w:cs="Arial"/>
          <w:b/>
          <w:color w:val="auto"/>
          <w:sz w:val="28"/>
          <w:szCs w:val="28"/>
          <w:lang w:val="en-US"/>
        </w:rPr>
      </w:pPr>
      <w:r w:rsidRPr="00997A74">
        <w:rPr>
          <w:rFonts w:ascii="Arial" w:hAnsi="Arial" w:cs="Arial"/>
          <w:b/>
          <w:color w:val="auto"/>
          <w:sz w:val="28"/>
          <w:szCs w:val="28"/>
          <w:lang w:val="en-US"/>
        </w:rPr>
        <w:t>Potential NDIS participant</w:t>
      </w:r>
      <w:r w:rsidR="007C4A2E" w:rsidRPr="00997A74">
        <w:rPr>
          <w:rFonts w:ascii="Arial" w:hAnsi="Arial" w:cs="Arial"/>
          <w:b/>
          <w:color w:val="auto"/>
          <w:sz w:val="28"/>
          <w:szCs w:val="28"/>
          <w:lang w:val="en-US"/>
        </w:rPr>
        <w:t>s</w:t>
      </w:r>
    </w:p>
    <w:p w14:paraId="34A28874" w14:textId="3AD6655D" w:rsidR="004379AE" w:rsidRPr="00997A74" w:rsidRDefault="004379AE" w:rsidP="00997A74">
      <w:pPr>
        <w:pStyle w:val="ListParagraph"/>
        <w:spacing w:before="120" w:after="240" w:line="360" w:lineRule="auto"/>
        <w:ind w:left="0"/>
        <w:contextualSpacing w:val="0"/>
        <w:rPr>
          <w:rFonts w:ascii="Arial" w:hAnsi="Arial" w:cs="Arial"/>
          <w:b/>
          <w:sz w:val="24"/>
          <w:szCs w:val="24"/>
          <w:lang w:val="en-US"/>
        </w:rPr>
      </w:pPr>
      <w:r w:rsidRPr="00997A74">
        <w:rPr>
          <w:rFonts w:ascii="Arial" w:hAnsi="Arial" w:cs="Arial"/>
          <w:sz w:val="24"/>
          <w:szCs w:val="24"/>
          <w:lang w:val="en-US"/>
        </w:rPr>
        <w:t xml:space="preserve">Ensure those who are eligible for </w:t>
      </w:r>
      <w:r w:rsidR="007C4A2E" w:rsidRPr="00997A74">
        <w:rPr>
          <w:rFonts w:ascii="Arial" w:hAnsi="Arial" w:cs="Arial"/>
          <w:sz w:val="24"/>
          <w:szCs w:val="24"/>
          <w:lang w:val="en-US"/>
        </w:rPr>
        <w:t xml:space="preserve">the </w:t>
      </w:r>
      <w:r w:rsidRPr="00997A74">
        <w:rPr>
          <w:rFonts w:ascii="Arial" w:hAnsi="Arial" w:cs="Arial"/>
          <w:sz w:val="24"/>
          <w:szCs w:val="24"/>
          <w:lang w:val="en-US"/>
        </w:rPr>
        <w:t xml:space="preserve">NDIS receive NDIS funded services: Only </w:t>
      </w:r>
      <w:r w:rsidRPr="00997A74">
        <w:rPr>
          <w:rFonts w:ascii="Arial" w:hAnsi="Arial" w:cs="Arial"/>
          <w:sz w:val="24"/>
          <w:szCs w:val="24"/>
        </w:rPr>
        <w:t>7</w:t>
      </w:r>
      <w:r w:rsidR="00997A74">
        <w:rPr>
          <w:rFonts w:ascii="Arial" w:hAnsi="Arial" w:cs="Arial"/>
          <w:sz w:val="24"/>
          <w:szCs w:val="24"/>
        </w:rPr>
        <w:t xml:space="preserve"> per cent</w:t>
      </w:r>
      <w:r w:rsidRPr="00997A74">
        <w:rPr>
          <w:rFonts w:ascii="Arial" w:hAnsi="Arial" w:cs="Arial"/>
          <w:sz w:val="24"/>
          <w:szCs w:val="24"/>
        </w:rPr>
        <w:t xml:space="preserve"> of people with disability in Tasmania are supported by the NDIS. </w:t>
      </w:r>
      <w:r w:rsidRPr="00997A74">
        <w:rPr>
          <w:rFonts w:ascii="Arial" w:hAnsi="Arial" w:cs="Arial"/>
          <w:bCs/>
          <w:sz w:val="24"/>
          <w:szCs w:val="24"/>
          <w:lang w:val="en-US"/>
        </w:rPr>
        <w:t>Invest in place-based strategies to assist communities to navigate the NDIS, increase participation and build the capacity of thin markets to ensure strong local service provision.</w:t>
      </w:r>
    </w:p>
    <w:p w14:paraId="244C7792" w14:textId="793EDFE4" w:rsidR="004379AE" w:rsidRPr="00997A74" w:rsidRDefault="004379AE" w:rsidP="00997A74">
      <w:pPr>
        <w:pStyle w:val="Heading3"/>
        <w:spacing w:before="120" w:after="240" w:line="360" w:lineRule="auto"/>
        <w:rPr>
          <w:rFonts w:ascii="Arial" w:hAnsi="Arial" w:cs="Arial"/>
          <w:b/>
          <w:color w:val="auto"/>
          <w:sz w:val="28"/>
          <w:szCs w:val="28"/>
          <w:lang w:val="en-US"/>
        </w:rPr>
      </w:pPr>
      <w:r w:rsidRPr="00997A74">
        <w:rPr>
          <w:rFonts w:ascii="Arial" w:hAnsi="Arial" w:cs="Arial"/>
          <w:b/>
          <w:color w:val="auto"/>
          <w:sz w:val="28"/>
          <w:szCs w:val="28"/>
          <w:lang w:val="en-US"/>
        </w:rPr>
        <w:lastRenderedPageBreak/>
        <w:t>Others with Disability</w:t>
      </w:r>
    </w:p>
    <w:p w14:paraId="2493ED0A" w14:textId="3DB22709" w:rsidR="004379AE" w:rsidRPr="00997A74" w:rsidRDefault="004379AE" w:rsidP="00997A74">
      <w:pPr>
        <w:pStyle w:val="ListParagraph"/>
        <w:spacing w:before="120" w:after="240" w:line="360" w:lineRule="auto"/>
        <w:ind w:left="0"/>
        <w:contextualSpacing w:val="0"/>
        <w:rPr>
          <w:rFonts w:ascii="Arial" w:hAnsi="Arial" w:cs="Arial"/>
          <w:sz w:val="24"/>
          <w:szCs w:val="24"/>
        </w:rPr>
      </w:pPr>
      <w:r w:rsidRPr="00997A74">
        <w:rPr>
          <w:rFonts w:ascii="Arial" w:hAnsi="Arial" w:cs="Arial"/>
          <w:sz w:val="24"/>
          <w:szCs w:val="24"/>
        </w:rPr>
        <w:t>Ensure those who are not eligible for NDIS services</w:t>
      </w:r>
      <w:r w:rsidR="007C4A2E" w:rsidRPr="00997A74">
        <w:rPr>
          <w:rFonts w:ascii="Arial" w:hAnsi="Arial" w:cs="Arial"/>
          <w:sz w:val="24"/>
          <w:szCs w:val="24"/>
        </w:rPr>
        <w:t>,</w:t>
      </w:r>
      <w:r w:rsidRPr="00997A74">
        <w:rPr>
          <w:rFonts w:ascii="Arial" w:hAnsi="Arial" w:cs="Arial"/>
          <w:sz w:val="24"/>
          <w:szCs w:val="24"/>
        </w:rPr>
        <w:t xml:space="preserve"> but </w:t>
      </w:r>
      <w:r w:rsidR="007C4A2E" w:rsidRPr="00997A74">
        <w:rPr>
          <w:rFonts w:ascii="Arial" w:hAnsi="Arial" w:cs="Arial"/>
          <w:sz w:val="24"/>
          <w:szCs w:val="24"/>
        </w:rPr>
        <w:t xml:space="preserve">who </w:t>
      </w:r>
      <w:r w:rsidRPr="00997A74">
        <w:rPr>
          <w:rFonts w:ascii="Arial" w:hAnsi="Arial" w:cs="Arial"/>
          <w:sz w:val="24"/>
          <w:szCs w:val="24"/>
        </w:rPr>
        <w:t>still require support</w:t>
      </w:r>
      <w:r w:rsidR="007C4A2E" w:rsidRPr="00997A74">
        <w:rPr>
          <w:rFonts w:ascii="Arial" w:hAnsi="Arial" w:cs="Arial"/>
          <w:sz w:val="24"/>
          <w:szCs w:val="24"/>
        </w:rPr>
        <w:t xml:space="preserve">s, </w:t>
      </w:r>
      <w:r w:rsidRPr="00997A74">
        <w:rPr>
          <w:rFonts w:ascii="Arial" w:hAnsi="Arial" w:cs="Arial"/>
          <w:sz w:val="24"/>
          <w:szCs w:val="24"/>
        </w:rPr>
        <w:t>are able to access them where and when they need them</w:t>
      </w:r>
      <w:r w:rsidR="00CC7D45" w:rsidRPr="00997A74">
        <w:rPr>
          <w:rFonts w:ascii="Arial" w:hAnsi="Arial" w:cs="Arial"/>
          <w:sz w:val="24"/>
          <w:szCs w:val="24"/>
        </w:rPr>
        <w:t>. This</w:t>
      </w:r>
      <w:r w:rsidRPr="00997A74">
        <w:rPr>
          <w:rFonts w:ascii="Arial" w:hAnsi="Arial" w:cs="Arial"/>
          <w:sz w:val="24"/>
          <w:szCs w:val="24"/>
        </w:rPr>
        <w:t xml:space="preserve"> includ</w:t>
      </w:r>
      <w:r w:rsidR="00CC7D45" w:rsidRPr="00997A74">
        <w:rPr>
          <w:rFonts w:ascii="Arial" w:hAnsi="Arial" w:cs="Arial"/>
          <w:sz w:val="24"/>
          <w:szCs w:val="24"/>
        </w:rPr>
        <w:t xml:space="preserve">es </w:t>
      </w:r>
      <w:r w:rsidR="00E74332" w:rsidRPr="00997A74">
        <w:rPr>
          <w:rFonts w:ascii="Arial" w:hAnsi="Arial" w:cs="Arial"/>
          <w:sz w:val="24"/>
          <w:szCs w:val="24"/>
        </w:rPr>
        <w:t xml:space="preserve">improved </w:t>
      </w:r>
      <w:r w:rsidR="00CC7D45" w:rsidRPr="00997A74">
        <w:rPr>
          <w:rFonts w:ascii="Arial" w:hAnsi="Arial" w:cs="Arial"/>
          <w:sz w:val="24"/>
          <w:szCs w:val="24"/>
        </w:rPr>
        <w:t>access to</w:t>
      </w:r>
      <w:r w:rsidRPr="00997A74">
        <w:rPr>
          <w:rFonts w:ascii="Arial" w:hAnsi="Arial" w:cs="Arial"/>
          <w:sz w:val="24"/>
          <w:szCs w:val="24"/>
        </w:rPr>
        <w:t xml:space="preserve"> housing, education, transport and health services.  </w:t>
      </w:r>
      <w:r w:rsidR="00CC7D45" w:rsidRPr="00997A74">
        <w:rPr>
          <w:rFonts w:ascii="Arial" w:hAnsi="Arial" w:cs="Arial"/>
          <w:sz w:val="24"/>
          <w:szCs w:val="24"/>
        </w:rPr>
        <w:t>F</w:t>
      </w:r>
      <w:r w:rsidRPr="00997A74">
        <w:rPr>
          <w:rFonts w:ascii="Arial" w:hAnsi="Arial" w:cs="Arial"/>
          <w:sz w:val="24"/>
          <w:szCs w:val="24"/>
        </w:rPr>
        <w:t>unding for specialist support groups and advocacy services</w:t>
      </w:r>
      <w:r w:rsidR="00CC7D45" w:rsidRPr="00997A74">
        <w:rPr>
          <w:rFonts w:ascii="Arial" w:hAnsi="Arial" w:cs="Arial"/>
          <w:sz w:val="24"/>
          <w:szCs w:val="24"/>
        </w:rPr>
        <w:t xml:space="preserve"> is also essential to support those outside of NDIS funding. </w:t>
      </w:r>
    </w:p>
    <w:p w14:paraId="2FFDACAC" w14:textId="3A23C4A0" w:rsidR="00CE4B38" w:rsidRPr="00997A74" w:rsidRDefault="0054554B" w:rsidP="00997A74">
      <w:pPr>
        <w:pStyle w:val="Heading2"/>
        <w:numPr>
          <w:ilvl w:val="0"/>
          <w:numId w:val="11"/>
        </w:numPr>
        <w:spacing w:before="120" w:after="240" w:line="360" w:lineRule="auto"/>
        <w:ind w:left="709" w:hanging="709"/>
        <w:rPr>
          <w:rFonts w:ascii="Arial" w:hAnsi="Arial" w:cs="Arial"/>
          <w:b/>
          <w:color w:val="auto"/>
          <w:sz w:val="32"/>
          <w:szCs w:val="32"/>
          <w:lang w:val="en-US"/>
        </w:rPr>
      </w:pPr>
      <w:r w:rsidRPr="00997A74">
        <w:rPr>
          <w:rFonts w:ascii="Arial" w:hAnsi="Arial" w:cs="Arial"/>
          <w:b/>
          <w:color w:val="auto"/>
          <w:sz w:val="32"/>
          <w:szCs w:val="32"/>
          <w:lang w:val="en-US"/>
        </w:rPr>
        <w:t>Commit to</w:t>
      </w:r>
      <w:r w:rsidR="00CC7D45" w:rsidRPr="00997A74">
        <w:rPr>
          <w:rFonts w:ascii="Arial" w:hAnsi="Arial" w:cs="Arial"/>
          <w:b/>
          <w:color w:val="auto"/>
          <w:sz w:val="32"/>
          <w:szCs w:val="32"/>
          <w:lang w:val="en-US"/>
        </w:rPr>
        <w:t xml:space="preserve"> </w:t>
      </w:r>
      <w:r w:rsidRPr="00997A74">
        <w:rPr>
          <w:rFonts w:ascii="Arial" w:hAnsi="Arial" w:cs="Arial"/>
          <w:b/>
          <w:color w:val="auto"/>
          <w:sz w:val="32"/>
          <w:szCs w:val="32"/>
          <w:lang w:val="en-US"/>
        </w:rPr>
        <w:t>supply</w:t>
      </w:r>
      <w:r w:rsidR="00CC7D45" w:rsidRPr="00997A74">
        <w:rPr>
          <w:rFonts w:ascii="Arial" w:hAnsi="Arial" w:cs="Arial"/>
          <w:b/>
          <w:color w:val="auto"/>
          <w:sz w:val="32"/>
          <w:szCs w:val="32"/>
          <w:lang w:val="en-US"/>
        </w:rPr>
        <w:t>ing</w:t>
      </w:r>
      <w:r w:rsidRPr="00997A74">
        <w:rPr>
          <w:rFonts w:ascii="Arial" w:hAnsi="Arial" w:cs="Arial"/>
          <w:b/>
          <w:color w:val="auto"/>
          <w:sz w:val="32"/>
          <w:szCs w:val="32"/>
          <w:lang w:val="en-US"/>
        </w:rPr>
        <w:t xml:space="preserve"> affordable</w:t>
      </w:r>
      <w:r w:rsidR="00CC7D45" w:rsidRPr="00997A74">
        <w:rPr>
          <w:rFonts w:ascii="Arial" w:hAnsi="Arial" w:cs="Arial"/>
          <w:b/>
          <w:color w:val="auto"/>
          <w:sz w:val="32"/>
          <w:szCs w:val="32"/>
          <w:lang w:val="en-US"/>
        </w:rPr>
        <w:t>,</w:t>
      </w:r>
      <w:r w:rsidRPr="00997A74">
        <w:rPr>
          <w:rFonts w:ascii="Arial" w:hAnsi="Arial" w:cs="Arial"/>
          <w:b/>
          <w:color w:val="auto"/>
          <w:sz w:val="32"/>
          <w:szCs w:val="32"/>
          <w:lang w:val="en-US"/>
        </w:rPr>
        <w:t xml:space="preserve"> accessible housing for people with disability</w:t>
      </w:r>
      <w:r w:rsidR="00CC7D45" w:rsidRPr="00997A74">
        <w:rPr>
          <w:rFonts w:ascii="Arial" w:hAnsi="Arial" w:cs="Arial"/>
          <w:b/>
          <w:color w:val="auto"/>
          <w:sz w:val="32"/>
          <w:szCs w:val="32"/>
          <w:lang w:val="en-US"/>
        </w:rPr>
        <w:t>.</w:t>
      </w:r>
    </w:p>
    <w:p w14:paraId="18A2C32E" w14:textId="66652820" w:rsidR="004379AE" w:rsidRPr="00997A74" w:rsidRDefault="004379AE" w:rsidP="00997A74">
      <w:pPr>
        <w:spacing w:before="120" w:after="240" w:line="360" w:lineRule="auto"/>
        <w:rPr>
          <w:rFonts w:ascii="Arial" w:hAnsi="Arial" w:cs="Arial"/>
          <w:sz w:val="24"/>
          <w:szCs w:val="24"/>
          <w:lang w:val="en-US"/>
        </w:rPr>
      </w:pPr>
      <w:r w:rsidRPr="00997A74">
        <w:rPr>
          <w:rFonts w:ascii="Arial" w:hAnsi="Arial" w:cs="Arial"/>
          <w:sz w:val="24"/>
          <w:szCs w:val="24"/>
          <w:lang w:val="en-US"/>
        </w:rPr>
        <w:t>Lack of appropriate housing is a significant issue identified by disability service providers. Commit to</w:t>
      </w:r>
      <w:r w:rsidR="00CC7D45" w:rsidRPr="00997A74">
        <w:rPr>
          <w:rFonts w:ascii="Arial" w:hAnsi="Arial" w:cs="Arial"/>
          <w:sz w:val="24"/>
          <w:szCs w:val="24"/>
          <w:lang w:val="en-US"/>
        </w:rPr>
        <w:t xml:space="preserve"> create</w:t>
      </w:r>
      <w:r w:rsidRPr="00997A74">
        <w:rPr>
          <w:rFonts w:ascii="Arial" w:hAnsi="Arial" w:cs="Arial"/>
          <w:sz w:val="24"/>
          <w:szCs w:val="24"/>
          <w:lang w:val="en-US"/>
        </w:rPr>
        <w:t xml:space="preserve"> and implement a housing strategy that results</w:t>
      </w:r>
      <w:r w:rsidR="00600ABA" w:rsidRPr="00997A74">
        <w:rPr>
          <w:rFonts w:ascii="Arial" w:hAnsi="Arial" w:cs="Arial"/>
          <w:sz w:val="24"/>
          <w:szCs w:val="24"/>
          <w:lang w:val="en-US"/>
        </w:rPr>
        <w:t xml:space="preserve"> in the adequate supply of accessible and affordable housing for Tasmanians with disability. </w:t>
      </w:r>
      <w:r w:rsidRPr="00997A74">
        <w:rPr>
          <w:rFonts w:ascii="Arial" w:hAnsi="Arial" w:cs="Arial"/>
          <w:sz w:val="24"/>
          <w:szCs w:val="24"/>
          <w:lang w:val="en-US"/>
        </w:rPr>
        <w:t xml:space="preserve"> </w:t>
      </w:r>
    </w:p>
    <w:p w14:paraId="7BD3559F" w14:textId="402AE0CA" w:rsidR="0054554B" w:rsidRPr="00997A74" w:rsidRDefault="0054554B" w:rsidP="00997A74">
      <w:pPr>
        <w:pStyle w:val="Heading2"/>
        <w:numPr>
          <w:ilvl w:val="0"/>
          <w:numId w:val="11"/>
        </w:numPr>
        <w:spacing w:before="120" w:after="240" w:line="360" w:lineRule="auto"/>
        <w:ind w:left="709" w:hanging="709"/>
        <w:rPr>
          <w:rFonts w:ascii="Arial" w:hAnsi="Arial" w:cs="Arial"/>
          <w:b/>
          <w:color w:val="auto"/>
          <w:sz w:val="32"/>
          <w:szCs w:val="32"/>
          <w:lang w:val="en-US"/>
        </w:rPr>
      </w:pPr>
      <w:r w:rsidRPr="00997A74">
        <w:rPr>
          <w:rFonts w:ascii="Arial" w:hAnsi="Arial" w:cs="Arial"/>
          <w:b/>
          <w:color w:val="auto"/>
          <w:sz w:val="32"/>
          <w:szCs w:val="32"/>
          <w:lang w:val="en-US"/>
        </w:rPr>
        <w:t>Workforce development</w:t>
      </w:r>
    </w:p>
    <w:p w14:paraId="6618E170" w14:textId="77777777" w:rsidR="004379AE" w:rsidRPr="00997A74" w:rsidRDefault="004379AE" w:rsidP="00997A74">
      <w:pPr>
        <w:spacing w:before="120" w:after="240" w:line="360" w:lineRule="auto"/>
        <w:rPr>
          <w:rFonts w:ascii="Arial" w:hAnsi="Arial" w:cs="Arial"/>
          <w:sz w:val="24"/>
          <w:szCs w:val="24"/>
          <w:lang w:val="en-US"/>
        </w:rPr>
      </w:pPr>
      <w:r w:rsidRPr="00997A74">
        <w:rPr>
          <w:rFonts w:ascii="Arial" w:hAnsi="Arial" w:cs="Arial"/>
          <w:sz w:val="24"/>
          <w:szCs w:val="24"/>
          <w:lang w:val="en-US"/>
        </w:rPr>
        <w:t xml:space="preserve">Fund ongoing workforce development for the disability sector, in particular to assist with the implementation of the National Workforce Strategy and the NDIS Workforce Capability Framework, due for release in 2021. </w:t>
      </w:r>
    </w:p>
    <w:p w14:paraId="1509C225" w14:textId="2EB1F5CF" w:rsidR="0054554B" w:rsidRPr="00997A74" w:rsidRDefault="0054554B" w:rsidP="00997A74">
      <w:pPr>
        <w:pStyle w:val="Heading2"/>
        <w:numPr>
          <w:ilvl w:val="0"/>
          <w:numId w:val="11"/>
        </w:numPr>
        <w:spacing w:before="120" w:after="240" w:line="360" w:lineRule="auto"/>
        <w:ind w:left="709" w:hanging="709"/>
        <w:rPr>
          <w:rFonts w:ascii="Arial" w:hAnsi="Arial" w:cs="Arial"/>
          <w:b/>
          <w:color w:val="auto"/>
          <w:sz w:val="32"/>
          <w:szCs w:val="32"/>
          <w:lang w:val="en-US"/>
        </w:rPr>
      </w:pPr>
      <w:r w:rsidRPr="00997A74">
        <w:rPr>
          <w:rFonts w:ascii="Arial" w:hAnsi="Arial" w:cs="Arial"/>
          <w:b/>
          <w:color w:val="auto"/>
          <w:sz w:val="32"/>
          <w:szCs w:val="32"/>
          <w:lang w:val="en-US"/>
        </w:rPr>
        <w:t>Ongoing peak body funding</w:t>
      </w:r>
    </w:p>
    <w:p w14:paraId="54482A94" w14:textId="51C13029" w:rsidR="004379AE" w:rsidRPr="00997A74" w:rsidRDefault="004379AE" w:rsidP="00997A74">
      <w:pPr>
        <w:pStyle w:val="ListParagraph"/>
        <w:spacing w:before="120" w:after="240" w:line="360" w:lineRule="auto"/>
        <w:ind w:left="0"/>
        <w:contextualSpacing w:val="0"/>
        <w:rPr>
          <w:rFonts w:ascii="Arial" w:hAnsi="Arial" w:cs="Arial"/>
          <w:sz w:val="24"/>
          <w:szCs w:val="24"/>
          <w:lang w:val="en-US"/>
        </w:rPr>
      </w:pPr>
      <w:r w:rsidRPr="00997A74">
        <w:rPr>
          <w:rFonts w:ascii="Arial" w:hAnsi="Arial" w:cs="Arial"/>
          <w:sz w:val="24"/>
          <w:szCs w:val="24"/>
          <w:lang w:val="en-US"/>
        </w:rPr>
        <w:t xml:space="preserve">Continue peak body funding </w:t>
      </w:r>
      <w:r w:rsidR="00600ABA" w:rsidRPr="00997A74">
        <w:rPr>
          <w:rFonts w:ascii="Arial" w:hAnsi="Arial" w:cs="Arial"/>
          <w:sz w:val="24"/>
          <w:szCs w:val="24"/>
          <w:lang w:val="en-US"/>
        </w:rPr>
        <w:t xml:space="preserve">for NDS </w:t>
      </w:r>
      <w:r w:rsidRPr="00997A74">
        <w:rPr>
          <w:rFonts w:ascii="Arial" w:hAnsi="Arial" w:cs="Arial"/>
          <w:sz w:val="24"/>
          <w:szCs w:val="24"/>
          <w:lang w:val="en-US"/>
        </w:rPr>
        <w:t>to ensure we can continue working with the State Government to:</w:t>
      </w:r>
    </w:p>
    <w:p w14:paraId="6F965930" w14:textId="7B617B3E" w:rsidR="004379AE" w:rsidRPr="00997A74" w:rsidRDefault="004379AE" w:rsidP="00997A74">
      <w:pPr>
        <w:pStyle w:val="ListParagraph"/>
        <w:numPr>
          <w:ilvl w:val="0"/>
          <w:numId w:val="2"/>
        </w:numPr>
        <w:spacing w:before="120" w:after="240" w:line="360" w:lineRule="auto"/>
        <w:ind w:left="360"/>
        <w:contextualSpacing w:val="0"/>
        <w:rPr>
          <w:rFonts w:ascii="Arial" w:hAnsi="Arial" w:cs="Arial"/>
          <w:sz w:val="24"/>
          <w:szCs w:val="24"/>
          <w:lang w:val="en-US"/>
        </w:rPr>
      </w:pPr>
      <w:r w:rsidRPr="00997A74">
        <w:rPr>
          <w:rFonts w:ascii="Arial" w:hAnsi="Arial" w:cs="Arial"/>
          <w:sz w:val="24"/>
          <w:szCs w:val="24"/>
          <w:lang w:val="en-US"/>
        </w:rPr>
        <w:t xml:space="preserve">Build a larger, stronger and more sustainable disability sector. A sector that is better able to meet the needs of Tasmanian NDIA participants through </w:t>
      </w:r>
      <w:r w:rsidR="00600ABA" w:rsidRPr="00997A74">
        <w:rPr>
          <w:rFonts w:ascii="Arial" w:hAnsi="Arial" w:cs="Arial"/>
          <w:sz w:val="24"/>
          <w:szCs w:val="24"/>
          <w:lang w:val="en-US"/>
        </w:rPr>
        <w:t>improved</w:t>
      </w:r>
      <w:r w:rsidRPr="00997A74">
        <w:rPr>
          <w:rFonts w:ascii="Arial" w:hAnsi="Arial" w:cs="Arial"/>
          <w:sz w:val="24"/>
          <w:szCs w:val="24"/>
          <w:lang w:val="en-US"/>
        </w:rPr>
        <w:t xml:space="preserve"> choice, </w:t>
      </w:r>
      <w:r w:rsidR="00600ABA" w:rsidRPr="00997A74">
        <w:rPr>
          <w:rFonts w:ascii="Arial" w:hAnsi="Arial" w:cs="Arial"/>
          <w:sz w:val="24"/>
          <w:szCs w:val="24"/>
          <w:lang w:val="en-US"/>
        </w:rPr>
        <w:t xml:space="preserve">better </w:t>
      </w:r>
      <w:r w:rsidRPr="00997A74">
        <w:rPr>
          <w:rFonts w:ascii="Arial" w:hAnsi="Arial" w:cs="Arial"/>
          <w:sz w:val="24"/>
          <w:szCs w:val="24"/>
          <w:lang w:val="en-US"/>
        </w:rPr>
        <w:t xml:space="preserve">control and </w:t>
      </w:r>
      <w:r w:rsidR="00600ABA" w:rsidRPr="00997A74">
        <w:rPr>
          <w:rFonts w:ascii="Arial" w:hAnsi="Arial" w:cs="Arial"/>
          <w:sz w:val="24"/>
          <w:szCs w:val="24"/>
          <w:lang w:val="en-US"/>
        </w:rPr>
        <w:t xml:space="preserve">higher </w:t>
      </w:r>
      <w:r w:rsidRPr="00997A74">
        <w:rPr>
          <w:rFonts w:ascii="Arial" w:hAnsi="Arial" w:cs="Arial"/>
          <w:sz w:val="24"/>
          <w:szCs w:val="24"/>
          <w:lang w:val="en-US"/>
        </w:rPr>
        <w:t xml:space="preserve">plan utilisation rates. </w:t>
      </w:r>
    </w:p>
    <w:p w14:paraId="75E87614" w14:textId="77777777" w:rsidR="004379AE" w:rsidRPr="00997A74" w:rsidRDefault="004379AE" w:rsidP="00997A74">
      <w:pPr>
        <w:pStyle w:val="ListParagraph"/>
        <w:numPr>
          <w:ilvl w:val="0"/>
          <w:numId w:val="2"/>
        </w:numPr>
        <w:spacing w:before="120" w:after="240" w:line="360" w:lineRule="auto"/>
        <w:ind w:left="360"/>
        <w:contextualSpacing w:val="0"/>
        <w:rPr>
          <w:rFonts w:ascii="Arial" w:hAnsi="Arial" w:cs="Arial"/>
          <w:sz w:val="24"/>
          <w:szCs w:val="24"/>
          <w:lang w:val="en-US"/>
        </w:rPr>
      </w:pPr>
      <w:r w:rsidRPr="00997A74">
        <w:rPr>
          <w:rFonts w:ascii="Arial" w:hAnsi="Arial" w:cs="Arial"/>
          <w:sz w:val="24"/>
          <w:szCs w:val="24"/>
          <w:lang w:val="en-US"/>
        </w:rPr>
        <w:t xml:space="preserve">Maximise the economic and job growth opportunities that the NDIS presents. </w:t>
      </w:r>
    </w:p>
    <w:p w14:paraId="6FB62C79" w14:textId="77777777" w:rsidR="009B1F7E" w:rsidRPr="00997A74" w:rsidRDefault="009B1F7E" w:rsidP="00997A74">
      <w:pPr>
        <w:pStyle w:val="Heading2"/>
        <w:numPr>
          <w:ilvl w:val="0"/>
          <w:numId w:val="11"/>
        </w:numPr>
        <w:spacing w:before="120" w:after="240" w:line="360" w:lineRule="auto"/>
        <w:ind w:left="709" w:hanging="709"/>
        <w:rPr>
          <w:rFonts w:ascii="Arial" w:hAnsi="Arial" w:cs="Arial"/>
          <w:b/>
          <w:color w:val="auto"/>
          <w:sz w:val="32"/>
          <w:szCs w:val="32"/>
          <w:lang w:val="en-US"/>
        </w:rPr>
      </w:pPr>
      <w:r w:rsidRPr="00997A74">
        <w:rPr>
          <w:rFonts w:ascii="Arial" w:hAnsi="Arial" w:cs="Arial"/>
          <w:b/>
          <w:color w:val="auto"/>
          <w:sz w:val="32"/>
          <w:szCs w:val="32"/>
          <w:lang w:val="en-US"/>
        </w:rPr>
        <w:t>Government Procurement</w:t>
      </w:r>
    </w:p>
    <w:p w14:paraId="58DD5A35" w14:textId="60881EDA" w:rsidR="00B70A13" w:rsidRDefault="009B1F7E" w:rsidP="00997A74">
      <w:pPr>
        <w:spacing w:before="120" w:after="240" w:line="360" w:lineRule="auto"/>
        <w:rPr>
          <w:rFonts w:ascii="Arial" w:hAnsi="Arial" w:cs="Arial"/>
          <w:sz w:val="24"/>
          <w:szCs w:val="24"/>
          <w:lang w:val="en-US"/>
        </w:rPr>
      </w:pPr>
      <w:r w:rsidRPr="00997A74">
        <w:rPr>
          <w:rFonts w:ascii="Arial" w:hAnsi="Arial" w:cs="Arial"/>
          <w:sz w:val="24"/>
          <w:szCs w:val="24"/>
          <w:lang w:val="en-US"/>
        </w:rPr>
        <w:t xml:space="preserve">Social enterprises providing supports in employment for people with disability play a vital role in providing employment opportunities to people with disability across </w:t>
      </w:r>
      <w:r w:rsidRPr="00997A74">
        <w:rPr>
          <w:rFonts w:ascii="Arial" w:hAnsi="Arial" w:cs="Arial"/>
          <w:sz w:val="24"/>
          <w:szCs w:val="24"/>
          <w:lang w:val="en-US"/>
        </w:rPr>
        <w:lastRenderedPageBreak/>
        <w:t xml:space="preserve">Tasmania. To support the sustainability of this sector and to grow employment opportunities for people with disability in Tasmania, NDS urges utilization of the existing head deed and a commitment that </w:t>
      </w:r>
      <w:r w:rsidR="005D2662" w:rsidRPr="00997A74">
        <w:rPr>
          <w:rFonts w:ascii="Arial" w:hAnsi="Arial" w:cs="Arial"/>
          <w:sz w:val="24"/>
          <w:szCs w:val="24"/>
          <w:lang w:val="en-US"/>
        </w:rPr>
        <w:t>2</w:t>
      </w:r>
      <w:r w:rsidRPr="00997A74">
        <w:rPr>
          <w:rFonts w:ascii="Arial" w:hAnsi="Arial" w:cs="Arial"/>
          <w:sz w:val="24"/>
          <w:szCs w:val="24"/>
          <w:lang w:val="en-US"/>
        </w:rPr>
        <w:t>% of all applicable Tasmanian Government procurement be made th</w:t>
      </w:r>
      <w:r w:rsidR="00997A74">
        <w:rPr>
          <w:rFonts w:ascii="Arial" w:hAnsi="Arial" w:cs="Arial"/>
          <w:sz w:val="24"/>
          <w:szCs w:val="24"/>
          <w:lang w:val="en-US"/>
        </w:rPr>
        <w:t>rough these social enterprises.</w:t>
      </w:r>
    </w:p>
    <w:p w14:paraId="61148A21" w14:textId="2C535EED" w:rsidR="00997A74" w:rsidRPr="00997A74" w:rsidRDefault="00997A74" w:rsidP="00997A74">
      <w:pPr>
        <w:spacing w:before="120" w:after="240" w:line="360" w:lineRule="auto"/>
        <w:rPr>
          <w:rFonts w:ascii="Arial" w:hAnsi="Arial" w:cs="Arial"/>
          <w:sz w:val="24"/>
          <w:szCs w:val="24"/>
          <w:lang w:val="en-US"/>
        </w:rPr>
      </w:pPr>
      <w:r w:rsidRPr="00997A74">
        <w:rPr>
          <w:rFonts w:ascii="Arial" w:hAnsi="Arial" w:cs="Arial"/>
          <w:sz w:val="24"/>
          <w:szCs w:val="24"/>
          <w:lang w:val="en-US"/>
        </w:rPr>
        <w:t xml:space="preserve">Information sourced from </w:t>
      </w:r>
      <w:hyperlink r:id="rId11" w:history="1">
        <w:r w:rsidRPr="00997A74">
          <w:rPr>
            <w:rStyle w:val="Hyperlink"/>
            <w:rFonts w:ascii="Arial" w:hAnsi="Arial" w:cs="Arial"/>
            <w:sz w:val="24"/>
            <w:szCs w:val="24"/>
            <w:lang w:val="en-US"/>
          </w:rPr>
          <w:t>COAG Disability Reform Council Quarterly Report 31 Dec 2020</w:t>
        </w:r>
      </w:hyperlink>
      <w:r w:rsidRPr="00997A74">
        <w:rPr>
          <w:rFonts w:ascii="Arial" w:hAnsi="Arial" w:cs="Arial"/>
          <w:sz w:val="24"/>
          <w:szCs w:val="24"/>
          <w:lang w:val="en-US"/>
        </w:rPr>
        <w:t xml:space="preserve"> and</w:t>
      </w:r>
      <w:r>
        <w:rPr>
          <w:rFonts w:ascii="Arial" w:hAnsi="Arial" w:cs="Arial"/>
          <w:sz w:val="24"/>
          <w:szCs w:val="24"/>
          <w:lang w:val="en-US"/>
        </w:rPr>
        <w:t xml:space="preserve"> </w:t>
      </w:r>
      <w:hyperlink r:id="rId12" w:history="1">
        <w:r w:rsidRPr="00997A74">
          <w:rPr>
            <w:rStyle w:val="Hyperlink"/>
            <w:rFonts w:ascii="Arial" w:hAnsi="Arial" w:cs="Arial"/>
            <w:sz w:val="24"/>
            <w:szCs w:val="24"/>
            <w:lang w:val="en-US"/>
          </w:rPr>
          <w:t>ABS data</w:t>
        </w:r>
      </w:hyperlink>
      <w:bookmarkStart w:id="0" w:name="_GoBack"/>
      <w:bookmarkEnd w:id="0"/>
    </w:p>
    <w:sectPr w:rsidR="00997A74" w:rsidRPr="00997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17B07" w14:textId="77777777" w:rsidR="008B7F7C" w:rsidRDefault="008B7F7C" w:rsidP="009142CE">
      <w:pPr>
        <w:spacing w:after="0" w:line="240" w:lineRule="auto"/>
      </w:pPr>
      <w:r>
        <w:separator/>
      </w:r>
    </w:p>
  </w:endnote>
  <w:endnote w:type="continuationSeparator" w:id="0">
    <w:p w14:paraId="788A6203" w14:textId="77777777" w:rsidR="008B7F7C" w:rsidRDefault="008B7F7C" w:rsidP="0091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C63C" w14:textId="77777777" w:rsidR="008B7F7C" w:rsidRDefault="008B7F7C" w:rsidP="009142CE">
      <w:pPr>
        <w:spacing w:after="0" w:line="240" w:lineRule="auto"/>
      </w:pPr>
      <w:r>
        <w:separator/>
      </w:r>
    </w:p>
  </w:footnote>
  <w:footnote w:type="continuationSeparator" w:id="0">
    <w:p w14:paraId="480C45F2" w14:textId="77777777" w:rsidR="008B7F7C" w:rsidRDefault="008B7F7C" w:rsidP="00914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77A"/>
    <w:multiLevelType w:val="hybridMultilevel"/>
    <w:tmpl w:val="E27A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B16EC"/>
    <w:multiLevelType w:val="hybridMultilevel"/>
    <w:tmpl w:val="527A9B26"/>
    <w:lvl w:ilvl="0" w:tplc="95405BC0">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502275"/>
    <w:multiLevelType w:val="hybridMultilevel"/>
    <w:tmpl w:val="CF20A5D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B373315"/>
    <w:multiLevelType w:val="hybridMultilevel"/>
    <w:tmpl w:val="34A861DE"/>
    <w:lvl w:ilvl="0" w:tplc="4B4C31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2030D3B"/>
    <w:multiLevelType w:val="hybridMultilevel"/>
    <w:tmpl w:val="6D502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1E2381"/>
    <w:multiLevelType w:val="hybridMultilevel"/>
    <w:tmpl w:val="900EF7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6779D9"/>
    <w:multiLevelType w:val="hybridMultilevel"/>
    <w:tmpl w:val="4BB23FBC"/>
    <w:lvl w:ilvl="0" w:tplc="6BFE72E6">
      <w:start w:val="5"/>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39B47CD2"/>
    <w:multiLevelType w:val="hybridMultilevel"/>
    <w:tmpl w:val="C54EE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338FE"/>
    <w:multiLevelType w:val="hybridMultilevel"/>
    <w:tmpl w:val="4B403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1D37A8B"/>
    <w:multiLevelType w:val="hybridMultilevel"/>
    <w:tmpl w:val="8CC02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916629"/>
    <w:multiLevelType w:val="hybridMultilevel"/>
    <w:tmpl w:val="B984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7"/>
  </w:num>
  <w:num w:numId="6">
    <w:abstractNumId w:val="3"/>
  </w:num>
  <w:num w:numId="7">
    <w:abstractNumId w:val="5"/>
  </w:num>
  <w:num w:numId="8">
    <w:abstractNumId w:val="2"/>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55"/>
    <w:rsid w:val="00023B4B"/>
    <w:rsid w:val="00036FD7"/>
    <w:rsid w:val="000776B8"/>
    <w:rsid w:val="000B25BB"/>
    <w:rsid w:val="000E766C"/>
    <w:rsid w:val="00124415"/>
    <w:rsid w:val="001951FC"/>
    <w:rsid w:val="001D290F"/>
    <w:rsid w:val="002352C1"/>
    <w:rsid w:val="002406E5"/>
    <w:rsid w:val="00280C14"/>
    <w:rsid w:val="0029236E"/>
    <w:rsid w:val="00297196"/>
    <w:rsid w:val="002A031F"/>
    <w:rsid w:val="002B4A16"/>
    <w:rsid w:val="003B2A06"/>
    <w:rsid w:val="003E5975"/>
    <w:rsid w:val="003F0E2D"/>
    <w:rsid w:val="00426303"/>
    <w:rsid w:val="004379AE"/>
    <w:rsid w:val="00452703"/>
    <w:rsid w:val="0046092A"/>
    <w:rsid w:val="004820BD"/>
    <w:rsid w:val="004A2FB5"/>
    <w:rsid w:val="004E3FDF"/>
    <w:rsid w:val="00512D90"/>
    <w:rsid w:val="0054554B"/>
    <w:rsid w:val="00574C95"/>
    <w:rsid w:val="0057532F"/>
    <w:rsid w:val="005D2662"/>
    <w:rsid w:val="00600ABA"/>
    <w:rsid w:val="00681BE1"/>
    <w:rsid w:val="00695CAE"/>
    <w:rsid w:val="006B1A63"/>
    <w:rsid w:val="006F58B5"/>
    <w:rsid w:val="00704F89"/>
    <w:rsid w:val="00721B4A"/>
    <w:rsid w:val="00770268"/>
    <w:rsid w:val="0077608A"/>
    <w:rsid w:val="007B23C2"/>
    <w:rsid w:val="007C4A2E"/>
    <w:rsid w:val="00834025"/>
    <w:rsid w:val="0085011D"/>
    <w:rsid w:val="0085322E"/>
    <w:rsid w:val="00893313"/>
    <w:rsid w:val="008B7F7C"/>
    <w:rsid w:val="008D2AFF"/>
    <w:rsid w:val="009025E3"/>
    <w:rsid w:val="009142CE"/>
    <w:rsid w:val="00924924"/>
    <w:rsid w:val="00932DD4"/>
    <w:rsid w:val="0096171C"/>
    <w:rsid w:val="00995AE3"/>
    <w:rsid w:val="00997A74"/>
    <w:rsid w:val="009B1F7E"/>
    <w:rsid w:val="009B5EB9"/>
    <w:rsid w:val="009D36E4"/>
    <w:rsid w:val="009E29D7"/>
    <w:rsid w:val="00A00604"/>
    <w:rsid w:val="00A5501E"/>
    <w:rsid w:val="00AA68F4"/>
    <w:rsid w:val="00AD2636"/>
    <w:rsid w:val="00B27BE6"/>
    <w:rsid w:val="00B70A13"/>
    <w:rsid w:val="00B969A8"/>
    <w:rsid w:val="00C17BD5"/>
    <w:rsid w:val="00C67BDC"/>
    <w:rsid w:val="00CC1C55"/>
    <w:rsid w:val="00CC7D45"/>
    <w:rsid w:val="00CD0B1A"/>
    <w:rsid w:val="00CE4B38"/>
    <w:rsid w:val="00D10959"/>
    <w:rsid w:val="00D318A2"/>
    <w:rsid w:val="00D429BE"/>
    <w:rsid w:val="00D5159C"/>
    <w:rsid w:val="00D51996"/>
    <w:rsid w:val="00D54D9D"/>
    <w:rsid w:val="00E42132"/>
    <w:rsid w:val="00E74332"/>
    <w:rsid w:val="00F00597"/>
    <w:rsid w:val="00F33A4F"/>
    <w:rsid w:val="00F77F22"/>
    <w:rsid w:val="00FA28D1"/>
    <w:rsid w:val="00FB4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A8B5"/>
  <w15:chartTrackingRefBased/>
  <w15:docId w15:val="{6A96F428-C593-4490-910F-9991E953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A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7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7A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1D"/>
    <w:pPr>
      <w:ind w:left="720"/>
      <w:contextualSpacing/>
    </w:pPr>
  </w:style>
  <w:style w:type="paragraph" w:styleId="BalloonText">
    <w:name w:val="Balloon Text"/>
    <w:basedOn w:val="Normal"/>
    <w:link w:val="BalloonTextChar"/>
    <w:uiPriority w:val="99"/>
    <w:semiHidden/>
    <w:unhideWhenUsed/>
    <w:rsid w:val="007C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2E"/>
    <w:rPr>
      <w:rFonts w:ascii="Segoe UI" w:hAnsi="Segoe UI" w:cs="Segoe UI"/>
      <w:sz w:val="18"/>
      <w:szCs w:val="18"/>
    </w:rPr>
  </w:style>
  <w:style w:type="paragraph" w:styleId="FootnoteText">
    <w:name w:val="footnote text"/>
    <w:basedOn w:val="Normal"/>
    <w:link w:val="FootnoteTextChar"/>
    <w:uiPriority w:val="99"/>
    <w:semiHidden/>
    <w:unhideWhenUsed/>
    <w:rsid w:val="00914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2CE"/>
    <w:rPr>
      <w:sz w:val="20"/>
      <w:szCs w:val="20"/>
    </w:rPr>
  </w:style>
  <w:style w:type="character" w:styleId="FootnoteReference">
    <w:name w:val="footnote reference"/>
    <w:basedOn w:val="DefaultParagraphFont"/>
    <w:uiPriority w:val="99"/>
    <w:semiHidden/>
    <w:unhideWhenUsed/>
    <w:rsid w:val="009142CE"/>
    <w:rPr>
      <w:vertAlign w:val="superscript"/>
    </w:rPr>
  </w:style>
  <w:style w:type="paragraph" w:styleId="Title">
    <w:name w:val="Title"/>
    <w:basedOn w:val="Normal"/>
    <w:next w:val="Normal"/>
    <w:link w:val="TitleChar"/>
    <w:uiPriority w:val="10"/>
    <w:qFormat/>
    <w:rsid w:val="00997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A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97A74"/>
    <w:rPr>
      <w:color w:val="0563C1" w:themeColor="hyperlink"/>
      <w:u w:val="single"/>
    </w:rPr>
  </w:style>
  <w:style w:type="character" w:customStyle="1" w:styleId="Heading1Char">
    <w:name w:val="Heading 1 Char"/>
    <w:basedOn w:val="DefaultParagraphFont"/>
    <w:link w:val="Heading1"/>
    <w:uiPriority w:val="9"/>
    <w:rsid w:val="00997A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7A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7A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68284">
      <w:bodyDiv w:val="1"/>
      <w:marLeft w:val="0"/>
      <w:marRight w:val="0"/>
      <w:marTop w:val="0"/>
      <w:marBottom w:val="0"/>
      <w:divBdr>
        <w:top w:val="none" w:sz="0" w:space="0" w:color="auto"/>
        <w:left w:val="none" w:sz="0" w:space="0" w:color="auto"/>
        <w:bottom w:val="none" w:sz="0" w:space="0" w:color="auto"/>
        <w:right w:val="none" w:sz="0" w:space="0" w:color="auto"/>
      </w:divBdr>
    </w:div>
    <w:div w:id="17537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s.gov.au/statistics/health/disability/disability-ageing-and-carers-australia-summary-findings/latest-rele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ublications/quarterly-repor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c99cd0b7eb74377a34f8b4a4e1ddc56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80045c72003769493b84e5f96da708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BB68-6CF4-4A8B-A0B5-327165842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30FBE-6527-4EEF-BD09-AC3354AF80E6}">
  <ds:schemaRefs>
    <ds:schemaRef ds:uri="http://schemas.microsoft.com/sharepoint/v3/contenttype/forms"/>
  </ds:schemaRefs>
</ds:datastoreItem>
</file>

<file path=customXml/itemProps3.xml><?xml version="1.0" encoding="utf-8"?>
<ds:datastoreItem xmlns:ds="http://schemas.openxmlformats.org/officeDocument/2006/customXml" ds:itemID="{F38D0283-7199-4453-8042-C0D54F927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180D2-B892-4654-86C9-A1A4626C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Flockhart</dc:creator>
  <cp:keywords/>
  <dc:description/>
  <cp:lastModifiedBy>Alisa Maxted</cp:lastModifiedBy>
  <cp:revision>2</cp:revision>
  <dcterms:created xsi:type="dcterms:W3CDTF">2021-04-19T05:33:00Z</dcterms:created>
  <dcterms:modified xsi:type="dcterms:W3CDTF">2021-04-19T05:33:00Z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