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FB" w:rsidRPr="000374FB" w:rsidRDefault="000374FB" w:rsidP="000374FB">
      <w:pPr>
        <w:pStyle w:val="Heading1"/>
        <w:spacing w:before="0" w:after="120" w:line="23" w:lineRule="atLeast"/>
        <w:contextualSpacing/>
        <w:rPr>
          <w:color w:val="3B3838" w:themeColor="background2" w:themeShade="40"/>
        </w:rPr>
      </w:pPr>
      <w:r w:rsidRPr="000374FB">
        <w:rPr>
          <w:rFonts w:eastAsia="Arial"/>
          <w:color w:val="3B3838" w:themeColor="background2" w:themeShade="40"/>
        </w:rPr>
        <w:t>Workplace Literacy</w:t>
      </w:r>
    </w:p>
    <w:p w:rsidR="000374FB" w:rsidRPr="000374FB" w:rsidRDefault="000374FB" w:rsidP="000374FB">
      <w:pPr>
        <w:pStyle w:val="Heading2"/>
        <w:rPr>
          <w:color w:val="3B3838" w:themeColor="background2" w:themeShade="40"/>
        </w:rPr>
      </w:pPr>
      <w:r w:rsidRPr="000374FB">
        <w:rPr>
          <w:rFonts w:eastAsia="Arial"/>
          <w:color w:val="3B3838" w:themeColor="background2" w:themeShade="40"/>
        </w:rPr>
        <w:t>What skills are needed in the workplace?</w:t>
      </w:r>
    </w:p>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 xml:space="preserve">Literacy is a term often used to refer to </w:t>
      </w:r>
      <w:r>
        <w:rPr>
          <w:color w:val="3B3838" w:themeColor="background2" w:themeShade="40"/>
        </w:rPr>
        <w:t xml:space="preserve">a </w:t>
      </w:r>
      <w:r w:rsidRPr="000374FB">
        <w:rPr>
          <w:color w:val="3B3838" w:themeColor="background2" w:themeShade="40"/>
        </w:rPr>
        <w:t>much broader group of skills that can be referred to as ‘core skills’ - sometimes referred to as language, literacy and numeracy (LLN). These are defined by the Australian Core Skills Framework (ACSF)</w:t>
      </w:r>
      <w:r w:rsidRPr="000374FB">
        <w:rPr>
          <w:rStyle w:val="FootnoteReference"/>
          <w:color w:val="3B3838" w:themeColor="background2" w:themeShade="40"/>
          <w:vertAlign w:val="baseline"/>
        </w:rPr>
        <w:footnoteReference w:id="1"/>
      </w:r>
      <w:r w:rsidRPr="000374FB">
        <w:rPr>
          <w:color w:val="3B3838" w:themeColor="background2" w:themeShade="40"/>
        </w:rPr>
        <w:t xml:space="preserve"> as:</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Reading</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Writing</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Speaking</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Listening</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Learning</w:t>
      </w:r>
    </w:p>
    <w:p w:rsidR="000374FB" w:rsidRPr="000374FB" w:rsidRDefault="000374FB" w:rsidP="000374FB">
      <w:pPr>
        <w:pStyle w:val="ListParagraph"/>
        <w:numPr>
          <w:ilvl w:val="0"/>
          <w:numId w:val="9"/>
        </w:numPr>
        <w:spacing w:after="120" w:line="23" w:lineRule="atLeast"/>
        <w:rPr>
          <w:color w:val="3B3838" w:themeColor="background2" w:themeShade="40"/>
        </w:rPr>
      </w:pPr>
      <w:r w:rsidRPr="000374FB">
        <w:rPr>
          <w:color w:val="3B3838" w:themeColor="background2" w:themeShade="40"/>
        </w:rPr>
        <w:t>Using mathematical ideas</w:t>
      </w:r>
    </w:p>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Other workplace core skills are defined by the Core Skills for Work Developmental Framework</w:t>
      </w:r>
      <w:r w:rsidRPr="000374FB">
        <w:rPr>
          <w:rStyle w:val="FootnoteReference"/>
          <w:color w:val="3B3838" w:themeColor="background2" w:themeShade="40"/>
          <w:vertAlign w:val="baseline"/>
        </w:rPr>
        <w:footnoteReference w:id="2"/>
      </w:r>
      <w:r w:rsidRPr="000374FB">
        <w:rPr>
          <w:color w:val="3B3838" w:themeColor="background2" w:themeShade="40"/>
        </w:rPr>
        <w:t>. These are:</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Managing career and work life</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 xml:space="preserve">Working with roles, rights and protocols </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Communicating for work</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Connecting and working with others</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Recognising and utilising diverse perspectives</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Planning and organising</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Making decisions</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Identifying and solving problems</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Creating and innovating</w:t>
      </w:r>
    </w:p>
    <w:p w:rsidR="000374FB" w:rsidRPr="000374FB" w:rsidRDefault="000374FB" w:rsidP="000374FB">
      <w:pPr>
        <w:pStyle w:val="ListParagraph"/>
        <w:numPr>
          <w:ilvl w:val="0"/>
          <w:numId w:val="10"/>
        </w:numPr>
        <w:spacing w:after="120" w:line="23" w:lineRule="atLeast"/>
        <w:rPr>
          <w:color w:val="3B3838" w:themeColor="background2" w:themeShade="40"/>
        </w:rPr>
      </w:pPr>
      <w:r w:rsidRPr="000374FB">
        <w:rPr>
          <w:color w:val="3B3838" w:themeColor="background2" w:themeShade="40"/>
        </w:rPr>
        <w:t>Digital literacy</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 xml:space="preserve">These skills are essential for good communication, critical thinking and problem-solving in your workplace. </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Under the NDIS, the literacy requirements of many roles in the workforce are becoming more complex.</w:t>
      </w:r>
    </w:p>
    <w:p w:rsidR="000374FB" w:rsidRPr="000374FB" w:rsidRDefault="000374FB" w:rsidP="000374FB">
      <w:pPr>
        <w:pStyle w:val="Heading2"/>
        <w:rPr>
          <w:color w:val="3B3838" w:themeColor="background2" w:themeShade="40"/>
        </w:rPr>
      </w:pPr>
      <w:r w:rsidRPr="000374FB">
        <w:rPr>
          <w:rFonts w:eastAsia="Arial"/>
          <w:color w:val="3B3838" w:themeColor="background2" w:themeShade="40"/>
        </w:rPr>
        <w:t>The business cost of under-developed literacy skills</w:t>
      </w:r>
    </w:p>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 xml:space="preserve">The Australian Industry Group researched workplace literacy and published the </w:t>
      </w:r>
      <w:r>
        <w:rPr>
          <w:color w:val="3B3838" w:themeColor="background2" w:themeShade="40"/>
        </w:rPr>
        <w:t>‘</w:t>
      </w:r>
      <w:r w:rsidRPr="000374FB">
        <w:rPr>
          <w:color w:val="3B3838" w:themeColor="background2" w:themeShade="40"/>
        </w:rPr>
        <w:t xml:space="preserve">When </w:t>
      </w:r>
      <w:r>
        <w:rPr>
          <w:color w:val="3B3838" w:themeColor="background2" w:themeShade="40"/>
        </w:rPr>
        <w:t>W</w:t>
      </w:r>
      <w:r w:rsidRPr="000374FB">
        <w:rPr>
          <w:color w:val="3B3838" w:themeColor="background2" w:themeShade="40"/>
        </w:rPr>
        <w:t xml:space="preserve">ords </w:t>
      </w:r>
      <w:r>
        <w:rPr>
          <w:color w:val="3B3838" w:themeColor="background2" w:themeShade="40"/>
        </w:rPr>
        <w:t>F</w:t>
      </w:r>
      <w:r w:rsidRPr="000374FB">
        <w:rPr>
          <w:color w:val="3B3838" w:themeColor="background2" w:themeShade="40"/>
        </w:rPr>
        <w:t>ail</w:t>
      </w:r>
      <w:r>
        <w:rPr>
          <w:color w:val="3B3838" w:themeColor="background2" w:themeShade="40"/>
        </w:rPr>
        <w:t>’</w:t>
      </w:r>
      <w:r w:rsidRPr="000374FB">
        <w:rPr>
          <w:rStyle w:val="FootnoteReference"/>
          <w:color w:val="3B3838" w:themeColor="background2" w:themeShade="40"/>
          <w:vertAlign w:val="baseline"/>
        </w:rPr>
        <w:footnoteReference w:id="3"/>
      </w:r>
      <w:r w:rsidRPr="000374FB">
        <w:rPr>
          <w:color w:val="3B3838" w:themeColor="background2" w:themeShade="40"/>
        </w:rPr>
        <w:t xml:space="preserve"> report in 2012. The report noted the following:</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 xml:space="preserve">Literacy and numeracy problems in the workplace are not restricted to low-skilled segments of the workforce. Inadequate literacy skills can affect both lower-skilled and higher-skilled employees. </w:t>
      </w:r>
    </w:p>
    <w:p w:rsid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75 per cent of employers stated that their business was affected by low levels of literacy and numeracy, including impacts on productivity.</w:t>
      </w:r>
    </w:p>
    <w:p w:rsidR="000374FB" w:rsidRPr="000374FB" w:rsidRDefault="000374FB" w:rsidP="000374FB">
      <w:pPr>
        <w:spacing w:before="120" w:after="120" w:line="23" w:lineRule="atLeast"/>
        <w:rPr>
          <w:color w:val="3B3838" w:themeColor="background2" w:themeShade="40"/>
        </w:rPr>
      </w:pPr>
      <w:r w:rsidRPr="000374FB">
        <w:rPr>
          <w:color w:val="3B3838" w:themeColor="background2" w:themeShade="40"/>
        </w:rPr>
        <w:t>AIG also found that employers identified a role for themselves, partnering with government, individuals and education authorities, to address the issue.</w:t>
      </w:r>
    </w:p>
    <w:p w:rsidR="000374FB" w:rsidRDefault="000374FB" w:rsidP="000374FB">
      <w:pPr>
        <w:pStyle w:val="Heading3"/>
        <w:spacing w:before="0" w:after="120" w:line="23" w:lineRule="atLeast"/>
        <w:contextualSpacing/>
      </w:pPr>
      <w:r>
        <w:lastRenderedPageBreak/>
        <w:t xml:space="preserve">Table 1 – Overall impacts on business of under-developed literacy skills </w:t>
      </w:r>
    </w:p>
    <w:tbl>
      <w:tblPr>
        <w:tblStyle w:val="TableGrid0"/>
        <w:tblW w:w="0" w:type="auto"/>
        <w:tblInd w:w="15" w:type="dxa"/>
        <w:tblLook w:val="04A0" w:firstRow="1" w:lastRow="0" w:firstColumn="1" w:lastColumn="0" w:noHBand="0" w:noVBand="1"/>
        <w:tblCaption w:val="Table 1 - Overall impacts on business of under-developed literacy skills"/>
      </w:tblPr>
      <w:tblGrid>
        <w:gridCol w:w="5974"/>
        <w:gridCol w:w="3639"/>
      </w:tblGrid>
      <w:tr w:rsidR="000374FB" w:rsidTr="000374FB">
        <w:trPr>
          <w:tblHeader/>
        </w:trPr>
        <w:tc>
          <w:tcPr>
            <w:tcW w:w="6076" w:type="dxa"/>
          </w:tcPr>
          <w:p w:rsidR="000374FB" w:rsidRDefault="000374FB" w:rsidP="000374FB">
            <w:pPr>
              <w:pStyle w:val="Heading4"/>
              <w:spacing w:before="0" w:line="23" w:lineRule="atLeast"/>
              <w:contextualSpacing/>
            </w:pPr>
            <w:r>
              <w:t>Area of impact</w:t>
            </w:r>
          </w:p>
        </w:tc>
        <w:tc>
          <w:tcPr>
            <w:tcW w:w="3685" w:type="dxa"/>
          </w:tcPr>
          <w:p w:rsidR="000374FB" w:rsidRDefault="000374FB" w:rsidP="000374FB">
            <w:pPr>
              <w:pStyle w:val="Heading4"/>
              <w:spacing w:before="0" w:line="23" w:lineRule="atLeast"/>
              <w:contextualSpacing/>
            </w:pPr>
            <w:r>
              <w:t>Percentage of survey respondents (approximate)</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Pr>
                <w:color w:val="3B3838" w:themeColor="background2" w:themeShade="40"/>
              </w:rPr>
              <w:t xml:space="preserve">Poor </w:t>
            </w:r>
            <w:r w:rsidRPr="000374FB">
              <w:rPr>
                <w:color w:val="3B3838" w:themeColor="background2" w:themeShade="40"/>
              </w:rPr>
              <w:t>completion</w:t>
            </w:r>
            <w:r>
              <w:rPr>
                <w:color w:val="3B3838" w:themeColor="background2" w:themeShade="40"/>
              </w:rPr>
              <w:t xml:space="preserve"> of workplace documents</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43%</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sidRPr="000374FB">
              <w:rPr>
                <w:color w:val="3B3838" w:themeColor="background2" w:themeShade="40"/>
              </w:rPr>
              <w:t>Time wasting</w:t>
            </w:r>
            <w:r>
              <w:rPr>
                <w:color w:val="3B3838" w:themeColor="background2" w:themeShade="40"/>
              </w:rPr>
              <w:t xml:space="preserve"> through repeated work</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42%</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sidRPr="000374FB">
              <w:rPr>
                <w:color w:val="3B3838" w:themeColor="background2" w:themeShade="40"/>
              </w:rPr>
              <w:t>Ineffective work</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30%</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Pr>
                <w:color w:val="3B3838" w:themeColor="background2" w:themeShade="40"/>
              </w:rPr>
              <w:t>Material w</w:t>
            </w:r>
            <w:r w:rsidRPr="000374FB">
              <w:rPr>
                <w:color w:val="3B3838" w:themeColor="background2" w:themeShade="40"/>
              </w:rPr>
              <w:t>astage</w:t>
            </w:r>
            <w:r>
              <w:rPr>
                <w:color w:val="3B3838" w:themeColor="background2" w:themeShade="40"/>
              </w:rPr>
              <w:t xml:space="preserve"> through </w:t>
            </w:r>
            <w:r w:rsidRPr="000374FB">
              <w:rPr>
                <w:color w:val="3B3838" w:themeColor="background2" w:themeShade="40"/>
              </w:rPr>
              <w:t>incorrect calculations or misinterpreted instructions</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30%</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sidRPr="000374FB">
              <w:rPr>
                <w:color w:val="3B3838" w:themeColor="background2" w:themeShade="40"/>
              </w:rPr>
              <w:t>Ineffective training</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17%</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sidRPr="000374FB">
              <w:rPr>
                <w:color w:val="3B3838" w:themeColor="background2" w:themeShade="40"/>
              </w:rPr>
              <w:t>Non-compliance</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14%</w:t>
            </w:r>
          </w:p>
        </w:tc>
      </w:tr>
      <w:tr w:rsidR="000374FB" w:rsidTr="000374FB">
        <w:tc>
          <w:tcPr>
            <w:tcW w:w="6076" w:type="dxa"/>
          </w:tcPr>
          <w:p w:rsidR="000374FB" w:rsidRDefault="000374FB" w:rsidP="000374FB">
            <w:pPr>
              <w:spacing w:after="120" w:line="23" w:lineRule="atLeast"/>
              <w:contextualSpacing/>
              <w:rPr>
                <w:color w:val="3B3838" w:themeColor="background2" w:themeShade="40"/>
              </w:rPr>
            </w:pPr>
            <w:r w:rsidRPr="000374FB">
              <w:rPr>
                <w:color w:val="3B3838" w:themeColor="background2" w:themeShade="40"/>
              </w:rPr>
              <w:t>Recruitment</w:t>
            </w:r>
            <w:r>
              <w:rPr>
                <w:color w:val="3B3838" w:themeColor="background2" w:themeShade="40"/>
              </w:rPr>
              <w:t xml:space="preserve"> difficulties</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14%</w:t>
            </w:r>
          </w:p>
        </w:tc>
      </w:tr>
      <w:tr w:rsidR="000374FB" w:rsidTr="000374FB">
        <w:tc>
          <w:tcPr>
            <w:tcW w:w="6076" w:type="dxa"/>
          </w:tcPr>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Injuries</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12%</w:t>
            </w:r>
          </w:p>
        </w:tc>
      </w:tr>
      <w:tr w:rsidR="000374FB" w:rsidTr="000374FB">
        <w:tc>
          <w:tcPr>
            <w:tcW w:w="6076" w:type="dxa"/>
          </w:tcPr>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Miscalculations</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8%</w:t>
            </w:r>
          </w:p>
        </w:tc>
      </w:tr>
      <w:tr w:rsidR="000374FB" w:rsidTr="000374FB">
        <w:tc>
          <w:tcPr>
            <w:tcW w:w="6076" w:type="dxa"/>
          </w:tcPr>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Other</w:t>
            </w:r>
          </w:p>
        </w:tc>
        <w:tc>
          <w:tcPr>
            <w:tcW w:w="3685" w:type="dxa"/>
          </w:tcPr>
          <w:p w:rsidR="000374FB" w:rsidRDefault="000374FB" w:rsidP="000374FB">
            <w:pPr>
              <w:spacing w:after="120" w:line="23" w:lineRule="atLeast"/>
              <w:contextualSpacing/>
              <w:rPr>
                <w:color w:val="3B3838" w:themeColor="background2" w:themeShade="40"/>
              </w:rPr>
            </w:pPr>
            <w:r>
              <w:rPr>
                <w:color w:val="3B3838" w:themeColor="background2" w:themeShade="40"/>
              </w:rPr>
              <w:t>3%</w:t>
            </w:r>
          </w:p>
        </w:tc>
      </w:tr>
    </w:tbl>
    <w:p w:rsidR="000374FB" w:rsidRPr="000374FB" w:rsidRDefault="000374FB" w:rsidP="000374FB">
      <w:pPr>
        <w:pStyle w:val="Heading2"/>
        <w:rPr>
          <w:color w:val="3B3838" w:themeColor="background2" w:themeShade="40"/>
        </w:rPr>
      </w:pPr>
      <w:r w:rsidRPr="000374FB">
        <w:rPr>
          <w:rFonts w:eastAsia="Arial"/>
          <w:color w:val="3B3838" w:themeColor="background2" w:themeShade="40"/>
        </w:rPr>
        <w:t>Return on investment from literacy training</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 xml:space="preserve">The </w:t>
      </w:r>
      <w:r>
        <w:rPr>
          <w:color w:val="3B3838" w:themeColor="background2" w:themeShade="40"/>
        </w:rPr>
        <w:t xml:space="preserve">Federal government operated the </w:t>
      </w:r>
      <w:r w:rsidRPr="000374FB">
        <w:rPr>
          <w:color w:val="3B3838" w:themeColor="background2" w:themeShade="40"/>
        </w:rPr>
        <w:t>Workplace English Language and Literacy (WELL) program for over 25 years. In general the government subsidised between 25 per cent and 50 per cent of the cost of workplace literacy training.</w:t>
      </w:r>
    </w:p>
    <w:p w:rsidR="000374FB" w:rsidRPr="000374FB" w:rsidRDefault="000374FB" w:rsidP="000374FB">
      <w:pPr>
        <w:spacing w:after="120" w:line="23" w:lineRule="atLeast"/>
        <w:contextualSpacing/>
        <w:rPr>
          <w:color w:val="3B3838" w:themeColor="background2" w:themeShade="40"/>
        </w:rPr>
      </w:pPr>
      <w:r w:rsidRPr="000374FB">
        <w:rPr>
          <w:color w:val="3B3838" w:themeColor="background2" w:themeShade="40"/>
        </w:rPr>
        <w:t>An evaluation of the WELL project</w:t>
      </w:r>
      <w:r w:rsidRPr="000374FB">
        <w:rPr>
          <w:rStyle w:val="FootnoteReference"/>
          <w:color w:val="3B3838" w:themeColor="background2" w:themeShade="40"/>
          <w:vertAlign w:val="baseline"/>
        </w:rPr>
        <w:footnoteReference w:id="4"/>
      </w:r>
      <w:r w:rsidRPr="000374FB">
        <w:rPr>
          <w:color w:val="3B3838" w:themeColor="background2" w:themeShade="40"/>
        </w:rPr>
        <w:t xml:space="preserve"> observed that 78 per cent of employers rated WELL as either effective or highly effective in meeting their business needs, which they listed, in order of priority, as:</w:t>
      </w:r>
    </w:p>
    <w:p w:rsidR="000374FB" w:rsidRPr="000374FB" w:rsidRDefault="000374FB" w:rsidP="000374FB">
      <w:pPr>
        <w:numPr>
          <w:ilvl w:val="0"/>
          <w:numId w:val="6"/>
        </w:numPr>
        <w:spacing w:after="120" w:line="23" w:lineRule="atLeast"/>
        <w:ind w:left="0"/>
        <w:contextualSpacing/>
        <w:rPr>
          <w:color w:val="3B3838" w:themeColor="background2" w:themeShade="40"/>
        </w:rPr>
      </w:pPr>
      <w:r w:rsidRPr="000374FB">
        <w:rPr>
          <w:color w:val="3B3838" w:themeColor="background2" w:themeShade="40"/>
        </w:rPr>
        <w:t>Improved communications</w:t>
      </w:r>
    </w:p>
    <w:p w:rsidR="000374FB" w:rsidRPr="000374FB" w:rsidRDefault="000374FB" w:rsidP="000374FB">
      <w:pPr>
        <w:numPr>
          <w:ilvl w:val="0"/>
          <w:numId w:val="6"/>
        </w:numPr>
        <w:spacing w:after="120" w:line="23" w:lineRule="atLeast"/>
        <w:ind w:left="0"/>
        <w:contextualSpacing/>
        <w:rPr>
          <w:color w:val="3B3838" w:themeColor="background2" w:themeShade="40"/>
        </w:rPr>
      </w:pPr>
      <w:r w:rsidRPr="000374FB">
        <w:rPr>
          <w:color w:val="3B3838" w:themeColor="background2" w:themeShade="40"/>
        </w:rPr>
        <w:t>Improved documentation</w:t>
      </w:r>
    </w:p>
    <w:p w:rsidR="000374FB" w:rsidRPr="000374FB" w:rsidRDefault="000374FB" w:rsidP="000374FB">
      <w:pPr>
        <w:numPr>
          <w:ilvl w:val="0"/>
          <w:numId w:val="6"/>
        </w:numPr>
        <w:spacing w:after="120" w:line="23" w:lineRule="atLeast"/>
        <w:ind w:left="0"/>
        <w:contextualSpacing/>
        <w:rPr>
          <w:color w:val="3B3838" w:themeColor="background2" w:themeShade="40"/>
        </w:rPr>
      </w:pPr>
      <w:r w:rsidRPr="000374FB">
        <w:rPr>
          <w:color w:val="3B3838" w:themeColor="background2" w:themeShade="40"/>
        </w:rPr>
        <w:t>Improved safety and WHS requirements</w:t>
      </w:r>
    </w:p>
    <w:p w:rsidR="000374FB" w:rsidRPr="000374FB" w:rsidRDefault="000374FB" w:rsidP="000374FB">
      <w:pPr>
        <w:numPr>
          <w:ilvl w:val="0"/>
          <w:numId w:val="6"/>
        </w:numPr>
        <w:spacing w:after="120" w:line="23" w:lineRule="atLeast"/>
        <w:ind w:left="0"/>
        <w:rPr>
          <w:color w:val="3B3838" w:themeColor="background2" w:themeShade="40"/>
        </w:rPr>
      </w:pPr>
      <w:r w:rsidRPr="000374FB">
        <w:rPr>
          <w:color w:val="3B3838" w:themeColor="background2" w:themeShade="40"/>
        </w:rPr>
        <w:t>Increased computer literacy</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Feedback from employers indicated that in some organisations, meeting times halved because communication among staff improved and meetings became more structured. It was also noted that WELL projects contributed to a reduction in staff turnover rates.</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 xml:space="preserve">In 2015, Australian Industry Group undertook research into the return on investment afforded employers through investment in the WELL program. This was illustrated through several case studies focussing on organisations that have participated in WELL projects. These organisations indicated an ROI of between 102 per cent and 163 per cent in the first year. This was mainly a result of reducing supervisor and worker time correcting errors. </w:t>
      </w:r>
    </w:p>
    <w:p w:rsidR="000374FB" w:rsidRPr="000374FB" w:rsidRDefault="000374FB" w:rsidP="000374FB">
      <w:pPr>
        <w:pStyle w:val="Heading2"/>
        <w:rPr>
          <w:color w:val="3B3838" w:themeColor="background2" w:themeShade="40"/>
        </w:rPr>
      </w:pPr>
      <w:r w:rsidRPr="000374FB">
        <w:rPr>
          <w:rFonts w:eastAsia="Arial"/>
          <w:color w:val="3B3838" w:themeColor="background2" w:themeShade="40"/>
        </w:rPr>
        <w:t>Strategies to strengthen literacy in the workplace</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Create all workplace documents in Plain English. That is, write them in clear language and give or ask for information in a logical order.</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Ensure workplace practices are ‘literacy friendly.’ For example, train new workers to use workplace documents during their induction, identify the need for literacy training at all levels of the workforce and provide exemplar documents to model what is expected.</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Build literacy training around authentic workplace tasks.</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Train managers, supervisors and team leaders to recognise signs that an employee can’t complete the tasks within their role.</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lastRenderedPageBreak/>
        <w:t>Arrange training at work, during paid time, with a literacy specialist using authentic workplace tasks.</w:t>
      </w:r>
    </w:p>
    <w:p w:rsidR="000374FB" w:rsidRPr="000374FB" w:rsidRDefault="000374FB" w:rsidP="000374FB">
      <w:pPr>
        <w:pStyle w:val="ListParagraph"/>
        <w:numPr>
          <w:ilvl w:val="0"/>
          <w:numId w:val="8"/>
        </w:numPr>
        <w:spacing w:after="120" w:line="23" w:lineRule="atLeast"/>
        <w:rPr>
          <w:color w:val="3B3838" w:themeColor="background2" w:themeShade="40"/>
        </w:rPr>
      </w:pPr>
      <w:r w:rsidRPr="000374FB">
        <w:rPr>
          <w:color w:val="3B3838" w:themeColor="background2" w:themeShade="40"/>
        </w:rPr>
        <w:t xml:space="preserve">Act to destigmatise literacy training by treating it like all other workplace skills. Workers need to be trained to a competent level over time and supported to complete tasks until they have achieved the </w:t>
      </w:r>
      <w:bookmarkStart w:id="0" w:name="_GoBack"/>
      <w:bookmarkEnd w:id="0"/>
      <w:r w:rsidRPr="000374FB">
        <w:rPr>
          <w:color w:val="3B3838" w:themeColor="background2" w:themeShade="40"/>
        </w:rPr>
        <w:t>appropriate level.</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 xml:space="preserve">This document has been created to assist disability workplaces </w:t>
      </w:r>
      <w:r>
        <w:rPr>
          <w:color w:val="3B3838" w:themeColor="background2" w:themeShade="40"/>
        </w:rPr>
        <w:t>to</w:t>
      </w:r>
      <w:r w:rsidRPr="000374FB">
        <w:rPr>
          <w:color w:val="3B3838" w:themeColor="background2" w:themeShade="40"/>
        </w:rPr>
        <w:t xml:space="preserve"> strengthen core skills in the workplace. It is part of a set that includes: Workplace Literacy Activity Guidelines, Workplace Literacy Activity Worksheet, Workplace Literacy Activity Answer sheet.</w:t>
      </w:r>
    </w:p>
    <w:p w:rsidR="000374FB" w:rsidRPr="000374FB" w:rsidRDefault="000374FB" w:rsidP="000374FB">
      <w:pPr>
        <w:pStyle w:val="Heading2"/>
        <w:rPr>
          <w:color w:val="3B3838" w:themeColor="background2" w:themeShade="40"/>
        </w:rPr>
      </w:pPr>
      <w:r w:rsidRPr="000374FB">
        <w:rPr>
          <w:color w:val="3B3838" w:themeColor="background2" w:themeShade="40"/>
        </w:rPr>
        <w:t>Acknowledgements</w:t>
      </w:r>
    </w:p>
    <w:p w:rsidR="000374FB" w:rsidRPr="000374FB" w:rsidRDefault="000374FB" w:rsidP="000374FB">
      <w:pPr>
        <w:spacing w:after="120" w:line="23" w:lineRule="atLeast"/>
        <w:rPr>
          <w:color w:val="3B3838" w:themeColor="background2" w:themeShade="40"/>
        </w:rPr>
      </w:pPr>
      <w:r w:rsidRPr="000374FB">
        <w:rPr>
          <w:color w:val="3B3838" w:themeColor="background2" w:themeShade="40"/>
        </w:rPr>
        <w:t>The Tasmanian Disability Sector Language, Literacy and Numeracy project has been made possible by funding from the Tasmanian Government through 26TEN as well as the Australian Government through funding for the Disability Workforce Innovation Project (DWIN).</w:t>
      </w:r>
    </w:p>
    <w:sectPr w:rsidR="000374FB" w:rsidRPr="000374FB" w:rsidSect="000374FB">
      <w:type w:val="continuous"/>
      <w:pgSz w:w="11906" w:h="16838"/>
      <w:pgMar w:top="1134" w:right="1134" w:bottom="1134" w:left="1134" w:header="720"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D3" w:rsidRDefault="006163D3" w:rsidP="000374FB">
      <w:pPr>
        <w:spacing w:after="0" w:line="240" w:lineRule="auto"/>
      </w:pPr>
      <w:r>
        <w:separator/>
      </w:r>
    </w:p>
  </w:endnote>
  <w:endnote w:type="continuationSeparator" w:id="0">
    <w:p w:rsidR="006163D3" w:rsidRDefault="006163D3" w:rsidP="0003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D3" w:rsidRDefault="006163D3" w:rsidP="000374FB">
      <w:pPr>
        <w:spacing w:after="0" w:line="240" w:lineRule="auto"/>
      </w:pPr>
      <w:r>
        <w:separator/>
      </w:r>
    </w:p>
  </w:footnote>
  <w:footnote w:type="continuationSeparator" w:id="0">
    <w:p w:rsidR="006163D3" w:rsidRDefault="006163D3" w:rsidP="000374FB">
      <w:pPr>
        <w:spacing w:after="0" w:line="240" w:lineRule="auto"/>
      </w:pPr>
      <w:r>
        <w:continuationSeparator/>
      </w:r>
    </w:p>
  </w:footnote>
  <w:footnote w:id="1">
    <w:p w:rsidR="000374FB" w:rsidRPr="000374FB" w:rsidRDefault="000374FB" w:rsidP="000374FB">
      <w:pPr>
        <w:spacing w:after="44" w:line="251" w:lineRule="auto"/>
        <w:rPr>
          <w:color w:val="3B3838" w:themeColor="background2" w:themeShade="40"/>
        </w:rPr>
      </w:pPr>
      <w:r w:rsidRPr="000374FB">
        <w:rPr>
          <w:rStyle w:val="FootnoteReference"/>
          <w:color w:val="3B3838" w:themeColor="background2" w:themeShade="40"/>
          <w:vertAlign w:val="baseline"/>
        </w:rPr>
        <w:footnoteRef/>
      </w:r>
      <w:r w:rsidRPr="000374FB">
        <w:rPr>
          <w:color w:val="3B3838" w:themeColor="background2" w:themeShade="40"/>
        </w:rPr>
        <w:t xml:space="preserve"> </w:t>
      </w:r>
      <w:r w:rsidRPr="000374FB">
        <w:rPr>
          <w:color w:val="3B3838" w:themeColor="background2" w:themeShade="40"/>
        </w:rPr>
        <w:t xml:space="preserve">Australian Government (2012). Australian core skills framework. Retrieved from </w:t>
      </w:r>
      <w:hyperlink r:id="rId1" w:history="1">
        <w:r w:rsidRPr="000374FB">
          <w:rPr>
            <w:rStyle w:val="Hyperlink"/>
            <w:color w:val="3B3838" w:themeColor="background2" w:themeShade="40"/>
            <w:u w:color="3A6D8E"/>
          </w:rPr>
          <w:t>Australian Core Skills Framework</w:t>
        </w:r>
      </w:hyperlink>
      <w:r w:rsidRPr="000374FB">
        <w:rPr>
          <w:color w:val="3B3838" w:themeColor="background2" w:themeShade="40"/>
        </w:rPr>
        <w:t xml:space="preserve"> </w:t>
      </w:r>
    </w:p>
  </w:footnote>
  <w:footnote w:id="2">
    <w:p w:rsidR="000374FB" w:rsidRDefault="000374FB" w:rsidP="000374FB">
      <w:pPr>
        <w:spacing w:after="11" w:line="251" w:lineRule="auto"/>
      </w:pPr>
      <w:r w:rsidRPr="000374FB">
        <w:rPr>
          <w:rStyle w:val="FootnoteReference"/>
          <w:color w:val="3B3838" w:themeColor="background2" w:themeShade="40"/>
          <w:vertAlign w:val="baseline"/>
        </w:rPr>
        <w:footnoteRef/>
      </w:r>
      <w:r w:rsidRPr="000374FB">
        <w:rPr>
          <w:color w:val="3B3838" w:themeColor="background2" w:themeShade="40"/>
        </w:rPr>
        <w:t xml:space="preserve"> </w:t>
      </w:r>
      <w:r w:rsidRPr="000374FB">
        <w:rPr>
          <w:color w:val="3B3838" w:themeColor="background2" w:themeShade="40"/>
        </w:rPr>
        <w:t xml:space="preserve">Australian Government. (2013). Core skills for work developmental framework. Retrieved from </w:t>
      </w:r>
      <w:hyperlink r:id="rId2" w:history="1">
        <w:r w:rsidRPr="000374FB">
          <w:rPr>
            <w:rStyle w:val="Hyperlink"/>
            <w:color w:val="011830" w:themeColor="hyperlink" w:themeShade="40"/>
            <w:u w:color="3A6D8E"/>
          </w:rPr>
          <w:t>Core Skills For Work Developmental Framework</w:t>
        </w:r>
      </w:hyperlink>
    </w:p>
  </w:footnote>
  <w:footnote w:id="3">
    <w:p w:rsidR="000374FB" w:rsidRPr="000374FB" w:rsidRDefault="000374FB" w:rsidP="000374FB">
      <w:pPr>
        <w:spacing w:after="42"/>
        <w:rPr>
          <w:color w:val="3B3838" w:themeColor="background2" w:themeShade="40"/>
        </w:rPr>
      </w:pPr>
      <w:r w:rsidRPr="000374FB">
        <w:rPr>
          <w:rStyle w:val="FootnoteReference"/>
          <w:color w:val="3B3838" w:themeColor="background2" w:themeShade="40"/>
          <w:vertAlign w:val="baseline"/>
        </w:rPr>
        <w:footnoteRef/>
      </w:r>
      <w:r w:rsidRPr="000374FB">
        <w:rPr>
          <w:color w:val="3B3838" w:themeColor="background2" w:themeShade="40"/>
        </w:rPr>
        <w:t xml:space="preserve"> </w:t>
      </w:r>
      <w:r w:rsidRPr="000374FB">
        <w:rPr>
          <w:color w:val="3B3838" w:themeColor="background2" w:themeShade="40"/>
        </w:rPr>
        <w:t>Australian Industry Group. (2012).</w:t>
      </w:r>
      <w:hyperlink r:id="rId3">
        <w:r w:rsidRPr="000374FB">
          <w:rPr>
            <w:color w:val="3B3838" w:themeColor="background2" w:themeShade="40"/>
          </w:rPr>
          <w:t xml:space="preserve"> </w:t>
        </w:r>
      </w:hyperlink>
      <w:hyperlink r:id="rId4">
        <w:r w:rsidRPr="000374FB">
          <w:rPr>
            <w:color w:val="3B3838" w:themeColor="background2" w:themeShade="40"/>
            <w:u w:val="single" w:color="3A6D8E"/>
          </w:rPr>
          <w:t>When Words Fail: National Workforce Literacy Project</w:t>
        </w:r>
      </w:hyperlink>
      <w:r w:rsidRPr="000374FB">
        <w:rPr>
          <w:color w:val="3B3838" w:themeColor="background2" w:themeShade="40"/>
        </w:rPr>
        <w:t xml:space="preserve"> </w:t>
      </w:r>
    </w:p>
  </w:footnote>
  <w:footnote w:id="4">
    <w:p w:rsidR="000374FB" w:rsidRPr="000374FB" w:rsidRDefault="000374FB" w:rsidP="000374FB">
      <w:pPr>
        <w:spacing w:after="120" w:line="23" w:lineRule="atLeast"/>
        <w:contextualSpacing/>
        <w:rPr>
          <w:color w:val="3B3838" w:themeColor="background2" w:themeShade="40"/>
        </w:rPr>
      </w:pPr>
      <w:r w:rsidRPr="000374FB">
        <w:rPr>
          <w:rStyle w:val="FootnoteReference"/>
          <w:color w:val="3B3838" w:themeColor="background2" w:themeShade="40"/>
          <w:vertAlign w:val="baseline"/>
        </w:rPr>
        <w:footnoteRef/>
      </w:r>
      <w:r w:rsidRPr="000374FB">
        <w:rPr>
          <w:color w:val="3B3838" w:themeColor="background2" w:themeShade="40"/>
        </w:rPr>
        <w:t xml:space="preserve"> </w:t>
      </w:r>
      <w:r w:rsidRPr="000374FB">
        <w:rPr>
          <w:color w:val="3B3838" w:themeColor="background2" w:themeShade="40"/>
        </w:rPr>
        <w:t>DIISRTE (2012).</w:t>
      </w:r>
      <w:hyperlink r:id="rId5">
        <w:r w:rsidRPr="000374FB">
          <w:rPr>
            <w:color w:val="3B3838" w:themeColor="background2" w:themeShade="40"/>
          </w:rPr>
          <w:t xml:space="preserve"> </w:t>
        </w:r>
      </w:hyperlink>
      <w:hyperlink r:id="rId6">
        <w:r w:rsidRPr="000374FB">
          <w:rPr>
            <w:color w:val="3B3838" w:themeColor="background2" w:themeShade="40"/>
            <w:u w:val="single" w:color="3A6D8E"/>
          </w:rPr>
          <w:t xml:space="preserve">Strengthening Foundation Skills In The Workplace: An Evaluation Of The Workplace English Language </w:t>
        </w:r>
      </w:hyperlink>
      <w:hyperlink r:id="rId7">
        <w:r w:rsidRPr="000374FB">
          <w:rPr>
            <w:color w:val="3B3838" w:themeColor="background2" w:themeShade="40"/>
            <w:u w:val="single" w:color="3A6D8E"/>
          </w:rPr>
          <w:t xml:space="preserve">And Literacy Program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93C"/>
    <w:multiLevelType w:val="hybridMultilevel"/>
    <w:tmpl w:val="A4443514"/>
    <w:lvl w:ilvl="0" w:tplc="958C889C">
      <w:start w:val="1"/>
      <w:numFmt w:val="bullet"/>
      <w:lvlText w:val="•"/>
      <w:lvlJc w:val="left"/>
      <w:pPr>
        <w:ind w:left="545"/>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1" w:tplc="29D2E47E">
      <w:start w:val="1"/>
      <w:numFmt w:val="bullet"/>
      <w:lvlText w:val="o"/>
      <w:lvlJc w:val="left"/>
      <w:pPr>
        <w:ind w:left="131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2" w:tplc="332804AA">
      <w:start w:val="1"/>
      <w:numFmt w:val="bullet"/>
      <w:lvlText w:val="▪"/>
      <w:lvlJc w:val="left"/>
      <w:pPr>
        <w:ind w:left="203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3" w:tplc="2CA06A78">
      <w:start w:val="1"/>
      <w:numFmt w:val="bullet"/>
      <w:lvlText w:val="•"/>
      <w:lvlJc w:val="left"/>
      <w:pPr>
        <w:ind w:left="275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4" w:tplc="153268CE">
      <w:start w:val="1"/>
      <w:numFmt w:val="bullet"/>
      <w:lvlText w:val="o"/>
      <w:lvlJc w:val="left"/>
      <w:pPr>
        <w:ind w:left="347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5" w:tplc="169CA620">
      <w:start w:val="1"/>
      <w:numFmt w:val="bullet"/>
      <w:lvlText w:val="▪"/>
      <w:lvlJc w:val="left"/>
      <w:pPr>
        <w:ind w:left="419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6" w:tplc="8382B2C2">
      <w:start w:val="1"/>
      <w:numFmt w:val="bullet"/>
      <w:lvlText w:val="•"/>
      <w:lvlJc w:val="left"/>
      <w:pPr>
        <w:ind w:left="491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7" w:tplc="319CB70E">
      <w:start w:val="1"/>
      <w:numFmt w:val="bullet"/>
      <w:lvlText w:val="o"/>
      <w:lvlJc w:val="left"/>
      <w:pPr>
        <w:ind w:left="563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8" w:tplc="4978DE28">
      <w:start w:val="1"/>
      <w:numFmt w:val="bullet"/>
      <w:lvlText w:val="▪"/>
      <w:lvlJc w:val="left"/>
      <w:pPr>
        <w:ind w:left="6351"/>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abstractNum>
  <w:abstractNum w:abstractNumId="1" w15:restartNumberingAfterBreak="0">
    <w:nsid w:val="0D5C45AC"/>
    <w:multiLevelType w:val="hybridMultilevel"/>
    <w:tmpl w:val="2508235C"/>
    <w:lvl w:ilvl="0" w:tplc="F8CEA024">
      <w:start w:val="1"/>
      <w:numFmt w:val="bullet"/>
      <w:lvlText w:val="•"/>
      <w:lvlJc w:val="left"/>
      <w:pPr>
        <w:ind w:left="30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1" w:tplc="0BE24E54">
      <w:start w:val="1"/>
      <w:numFmt w:val="bullet"/>
      <w:lvlText w:val="o"/>
      <w:lvlJc w:val="left"/>
      <w:pPr>
        <w:ind w:left="108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2" w:tplc="5C3E1B58">
      <w:start w:val="1"/>
      <w:numFmt w:val="bullet"/>
      <w:lvlText w:val="▪"/>
      <w:lvlJc w:val="left"/>
      <w:pPr>
        <w:ind w:left="180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3" w:tplc="517C7CEE">
      <w:start w:val="1"/>
      <w:numFmt w:val="bullet"/>
      <w:lvlText w:val="•"/>
      <w:lvlJc w:val="left"/>
      <w:pPr>
        <w:ind w:left="252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4" w:tplc="42869C56">
      <w:start w:val="1"/>
      <w:numFmt w:val="bullet"/>
      <w:lvlText w:val="o"/>
      <w:lvlJc w:val="left"/>
      <w:pPr>
        <w:ind w:left="324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5" w:tplc="002AC918">
      <w:start w:val="1"/>
      <w:numFmt w:val="bullet"/>
      <w:lvlText w:val="▪"/>
      <w:lvlJc w:val="left"/>
      <w:pPr>
        <w:ind w:left="396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6" w:tplc="1F08CF0E">
      <w:start w:val="1"/>
      <w:numFmt w:val="bullet"/>
      <w:lvlText w:val="•"/>
      <w:lvlJc w:val="left"/>
      <w:pPr>
        <w:ind w:left="468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7" w:tplc="F3025A6C">
      <w:start w:val="1"/>
      <w:numFmt w:val="bullet"/>
      <w:lvlText w:val="o"/>
      <w:lvlJc w:val="left"/>
      <w:pPr>
        <w:ind w:left="540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8" w:tplc="64F442AC">
      <w:start w:val="1"/>
      <w:numFmt w:val="bullet"/>
      <w:lvlText w:val="▪"/>
      <w:lvlJc w:val="left"/>
      <w:pPr>
        <w:ind w:left="612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abstractNum>
  <w:abstractNum w:abstractNumId="2" w15:restartNumberingAfterBreak="0">
    <w:nsid w:val="1A8D4E1C"/>
    <w:multiLevelType w:val="hybridMultilevel"/>
    <w:tmpl w:val="8572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B80296"/>
    <w:multiLevelType w:val="hybridMultilevel"/>
    <w:tmpl w:val="D3865402"/>
    <w:lvl w:ilvl="0" w:tplc="25549046">
      <w:start w:val="1"/>
      <w:numFmt w:val="decimal"/>
      <w:lvlText w:val="%1"/>
      <w:lvlJc w:val="left"/>
      <w:pPr>
        <w:ind w:left="188"/>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1" w:tplc="3A96201A">
      <w:start w:val="1"/>
      <w:numFmt w:val="lowerLetter"/>
      <w:lvlText w:val="%2"/>
      <w:lvlJc w:val="left"/>
      <w:pPr>
        <w:ind w:left="108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2" w:tplc="DBCA5CEA">
      <w:start w:val="1"/>
      <w:numFmt w:val="lowerRoman"/>
      <w:lvlText w:val="%3"/>
      <w:lvlJc w:val="left"/>
      <w:pPr>
        <w:ind w:left="180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3" w:tplc="18D29DDE">
      <w:start w:val="1"/>
      <w:numFmt w:val="decimal"/>
      <w:lvlText w:val="%4"/>
      <w:lvlJc w:val="left"/>
      <w:pPr>
        <w:ind w:left="252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4" w:tplc="DA92BB98">
      <w:start w:val="1"/>
      <w:numFmt w:val="lowerLetter"/>
      <w:lvlText w:val="%5"/>
      <w:lvlJc w:val="left"/>
      <w:pPr>
        <w:ind w:left="324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5" w:tplc="5038C9D4">
      <w:start w:val="1"/>
      <w:numFmt w:val="lowerRoman"/>
      <w:lvlText w:val="%6"/>
      <w:lvlJc w:val="left"/>
      <w:pPr>
        <w:ind w:left="396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6" w:tplc="7B38A150">
      <w:start w:val="1"/>
      <w:numFmt w:val="decimal"/>
      <w:lvlText w:val="%7"/>
      <w:lvlJc w:val="left"/>
      <w:pPr>
        <w:ind w:left="468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7" w:tplc="F384A15E">
      <w:start w:val="1"/>
      <w:numFmt w:val="lowerLetter"/>
      <w:lvlText w:val="%8"/>
      <w:lvlJc w:val="left"/>
      <w:pPr>
        <w:ind w:left="540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lvl w:ilvl="8" w:tplc="27A8A19E">
      <w:start w:val="1"/>
      <w:numFmt w:val="lowerRoman"/>
      <w:lvlText w:val="%9"/>
      <w:lvlJc w:val="left"/>
      <w:pPr>
        <w:ind w:left="6120"/>
      </w:pPr>
      <w:rPr>
        <w:rFonts w:ascii="Arial" w:eastAsia="Arial" w:hAnsi="Arial" w:cs="Arial"/>
        <w:b w:val="0"/>
        <w:i/>
        <w:iCs/>
        <w:strike w:val="0"/>
        <w:dstrike w:val="0"/>
        <w:color w:val="3A6D8E"/>
        <w:sz w:val="24"/>
        <w:szCs w:val="24"/>
        <w:u w:val="none" w:color="000000"/>
        <w:bdr w:val="none" w:sz="0" w:space="0" w:color="auto"/>
        <w:shd w:val="clear" w:color="auto" w:fill="auto"/>
        <w:vertAlign w:val="baseline"/>
      </w:rPr>
    </w:lvl>
  </w:abstractNum>
  <w:abstractNum w:abstractNumId="5" w15:restartNumberingAfterBreak="0">
    <w:nsid w:val="36B57F90"/>
    <w:multiLevelType w:val="hybridMultilevel"/>
    <w:tmpl w:val="238A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76F2F"/>
    <w:multiLevelType w:val="hybridMultilevel"/>
    <w:tmpl w:val="6358B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451A2"/>
    <w:multiLevelType w:val="hybridMultilevel"/>
    <w:tmpl w:val="27DEF804"/>
    <w:lvl w:ilvl="0" w:tplc="9146D248">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15586E"/>
    <w:multiLevelType w:val="hybridMultilevel"/>
    <w:tmpl w:val="6DF49BEE"/>
    <w:lvl w:ilvl="0" w:tplc="8402B1EA">
      <w:start w:val="1"/>
      <w:numFmt w:val="bullet"/>
      <w:lvlText w:val="•"/>
      <w:lvlJc w:val="left"/>
      <w:pPr>
        <w:ind w:left="56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1" w:tplc="F404F06C">
      <w:start w:val="1"/>
      <w:numFmt w:val="bullet"/>
      <w:lvlText w:val="o"/>
      <w:lvlJc w:val="left"/>
      <w:pPr>
        <w:ind w:left="134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2" w:tplc="074ADF06">
      <w:start w:val="1"/>
      <w:numFmt w:val="bullet"/>
      <w:lvlText w:val="▪"/>
      <w:lvlJc w:val="left"/>
      <w:pPr>
        <w:ind w:left="206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3" w:tplc="990837B6">
      <w:start w:val="1"/>
      <w:numFmt w:val="bullet"/>
      <w:lvlText w:val="•"/>
      <w:lvlJc w:val="left"/>
      <w:pPr>
        <w:ind w:left="278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4" w:tplc="C62E5FE4">
      <w:start w:val="1"/>
      <w:numFmt w:val="bullet"/>
      <w:lvlText w:val="o"/>
      <w:lvlJc w:val="left"/>
      <w:pPr>
        <w:ind w:left="350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5" w:tplc="3BB633AA">
      <w:start w:val="1"/>
      <w:numFmt w:val="bullet"/>
      <w:lvlText w:val="▪"/>
      <w:lvlJc w:val="left"/>
      <w:pPr>
        <w:ind w:left="422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6" w:tplc="62F48484">
      <w:start w:val="1"/>
      <w:numFmt w:val="bullet"/>
      <w:lvlText w:val="•"/>
      <w:lvlJc w:val="left"/>
      <w:pPr>
        <w:ind w:left="494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7" w:tplc="384AC786">
      <w:start w:val="1"/>
      <w:numFmt w:val="bullet"/>
      <w:lvlText w:val="o"/>
      <w:lvlJc w:val="left"/>
      <w:pPr>
        <w:ind w:left="566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lvl w:ilvl="8" w:tplc="09D81CD2">
      <w:start w:val="1"/>
      <w:numFmt w:val="bullet"/>
      <w:lvlText w:val="▪"/>
      <w:lvlJc w:val="left"/>
      <w:pPr>
        <w:ind w:left="6380"/>
      </w:pPr>
      <w:rPr>
        <w:rFonts w:ascii="Arial" w:eastAsia="Arial" w:hAnsi="Arial" w:cs="Arial"/>
        <w:b w:val="0"/>
        <w:i w:val="0"/>
        <w:strike w:val="0"/>
        <w:dstrike w:val="0"/>
        <w:color w:val="3A6D8E"/>
        <w:sz w:val="24"/>
        <w:szCs w:val="24"/>
        <w:u w:val="none" w:color="000000"/>
        <w:bdr w:val="none" w:sz="0" w:space="0" w:color="auto"/>
        <w:shd w:val="clear" w:color="auto" w:fill="auto"/>
        <w:vertAlign w:val="baseline"/>
      </w:rPr>
    </w:lvl>
  </w:abstractNum>
  <w:num w:numId="1">
    <w:abstractNumId w:val="7"/>
  </w:num>
  <w:num w:numId="2">
    <w:abstractNumId w:val="7"/>
  </w:num>
  <w:num w:numId="3">
    <w:abstractNumId w:val="3"/>
  </w:num>
  <w:num w:numId="4">
    <w:abstractNumId w:val="0"/>
  </w:num>
  <w:num w:numId="5">
    <w:abstractNumId w:val="4"/>
  </w:num>
  <w:num w:numId="6">
    <w:abstractNumId w:val="8"/>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B"/>
    <w:rsid w:val="00027753"/>
    <w:rsid w:val="000374FB"/>
    <w:rsid w:val="000403F7"/>
    <w:rsid w:val="00090E3D"/>
    <w:rsid w:val="00162659"/>
    <w:rsid w:val="0019680B"/>
    <w:rsid w:val="00232CE6"/>
    <w:rsid w:val="002B2D48"/>
    <w:rsid w:val="00356FDA"/>
    <w:rsid w:val="003F2A57"/>
    <w:rsid w:val="005E3D17"/>
    <w:rsid w:val="006163D3"/>
    <w:rsid w:val="007F188E"/>
    <w:rsid w:val="009210A5"/>
    <w:rsid w:val="009507BE"/>
    <w:rsid w:val="00963F1C"/>
    <w:rsid w:val="009A5893"/>
    <w:rsid w:val="00A04D9B"/>
    <w:rsid w:val="00A22E76"/>
    <w:rsid w:val="00B31804"/>
    <w:rsid w:val="00B90B29"/>
    <w:rsid w:val="00BD2658"/>
    <w:rsid w:val="00D12259"/>
    <w:rsid w:val="00D61B86"/>
    <w:rsid w:val="00D67211"/>
    <w:rsid w:val="00D85B69"/>
    <w:rsid w:val="00DE5473"/>
    <w:rsid w:val="00DE7DF6"/>
    <w:rsid w:val="00E57772"/>
    <w:rsid w:val="00F169C6"/>
    <w:rsid w:val="00FA1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622A-0A69-4610-94AB-85F52CB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72"/>
    <w:rPr>
      <w:rFonts w:ascii="Arial" w:hAnsi="Arial"/>
      <w:color w:val="7F7F7F" w:themeColor="text1" w:themeTint="80"/>
      <w:sz w:val="24"/>
    </w:rPr>
  </w:style>
  <w:style w:type="paragraph" w:styleId="Heading1">
    <w:name w:val="heading 1"/>
    <w:basedOn w:val="Normal"/>
    <w:next w:val="Normal"/>
    <w:link w:val="Heading1Char"/>
    <w:autoRedefine/>
    <w:uiPriority w:val="9"/>
    <w:qFormat/>
    <w:rsid w:val="000374FB"/>
    <w:pPr>
      <w:keepNext/>
      <w:keepLines/>
      <w:spacing w:before="240" w:after="0"/>
      <w:outlineLvl w:val="0"/>
    </w:pPr>
    <w:rPr>
      <w:rFonts w:eastAsiaTheme="majorEastAsia" w:cstheme="majorBidi"/>
      <w:color w:val="2E74B5" w:themeColor="accent1" w:themeShade="BF"/>
      <w:sz w:val="44"/>
      <w:szCs w:val="32"/>
    </w:rPr>
  </w:style>
  <w:style w:type="paragraph" w:styleId="Heading2">
    <w:name w:val="heading 2"/>
    <w:basedOn w:val="Normal"/>
    <w:next w:val="Normal"/>
    <w:link w:val="Heading2Char"/>
    <w:autoRedefine/>
    <w:uiPriority w:val="9"/>
    <w:unhideWhenUsed/>
    <w:qFormat/>
    <w:rsid w:val="000374FB"/>
    <w:pPr>
      <w:keepNext/>
      <w:keepLines/>
      <w:spacing w:before="120" w:after="120" w:line="276" w:lineRule="auto"/>
      <w:outlineLvl w:val="1"/>
    </w:pPr>
    <w:rPr>
      <w:rFonts w:eastAsiaTheme="majorEastAsia" w:cstheme="majorBidi"/>
      <w:color w:val="3B3838" w:themeColor="background2" w:themeShade="40"/>
      <w:sz w:val="36"/>
      <w:szCs w:val="26"/>
    </w:rPr>
  </w:style>
  <w:style w:type="paragraph" w:styleId="Heading3">
    <w:name w:val="heading 3"/>
    <w:basedOn w:val="Normal"/>
    <w:next w:val="Normal"/>
    <w:link w:val="Heading3Char"/>
    <w:autoRedefine/>
    <w:uiPriority w:val="9"/>
    <w:unhideWhenUsed/>
    <w:qFormat/>
    <w:rsid w:val="007F188E"/>
    <w:pPr>
      <w:keepNext/>
      <w:keepLines/>
      <w:spacing w:before="40" w:after="0"/>
      <w:outlineLvl w:val="2"/>
    </w:pPr>
    <w:rPr>
      <w:rFonts w:eastAsiaTheme="majorEastAsia" w:cs="Arial"/>
      <w:b/>
      <w:color w:val="auto"/>
      <w:szCs w:val="24"/>
    </w:rPr>
  </w:style>
  <w:style w:type="paragraph" w:styleId="Heading4">
    <w:name w:val="heading 4"/>
    <w:basedOn w:val="Normal"/>
    <w:next w:val="Normal"/>
    <w:link w:val="Heading4Char"/>
    <w:autoRedefine/>
    <w:uiPriority w:val="9"/>
    <w:unhideWhenUsed/>
    <w:qFormat/>
    <w:rsid w:val="000374FB"/>
    <w:pPr>
      <w:keepNext/>
      <w:keepLines/>
      <w:spacing w:before="40" w:after="120" w:line="240" w:lineRule="auto"/>
      <w:outlineLvl w:val="3"/>
    </w:pPr>
    <w:rPr>
      <w:rFonts w:eastAsiaTheme="majorEastAsia" w:cstheme="majorBidi"/>
      <w:b/>
      <w:iCs/>
      <w:color w:val="3B3838" w:themeColor="background2" w:themeShade="40"/>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2E74B5" w:themeColor="accent1" w:themeShade="BF"/>
    </w:rPr>
  </w:style>
  <w:style w:type="paragraph" w:styleId="Heading6">
    <w:name w:val="heading 6"/>
    <w:aliases w:val="Recommendations"/>
    <w:basedOn w:val="Heading5"/>
    <w:next w:val="Normal"/>
    <w:link w:val="Heading6Char"/>
    <w:autoRedefine/>
    <w:uiPriority w:val="9"/>
    <w:unhideWhenUsed/>
    <w:qFormat/>
    <w:rsid w:val="007F188E"/>
    <w:pPr>
      <w:numPr>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FB"/>
    <w:rPr>
      <w:rFonts w:ascii="Arial" w:eastAsiaTheme="majorEastAsia" w:hAnsi="Arial" w:cstheme="majorBidi"/>
      <w:color w:val="2E74B5" w:themeColor="accent1" w:themeShade="BF"/>
      <w:sz w:val="44"/>
      <w:szCs w:val="32"/>
    </w:rPr>
  </w:style>
  <w:style w:type="character" w:customStyle="1" w:styleId="Heading2Char">
    <w:name w:val="Heading 2 Char"/>
    <w:basedOn w:val="DefaultParagraphFont"/>
    <w:link w:val="Heading2"/>
    <w:uiPriority w:val="9"/>
    <w:rsid w:val="000374FB"/>
    <w:rPr>
      <w:rFonts w:ascii="Arial" w:eastAsiaTheme="majorEastAsia" w:hAnsi="Arial" w:cstheme="majorBidi"/>
      <w:color w:val="3B3838" w:themeColor="background2" w:themeShade="40"/>
      <w:sz w:val="36"/>
      <w:szCs w:val="26"/>
    </w:rPr>
  </w:style>
  <w:style w:type="paragraph" w:styleId="ListParagraph">
    <w:name w:val="List Paragraph"/>
    <w:basedOn w:val="Normal"/>
    <w:autoRedefine/>
    <w:uiPriority w:val="34"/>
    <w:qFormat/>
    <w:rsid w:val="000403F7"/>
    <w:pPr>
      <w:spacing w:after="200" w:line="276" w:lineRule="auto"/>
      <w:ind w:left="720"/>
      <w:contextualSpacing/>
    </w:pPr>
    <w:rPr>
      <w:rFonts w:eastAsia="Calibri" w:cs="Times New Roman"/>
    </w:rPr>
  </w:style>
  <w:style w:type="character" w:customStyle="1" w:styleId="Heading3Char">
    <w:name w:val="Heading 3 Char"/>
    <w:basedOn w:val="DefaultParagraphFont"/>
    <w:link w:val="Heading3"/>
    <w:uiPriority w:val="9"/>
    <w:rsid w:val="007F188E"/>
    <w:rPr>
      <w:rFonts w:ascii="Arial" w:eastAsiaTheme="majorEastAsia" w:hAnsi="Arial" w:cs="Arial"/>
      <w:b/>
      <w:sz w:val="24"/>
      <w:szCs w:val="24"/>
    </w:rPr>
  </w:style>
  <w:style w:type="character" w:customStyle="1" w:styleId="Heading4Char">
    <w:name w:val="Heading 4 Char"/>
    <w:basedOn w:val="DefaultParagraphFont"/>
    <w:link w:val="Heading4"/>
    <w:uiPriority w:val="9"/>
    <w:rsid w:val="000374FB"/>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2E74B5" w:themeColor="accent1" w:themeShade="BF"/>
      <w:sz w:val="24"/>
    </w:rPr>
  </w:style>
  <w:style w:type="table" w:customStyle="1" w:styleId="TableGrid">
    <w:name w:val="TableGrid"/>
    <w:rsid w:val="000374FB"/>
    <w:pPr>
      <w:spacing w:after="0" w:line="240" w:lineRule="auto"/>
    </w:pPr>
    <w:rPr>
      <w:rFonts w:eastAsiaTheme="minorEastAsia"/>
      <w:lang w:eastAsia="en-AU"/>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37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4FB"/>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0374FB"/>
    <w:rPr>
      <w:vertAlign w:val="superscript"/>
    </w:rPr>
  </w:style>
  <w:style w:type="character" w:styleId="Hyperlink">
    <w:name w:val="Hyperlink"/>
    <w:basedOn w:val="DefaultParagraphFont"/>
    <w:uiPriority w:val="99"/>
    <w:unhideWhenUsed/>
    <w:rsid w:val="000374FB"/>
    <w:rPr>
      <w:color w:val="0563C1" w:themeColor="hyperlink"/>
      <w:u w:val="single"/>
    </w:rPr>
  </w:style>
  <w:style w:type="table" w:styleId="TableGrid0">
    <w:name w:val="Table Grid"/>
    <w:basedOn w:val="TableNormal"/>
    <w:uiPriority w:val="39"/>
    <w:rsid w:val="0003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4FB"/>
    <w:rPr>
      <w:rFonts w:ascii="Arial" w:hAnsi="Arial"/>
      <w:color w:val="7F7F7F" w:themeColor="text1" w:themeTint="80"/>
      <w:sz w:val="24"/>
    </w:rPr>
  </w:style>
  <w:style w:type="paragraph" w:styleId="Footer">
    <w:name w:val="footer"/>
    <w:basedOn w:val="Normal"/>
    <w:link w:val="FooterChar"/>
    <w:uiPriority w:val="99"/>
    <w:unhideWhenUsed/>
    <w:rsid w:val="0003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4FB"/>
    <w:rPr>
      <w:rFonts w:ascii="Arial" w:hAnsi="Arial"/>
      <w:color w:val="7F7F7F" w:themeColor="text1" w:themeTint="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oced.edu.au/content/ngv%3A50481" TargetMode="External"/><Relationship Id="rId7" Type="http://schemas.openxmlformats.org/officeDocument/2006/relationships/hyperlink" Target="http://www.voced.edu.au/content/ngv%3A55891" TargetMode="External"/><Relationship Id="rId2" Type="http://schemas.openxmlformats.org/officeDocument/2006/relationships/hyperlink" Target="https://docs.education.gov.au/documents/core-skills-work-developmental-framework-overview" TargetMode="External"/><Relationship Id="rId1" Type="http://schemas.openxmlformats.org/officeDocument/2006/relationships/hyperlink" Target="https://docs.education.gov.au/documents/australian-core-skills-framework" TargetMode="External"/><Relationship Id="rId6" Type="http://schemas.openxmlformats.org/officeDocument/2006/relationships/hyperlink" Target="http://www.voced.edu.au/content/ngv%3A55891" TargetMode="External"/><Relationship Id="rId5" Type="http://schemas.openxmlformats.org/officeDocument/2006/relationships/hyperlink" Target="http://www.voced.edu.au/content/ngv%3A55891" TargetMode="External"/><Relationship Id="rId4" Type="http://schemas.openxmlformats.org/officeDocument/2006/relationships/hyperlink" Target="http://www.voced.edu.au/content/ngv%3A50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9A53-292A-4682-ABCD-CDA1593E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5521784A.dotm</Template>
  <TotalTime>30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Ralston</dc:creator>
  <cp:keywords/>
  <dc:description/>
  <cp:lastModifiedBy>Cath Ralston</cp:lastModifiedBy>
  <cp:revision>1</cp:revision>
  <dcterms:created xsi:type="dcterms:W3CDTF">2017-01-09T05:11:00Z</dcterms:created>
  <dcterms:modified xsi:type="dcterms:W3CDTF">2017-01-09T05:41:00Z</dcterms:modified>
</cp:coreProperties>
</file>