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5899" w14:textId="3540CABA" w:rsidR="00876C35" w:rsidRDefault="00876C35" w:rsidP="00876C35">
      <w:pPr>
        <w:pStyle w:val="Heading2"/>
      </w:pPr>
      <w:r>
        <w:t xml:space="preserve">Slide One </w:t>
      </w:r>
    </w:p>
    <w:p w14:paraId="11AE127F" w14:textId="52E5DD21" w:rsidR="00876C35" w:rsidRDefault="00876C35" w:rsidP="00876C35">
      <w:pPr>
        <w:pStyle w:val="Heading1"/>
      </w:pPr>
      <w:r>
        <w:t>SDA and the Residential Tenancies Act</w:t>
      </w:r>
    </w:p>
    <w:p w14:paraId="007477F8" w14:textId="77777777" w:rsidR="00167866" w:rsidRPr="00167866" w:rsidRDefault="00167866" w:rsidP="00167866">
      <w:r w:rsidRPr="00167866">
        <w:rPr>
          <w:lang w:val="en-US"/>
        </w:rPr>
        <w:t xml:space="preserve">National Disability Services Limited (NDS) believes that the information contained in this presentation is correct at the time of publishing, April 2020. NDS reserves the right to vary any of the content without further notice. The information provided in this presentation should not be relied on instead of other legal, medical, financial or professional advice.  </w:t>
      </w:r>
    </w:p>
    <w:p w14:paraId="576123F6" w14:textId="508177E3" w:rsidR="00167866" w:rsidRPr="00167866" w:rsidRDefault="00167866" w:rsidP="00167866">
      <w:r w:rsidRPr="00167866">
        <w:rPr>
          <w:lang w:val="en-US"/>
        </w:rPr>
        <w:t xml:space="preserve">This resource was developed with thanks to the Victorian Government and is tailored to the Victorian operating environment. </w:t>
      </w:r>
    </w:p>
    <w:p w14:paraId="79F94A5D" w14:textId="0B4571C4" w:rsidR="00876C35" w:rsidRPr="00876C35" w:rsidRDefault="00876C35" w:rsidP="00876C35">
      <w:pPr>
        <w:pStyle w:val="Heading2"/>
      </w:pPr>
      <w:r>
        <w:t>Slide two</w:t>
      </w:r>
    </w:p>
    <w:p w14:paraId="6C34603D" w14:textId="77777777" w:rsidR="00876C35" w:rsidRPr="00876C35" w:rsidRDefault="00876C35" w:rsidP="00876C35">
      <w:pPr>
        <w:pStyle w:val="Heading3"/>
      </w:pPr>
      <w:r w:rsidRPr="00876C35">
        <w:t>This presentation will explore:</w:t>
      </w:r>
    </w:p>
    <w:p w14:paraId="43900332" w14:textId="77777777" w:rsidR="00C0030F" w:rsidRPr="00167866" w:rsidRDefault="00F57315" w:rsidP="00167866">
      <w:pPr>
        <w:rPr>
          <w:rFonts w:eastAsiaTheme="majorEastAsia"/>
        </w:rPr>
      </w:pPr>
      <w:r w:rsidRPr="00167866">
        <w:rPr>
          <w:rFonts w:eastAsiaTheme="majorEastAsia"/>
        </w:rPr>
        <w:t>Legislative changes in Victoria</w:t>
      </w:r>
    </w:p>
    <w:p w14:paraId="06D75F6C" w14:textId="77777777" w:rsidR="00C0030F" w:rsidRPr="00167866" w:rsidRDefault="00F57315" w:rsidP="00167866">
      <w:pPr>
        <w:rPr>
          <w:rFonts w:eastAsiaTheme="majorEastAsia"/>
        </w:rPr>
      </w:pPr>
      <w:r w:rsidRPr="00167866">
        <w:rPr>
          <w:rFonts w:eastAsiaTheme="majorEastAsia"/>
        </w:rPr>
        <w:t>Re-gazettal of Victorian residential services and process</w:t>
      </w:r>
    </w:p>
    <w:p w14:paraId="0F7465F0" w14:textId="77777777" w:rsidR="00C0030F" w:rsidRPr="00167866" w:rsidRDefault="00F57315" w:rsidP="00167866">
      <w:pPr>
        <w:rPr>
          <w:rFonts w:eastAsiaTheme="majorEastAsia"/>
        </w:rPr>
      </w:pPr>
      <w:r w:rsidRPr="00167866">
        <w:rPr>
          <w:rFonts w:eastAsiaTheme="majorEastAsia"/>
        </w:rPr>
        <w:t>Role of Consumer Affairs Victoria (CAV)</w:t>
      </w:r>
    </w:p>
    <w:p w14:paraId="7F776866" w14:textId="77777777" w:rsidR="00C0030F" w:rsidRPr="00167866" w:rsidRDefault="00F57315" w:rsidP="00167866">
      <w:pPr>
        <w:rPr>
          <w:rFonts w:eastAsiaTheme="majorEastAsia"/>
        </w:rPr>
      </w:pPr>
      <w:r w:rsidRPr="00167866">
        <w:rPr>
          <w:rFonts w:eastAsiaTheme="majorEastAsia"/>
        </w:rPr>
        <w:t xml:space="preserve">The Residential Tenancies Act 1997 </w:t>
      </w:r>
    </w:p>
    <w:p w14:paraId="22ED0472" w14:textId="77777777" w:rsidR="00C0030F" w:rsidRPr="00167866" w:rsidRDefault="00F57315" w:rsidP="00167866">
      <w:pPr>
        <w:rPr>
          <w:rFonts w:eastAsiaTheme="majorEastAsia"/>
        </w:rPr>
      </w:pPr>
      <w:r w:rsidRPr="00167866">
        <w:rPr>
          <w:rFonts w:eastAsiaTheme="majorEastAsia"/>
        </w:rPr>
        <w:t xml:space="preserve">Starting an agreement with an SDA resident </w:t>
      </w:r>
    </w:p>
    <w:p w14:paraId="79D058C3" w14:textId="77777777" w:rsidR="00C0030F" w:rsidRPr="00167866" w:rsidRDefault="00F57315" w:rsidP="00167866">
      <w:pPr>
        <w:rPr>
          <w:rFonts w:eastAsiaTheme="majorEastAsia"/>
        </w:rPr>
      </w:pPr>
      <w:r w:rsidRPr="00167866">
        <w:rPr>
          <w:rFonts w:eastAsiaTheme="majorEastAsia"/>
        </w:rPr>
        <w:t>Lease type comparison</w:t>
      </w:r>
    </w:p>
    <w:p w14:paraId="09E9CBE2" w14:textId="69228C80" w:rsidR="00876C35" w:rsidRPr="009125D8" w:rsidRDefault="00F57315" w:rsidP="009125D8">
      <w:pPr>
        <w:rPr>
          <w:rFonts w:eastAsiaTheme="majorEastAsia"/>
        </w:rPr>
      </w:pPr>
      <w:r w:rsidRPr="00167866">
        <w:rPr>
          <w:rFonts w:eastAsiaTheme="majorEastAsia"/>
        </w:rPr>
        <w:t>St</w:t>
      </w:r>
      <w:r w:rsidRPr="00167866">
        <w:rPr>
          <w:rFonts w:eastAsiaTheme="majorEastAsia"/>
        </w:rPr>
        <w:t>eps to starting an agreement</w:t>
      </w:r>
    </w:p>
    <w:p w14:paraId="76DE21C9" w14:textId="5AA2C8C0" w:rsidR="00F43CD9" w:rsidRDefault="00F43CD9" w:rsidP="00F43CD9">
      <w:pPr>
        <w:pStyle w:val="Heading2"/>
      </w:pPr>
      <w:r>
        <w:t>Slide three</w:t>
      </w:r>
    </w:p>
    <w:p w14:paraId="7F033101" w14:textId="08D53851" w:rsidR="00876C35" w:rsidRPr="00876C35" w:rsidRDefault="00876C35" w:rsidP="00876C35">
      <w:pPr>
        <w:pStyle w:val="Heading3"/>
      </w:pPr>
      <w:r w:rsidRPr="00876C35">
        <w:t>Safeguarding tenancy rights – legislative changes in Victoria</w:t>
      </w:r>
    </w:p>
    <w:p w14:paraId="79E84A0A" w14:textId="77777777" w:rsidR="00C0030F" w:rsidRPr="00167866" w:rsidRDefault="00F57315" w:rsidP="00167866">
      <w:pPr>
        <w:rPr>
          <w:rFonts w:eastAsiaTheme="majorEastAsia"/>
        </w:rPr>
      </w:pPr>
      <w:r w:rsidRPr="00167866">
        <w:rPr>
          <w:rFonts w:eastAsiaTheme="majorEastAsia"/>
        </w:rPr>
        <w:t>The Disability Service Safeguards Act 2018 enacted legislative amendments to the Residential Tenancies Act 1997 (</w:t>
      </w:r>
      <w:proofErr w:type="spellStart"/>
      <w:r w:rsidRPr="00167866">
        <w:rPr>
          <w:rFonts w:eastAsiaTheme="majorEastAsia"/>
        </w:rPr>
        <w:t>RTA</w:t>
      </w:r>
      <w:proofErr w:type="spellEnd"/>
      <w:r w:rsidRPr="00167866">
        <w:rPr>
          <w:rFonts w:eastAsiaTheme="majorEastAsia"/>
        </w:rPr>
        <w:t>) and the Disability Act 2006</w:t>
      </w:r>
    </w:p>
    <w:p w14:paraId="5F6D4E47" w14:textId="77777777" w:rsidR="00C0030F" w:rsidRPr="00167866" w:rsidRDefault="00F57315" w:rsidP="00167866">
      <w:pPr>
        <w:rPr>
          <w:rFonts w:eastAsiaTheme="majorEastAsia"/>
        </w:rPr>
      </w:pPr>
      <w:r w:rsidRPr="00167866">
        <w:rPr>
          <w:rFonts w:eastAsiaTheme="majorEastAsia"/>
        </w:rPr>
        <w:t>SDA was</w:t>
      </w:r>
      <w:r w:rsidRPr="00167866">
        <w:rPr>
          <w:rFonts w:eastAsiaTheme="majorEastAsia"/>
        </w:rPr>
        <w:t xml:space="preserve"> removed from the Disability Act and included in the Residential Tenancies Act under Part 12 A</w:t>
      </w:r>
    </w:p>
    <w:p w14:paraId="7F60E250" w14:textId="77777777" w:rsidR="00C0030F" w:rsidRPr="00167866" w:rsidRDefault="00F57315" w:rsidP="00167866">
      <w:pPr>
        <w:rPr>
          <w:rFonts w:eastAsiaTheme="majorEastAsia"/>
        </w:rPr>
      </w:pPr>
      <w:r w:rsidRPr="00167866">
        <w:rPr>
          <w:rFonts w:eastAsiaTheme="majorEastAsia"/>
        </w:rPr>
        <w:t>SDA providers had until 1 Jan 2020 to provide SDA participants with an information statement and either enter into a standard tenancy agreement (Part 2 agreement</w:t>
      </w:r>
      <w:r w:rsidRPr="00167866">
        <w:rPr>
          <w:rFonts w:eastAsiaTheme="majorEastAsia"/>
        </w:rPr>
        <w:t>) or enter into or establish an SDA agreement (Part 12 A agreement) as prescribed by Consumer Affairs Victoria</w:t>
      </w:r>
    </w:p>
    <w:p w14:paraId="42D7262D" w14:textId="77777777" w:rsidR="00C0030F" w:rsidRPr="00167866" w:rsidRDefault="00F57315" w:rsidP="00167866">
      <w:pPr>
        <w:rPr>
          <w:rFonts w:eastAsiaTheme="majorEastAsia"/>
        </w:rPr>
      </w:pPr>
      <w:r w:rsidRPr="00167866">
        <w:rPr>
          <w:rFonts w:eastAsiaTheme="majorEastAsia"/>
        </w:rPr>
        <w:t xml:space="preserve">Existing residential statements became void on 1 January 2020, when properties were automatically gazetted from the Disability Act to the </w:t>
      </w:r>
      <w:proofErr w:type="spellStart"/>
      <w:r w:rsidRPr="00167866">
        <w:rPr>
          <w:rFonts w:eastAsiaTheme="majorEastAsia"/>
        </w:rPr>
        <w:t>RTA</w:t>
      </w:r>
      <w:proofErr w:type="spellEnd"/>
    </w:p>
    <w:p w14:paraId="7A19AFAE" w14:textId="52E063CA" w:rsidR="00167866" w:rsidRDefault="00167866" w:rsidP="00167866">
      <w:r w:rsidRPr="00167866">
        <w:t>In response to a number of issues with this process DHHS sought the re-gazettal of properties back under the Disability Act 2006.</w:t>
      </w:r>
    </w:p>
    <w:p w14:paraId="43F96576" w14:textId="15D8437C" w:rsidR="00876C35" w:rsidRDefault="00876C35" w:rsidP="00876C35">
      <w:pPr>
        <w:pStyle w:val="Heading2"/>
      </w:pPr>
      <w:r>
        <w:t>Slide four</w:t>
      </w:r>
    </w:p>
    <w:p w14:paraId="24A1B81A" w14:textId="39FC8F3E" w:rsidR="00F57315" w:rsidRDefault="00F57315" w:rsidP="00F57315">
      <w:pPr>
        <w:pStyle w:val="Heading3"/>
      </w:pPr>
      <w:r>
        <w:t>Information regarding re-gazettal</w:t>
      </w:r>
    </w:p>
    <w:p w14:paraId="2587669B" w14:textId="77777777" w:rsidR="00000000" w:rsidRPr="00F57315" w:rsidRDefault="00F57315" w:rsidP="00F57315">
      <w:r w:rsidRPr="00F57315">
        <w:t>Properties registered under the Disability Act were automatically gazetted from the Disability Act and residential statements became void on 1 January 2020</w:t>
      </w:r>
    </w:p>
    <w:p w14:paraId="56781D5A" w14:textId="77777777" w:rsidR="00000000" w:rsidRPr="00F57315" w:rsidRDefault="00F57315" w:rsidP="00F57315">
      <w:r w:rsidRPr="00F57315">
        <w:lastRenderedPageBreak/>
        <w:t xml:space="preserve">Legislative changes have been problematic, and resulted in some people with disability being ineligible for either of the two lease options under the </w:t>
      </w:r>
      <w:proofErr w:type="spellStart"/>
      <w:r w:rsidRPr="00F57315">
        <w:t>RTA</w:t>
      </w:r>
      <w:proofErr w:type="spellEnd"/>
    </w:p>
    <w:p w14:paraId="590AE5C1" w14:textId="77777777" w:rsidR="00000000" w:rsidRPr="00F57315" w:rsidRDefault="00F57315" w:rsidP="00F57315">
      <w:r w:rsidRPr="00F57315">
        <w:t>As a short-term-measure, the Victorian Government sought the re-gazettal of properties back under the Disability Act 2006</w:t>
      </w:r>
    </w:p>
    <w:p w14:paraId="121CF1B6" w14:textId="77777777" w:rsidR="00000000" w:rsidRPr="00F57315" w:rsidRDefault="00F57315" w:rsidP="00F57315">
      <w:r w:rsidRPr="00F57315">
        <w:t>Re-gazettal enables providers to cont</w:t>
      </w:r>
      <w:r w:rsidRPr="00F57315">
        <w:t xml:space="preserve">inue to operate under the Disability Act rather than moving residency arrangements under the </w:t>
      </w:r>
      <w:proofErr w:type="spellStart"/>
      <w:r w:rsidRPr="00F57315">
        <w:t>RTA</w:t>
      </w:r>
      <w:proofErr w:type="spellEnd"/>
      <w:r w:rsidRPr="00F57315">
        <w:t>, and residents’ rights continue to be protected under residential agreements</w:t>
      </w:r>
    </w:p>
    <w:p w14:paraId="29100B74" w14:textId="2EE24EB9" w:rsidR="00F57315" w:rsidRDefault="00F57315" w:rsidP="00F57315">
      <w:pPr>
        <w:pStyle w:val="Heading2"/>
      </w:pPr>
      <w:r>
        <w:t>Slide five</w:t>
      </w:r>
    </w:p>
    <w:p w14:paraId="3AF2DE55" w14:textId="06B19ACC" w:rsidR="00F57315" w:rsidRPr="00F57315" w:rsidRDefault="00F57315" w:rsidP="00F57315">
      <w:pPr>
        <w:pStyle w:val="Heading3"/>
      </w:pPr>
      <w:r>
        <w:t>Re-gazettal process</w:t>
      </w:r>
    </w:p>
    <w:p w14:paraId="4994F95E" w14:textId="77777777" w:rsidR="00000000" w:rsidRPr="00F57315" w:rsidRDefault="00F57315" w:rsidP="00F57315">
      <w:r w:rsidRPr="00F57315">
        <w:t xml:space="preserve">Re-gazettal of </w:t>
      </w:r>
      <w:r w:rsidRPr="00F57315">
        <w:t>the Department owned properties occurred across the board, unless providers advised DHHS that residents had transitioned to valid SDA agreements</w:t>
      </w:r>
    </w:p>
    <w:p w14:paraId="732F5998" w14:textId="77777777" w:rsidR="00000000" w:rsidRPr="00F57315" w:rsidRDefault="00F57315" w:rsidP="00F57315">
      <w:r w:rsidRPr="00F57315">
        <w:t>Any non-government owned properties registere</w:t>
      </w:r>
      <w:r w:rsidRPr="00F57315">
        <w:t>d under the Disability Act were automatically re-gazetted unless the provider contacted DHHS requesting that they be removed from the list</w:t>
      </w:r>
    </w:p>
    <w:p w14:paraId="7A8D233C" w14:textId="77777777" w:rsidR="00000000" w:rsidRPr="00F57315" w:rsidRDefault="00F57315" w:rsidP="00F57315">
      <w:r w:rsidRPr="00F57315">
        <w:t>DHHS wrote to all providers of existing gazetted se</w:t>
      </w:r>
      <w:r w:rsidRPr="00F57315">
        <w:t xml:space="preserve">rvices to </w:t>
      </w:r>
      <w:proofErr w:type="gramStart"/>
      <w:r w:rsidRPr="00F57315">
        <w:t>advise</w:t>
      </w:r>
      <w:proofErr w:type="gramEnd"/>
      <w:r w:rsidRPr="00F57315">
        <w:t xml:space="preserve"> about the re-gazettal and gave them the opportunity to opt-out if their residents had transitioned to valid SDA agreements</w:t>
      </w:r>
    </w:p>
    <w:p w14:paraId="138DC14A" w14:textId="77777777" w:rsidR="00000000" w:rsidRPr="00F57315" w:rsidRDefault="00F57315" w:rsidP="00F57315">
      <w:r w:rsidRPr="00F57315">
        <w:t xml:space="preserve">The Department also contacted new providers, with </w:t>
      </w:r>
      <w:r w:rsidRPr="00F57315">
        <w:t>many requesting gazettal of their properties</w:t>
      </w:r>
    </w:p>
    <w:p w14:paraId="403CFD8A" w14:textId="77777777" w:rsidR="00000000" w:rsidRPr="00F57315" w:rsidRDefault="00F57315" w:rsidP="00F57315">
      <w:r w:rsidRPr="00F57315">
        <w:t>Providers can de-gazette their properties from the Disability Act at any time by contacting the NDIS Service Delivery Branch at DHHS on (03) 9096</w:t>
      </w:r>
      <w:r w:rsidRPr="00F57315">
        <w:t xml:space="preserve"> 8284 </w:t>
      </w:r>
    </w:p>
    <w:p w14:paraId="7ED75FCF" w14:textId="77777777" w:rsidR="00000000" w:rsidRPr="00F57315" w:rsidRDefault="00F57315" w:rsidP="00F57315">
      <w:r w:rsidRPr="00F57315">
        <w:t xml:space="preserve">To do so, providers must ensure they are can uphold the requirements of the </w:t>
      </w:r>
      <w:proofErr w:type="spellStart"/>
      <w:r w:rsidRPr="00F57315">
        <w:t>RTA</w:t>
      </w:r>
      <w:proofErr w:type="spellEnd"/>
      <w:r w:rsidRPr="00F57315">
        <w:t xml:space="preserve"> and be able to legally enter into or establish one of the two lease type arrangements </w:t>
      </w:r>
    </w:p>
    <w:p w14:paraId="2B0C94E0" w14:textId="671618CA" w:rsidR="00F57315" w:rsidRDefault="00F57315" w:rsidP="00F57315">
      <w:pPr>
        <w:pStyle w:val="Heading2"/>
      </w:pPr>
      <w:r>
        <w:t>Slide six</w:t>
      </w:r>
    </w:p>
    <w:p w14:paraId="767FAAD7" w14:textId="668C2FA4" w:rsidR="00876C35" w:rsidRDefault="00876C35" w:rsidP="00876C35">
      <w:r>
        <w:t xml:space="preserve">Image of Consumer Affairs Victoria brand logo </w:t>
      </w:r>
    </w:p>
    <w:p w14:paraId="186EF3AD" w14:textId="07A59632" w:rsidR="00876C35" w:rsidRPr="00876C35" w:rsidRDefault="00876C35" w:rsidP="00876C35">
      <w:r w:rsidRPr="00876C35">
        <w:t>When a provider can either enter into or establish a valid SDA agreement they can apply for de-gazettal from the Disability Act and commence operating under the Residential Tenancies Act.</w:t>
      </w:r>
    </w:p>
    <w:p w14:paraId="7386F4A8" w14:textId="77777777" w:rsidR="00876C35" w:rsidRPr="00876C35" w:rsidRDefault="00876C35" w:rsidP="00876C35">
      <w:r w:rsidRPr="00876C35">
        <w:t>Tenancy rights and protections are then regulated by Consumer Affairs Victoria (CAV).</w:t>
      </w:r>
    </w:p>
    <w:p w14:paraId="1B64D5CF" w14:textId="1F112760" w:rsidR="00876C35" w:rsidRDefault="00876C35" w:rsidP="00876C35">
      <w:r w:rsidRPr="00876C35">
        <w:t>Contact DHHS for information regarding de-gazettal.</w:t>
      </w:r>
    </w:p>
    <w:p w14:paraId="70204ACA" w14:textId="3F0C41C8" w:rsidR="00876C35" w:rsidRDefault="00876C35" w:rsidP="00876C35">
      <w:pPr>
        <w:pStyle w:val="Heading2"/>
      </w:pPr>
      <w:r>
        <w:t>S</w:t>
      </w:r>
      <w:r w:rsidR="00F57315">
        <w:t>lide seven</w:t>
      </w:r>
    </w:p>
    <w:p w14:paraId="4329C3A4" w14:textId="4BC62F2F" w:rsidR="00876C35" w:rsidRDefault="00876C35" w:rsidP="00876C35">
      <w:pPr>
        <w:pStyle w:val="Heading3"/>
      </w:pPr>
      <w:r>
        <w:t>SDA tenancy laws in Victoria</w:t>
      </w:r>
    </w:p>
    <w:p w14:paraId="4FFBEA54" w14:textId="32D57D04" w:rsidR="00876C35" w:rsidRPr="00876C35" w:rsidRDefault="00876C35" w:rsidP="00876C35">
      <w:r w:rsidRPr="00876C35">
        <w:t>The Residential Tenancies Act 1997 was amended to protect the residential rights of people living in SDA in Victoria</w:t>
      </w:r>
    </w:p>
    <w:p w14:paraId="0E59714F" w14:textId="77777777" w:rsidR="00876C35" w:rsidRPr="00876C35" w:rsidRDefault="00876C35" w:rsidP="00876C35">
      <w:r w:rsidRPr="00876C35">
        <w:t>Creates the SDA residency agreement</w:t>
      </w:r>
    </w:p>
    <w:p w14:paraId="185CA08B" w14:textId="77777777" w:rsidR="00074C94" w:rsidRPr="00876C35" w:rsidRDefault="00876C35" w:rsidP="00876C35">
      <w:pPr>
        <w:numPr>
          <w:ilvl w:val="0"/>
          <w:numId w:val="8"/>
        </w:numPr>
      </w:pPr>
      <w:r w:rsidRPr="00876C35">
        <w:t>Requires the SDA provider to support the resident make an informed decision</w:t>
      </w:r>
    </w:p>
    <w:p w14:paraId="3487BADB" w14:textId="77777777" w:rsidR="00074C94" w:rsidRPr="00876C35" w:rsidRDefault="00876C35" w:rsidP="00876C35">
      <w:pPr>
        <w:numPr>
          <w:ilvl w:val="0"/>
          <w:numId w:val="8"/>
        </w:numPr>
      </w:pPr>
      <w:r w:rsidRPr="00876C35">
        <w:t xml:space="preserve">Offers similar rights as other tenants around limiting the landlords right to enter the property and seeking assistance through </w:t>
      </w:r>
      <w:proofErr w:type="spellStart"/>
      <w:r w:rsidRPr="00876C35">
        <w:t>VCAT</w:t>
      </w:r>
      <w:proofErr w:type="spellEnd"/>
    </w:p>
    <w:p w14:paraId="56182C8A" w14:textId="77777777" w:rsidR="00074C94" w:rsidRPr="00876C35" w:rsidRDefault="00876C35" w:rsidP="00876C35">
      <w:pPr>
        <w:numPr>
          <w:ilvl w:val="0"/>
          <w:numId w:val="8"/>
        </w:numPr>
      </w:pPr>
      <w:r w:rsidRPr="00876C35">
        <w:lastRenderedPageBreak/>
        <w:t>Introduces additional protections for SDA residents entering into a tenancy agreement against coercive and deceptive conduct.</w:t>
      </w:r>
    </w:p>
    <w:p w14:paraId="51120714" w14:textId="2AB888B6" w:rsidR="00876C35" w:rsidRDefault="00F57315" w:rsidP="00876C35">
      <w:pPr>
        <w:pStyle w:val="Heading2"/>
      </w:pPr>
      <w:r>
        <w:t>Slide eight</w:t>
      </w:r>
    </w:p>
    <w:p w14:paraId="4931D03B" w14:textId="773B0771" w:rsidR="00876C35" w:rsidRDefault="00876C35" w:rsidP="00876C35">
      <w:pPr>
        <w:pStyle w:val="Heading3"/>
      </w:pPr>
      <w:r>
        <w:t>Starting an agreement with an SDA resident</w:t>
      </w:r>
    </w:p>
    <w:p w14:paraId="3CF9DED9" w14:textId="77777777" w:rsidR="00876C35" w:rsidRPr="00876C35" w:rsidRDefault="00876C35" w:rsidP="00876C35">
      <w:r w:rsidRPr="00876C35">
        <w:t xml:space="preserve">To meet the requirement of the Residential Tenancies Act, SDA providers must either enter into or establish a Part 12 </w:t>
      </w:r>
      <w:proofErr w:type="gramStart"/>
      <w:r w:rsidRPr="00876C35">
        <w:t>A</w:t>
      </w:r>
      <w:proofErr w:type="gramEnd"/>
      <w:r w:rsidRPr="00876C35">
        <w:t xml:space="preserve"> SDA residency agreement or entered into a Part 2 tenancy agreement with existing SDA residents</w:t>
      </w:r>
    </w:p>
    <w:p w14:paraId="58E70485" w14:textId="00FEFB15" w:rsidR="00876C35" w:rsidRPr="00876C35" w:rsidRDefault="00876C35" w:rsidP="00876C35">
      <w:r w:rsidRPr="00876C35">
        <w:t>Entering into an agreement (Part 12 A and Part 2)</w:t>
      </w:r>
      <w:r>
        <w:t>:</w:t>
      </w:r>
    </w:p>
    <w:p w14:paraId="31A54C6B" w14:textId="77777777" w:rsidR="00876C35" w:rsidRPr="00876C35" w:rsidRDefault="00876C35" w:rsidP="00876C35">
      <w:r w:rsidRPr="00876C35">
        <w:t>The resident understands the agreement &amp; can sign it.</w:t>
      </w:r>
    </w:p>
    <w:p w14:paraId="2D716024" w14:textId="50F30A47" w:rsidR="00876C35" w:rsidRPr="00876C35" w:rsidRDefault="00876C35" w:rsidP="00876C35">
      <w:r w:rsidRPr="00876C35">
        <w:t>Establishing an agreement (Part 12 A only)</w:t>
      </w:r>
      <w:r>
        <w:t>:</w:t>
      </w:r>
    </w:p>
    <w:p w14:paraId="7182128D" w14:textId="16DE21BC" w:rsidR="00876C35" w:rsidRDefault="00876C35" w:rsidP="00876C35">
      <w:r w:rsidRPr="00876C35">
        <w:t>The resident needs help understanding the agreement &amp; cannot sign it.</w:t>
      </w:r>
    </w:p>
    <w:p w14:paraId="62C0E35D" w14:textId="3322DE16" w:rsidR="00876C35" w:rsidRDefault="00F57315" w:rsidP="00876C35">
      <w:pPr>
        <w:pStyle w:val="Heading2"/>
      </w:pPr>
      <w:r>
        <w:t>Slide nine</w:t>
      </w:r>
    </w:p>
    <w:p w14:paraId="3A8768DB" w14:textId="0E18C526" w:rsidR="00876C35" w:rsidRDefault="00D574B7" w:rsidP="00876C35">
      <w:r>
        <w:t>This slide compares the two different lease types available for SDA participants under the Residential Tenancies Act, these being the SDA residency agreement and the residential tenancy agreement and highlights the differences/similarities in the below seven categories.</w:t>
      </w:r>
    </w:p>
    <w:p w14:paraId="675007D0" w14:textId="08CF361F" w:rsidR="00D574B7" w:rsidRDefault="00D574B7" w:rsidP="00876C35">
      <w:r>
        <w:t>SDA residency agreement</w:t>
      </w:r>
    </w:p>
    <w:p w14:paraId="105BFFBB" w14:textId="4F9F42A0" w:rsidR="00D574B7" w:rsidRDefault="00D574B7" w:rsidP="00876C35">
      <w:r>
        <w:t>Tenants: Available to SDA participants only</w:t>
      </w:r>
    </w:p>
    <w:p w14:paraId="25D191D3" w14:textId="77777777" w:rsidR="00D574B7" w:rsidRPr="00D574B7" w:rsidRDefault="00D574B7" w:rsidP="00D574B7">
      <w:r>
        <w:t xml:space="preserve">Starting an agreement: </w:t>
      </w:r>
      <w:r w:rsidRPr="00D574B7">
        <w:t>Enter into (signed by resident) or establish (not signed by resident) individual agreements</w:t>
      </w:r>
    </w:p>
    <w:p w14:paraId="73A355EE" w14:textId="599927EE" w:rsidR="00D574B7" w:rsidRDefault="00D574B7" w:rsidP="00876C35">
      <w:r>
        <w:t>Bond: No</w:t>
      </w:r>
    </w:p>
    <w:p w14:paraId="639DB764" w14:textId="6D7BF403" w:rsidR="00D574B7" w:rsidRDefault="00D574B7" w:rsidP="00876C35">
      <w:r>
        <w:t>Rent: Six monthly increase</w:t>
      </w:r>
    </w:p>
    <w:p w14:paraId="684FFE63" w14:textId="77777777" w:rsidR="00D574B7" w:rsidRPr="00D574B7" w:rsidRDefault="00D574B7" w:rsidP="00D574B7">
      <w:r>
        <w:t xml:space="preserve">Damage: </w:t>
      </w:r>
      <w:r w:rsidRPr="00D574B7">
        <w:t>The resident does not pay for damage to the property caused by because of fair wear and tear, their disability or equipment they need to help them with their disability.</w:t>
      </w:r>
    </w:p>
    <w:p w14:paraId="15890CEA" w14:textId="77777777" w:rsidR="00D574B7" w:rsidRPr="00D574B7" w:rsidRDefault="00D574B7" w:rsidP="00D574B7">
      <w:r>
        <w:t xml:space="preserve">Ending an agreement: </w:t>
      </w:r>
      <w:r w:rsidRPr="00D574B7">
        <w:t>The resident can end the agreement at any time.</w:t>
      </w:r>
    </w:p>
    <w:p w14:paraId="11E6EFCC" w14:textId="77777777" w:rsidR="00D574B7" w:rsidRPr="00D574B7" w:rsidRDefault="00D574B7" w:rsidP="00D574B7">
      <w:r>
        <w:t xml:space="preserve">Notice to vacate: </w:t>
      </w:r>
      <w:r w:rsidRPr="00D574B7">
        <w:t xml:space="preserve">You cannot ask a resident to leave the property without first finding them suitable temporary accommodation. </w:t>
      </w:r>
    </w:p>
    <w:p w14:paraId="474D0C34" w14:textId="63C802AC" w:rsidR="00D574B7" w:rsidRDefault="00D574B7" w:rsidP="00876C35">
      <w:r>
        <w:t>Residential Tenancy agreement</w:t>
      </w:r>
    </w:p>
    <w:p w14:paraId="0B1B69B0" w14:textId="6A940C9B" w:rsidR="00D574B7" w:rsidRDefault="00D574B7" w:rsidP="00876C35">
      <w:r>
        <w:t>Tenants: Available to SDA and non-SDA participants</w:t>
      </w:r>
    </w:p>
    <w:p w14:paraId="47CF61F7" w14:textId="77777777" w:rsidR="00D574B7" w:rsidRPr="00D574B7" w:rsidRDefault="00D574B7" w:rsidP="00D574B7">
      <w:r>
        <w:t xml:space="preserve">Starting an agreement: </w:t>
      </w:r>
      <w:r w:rsidRPr="00D574B7">
        <w:t>Enter into single agreement with all tenants</w:t>
      </w:r>
    </w:p>
    <w:p w14:paraId="4CB4807B" w14:textId="7B1B460B" w:rsidR="00D574B7" w:rsidRDefault="00D574B7" w:rsidP="00876C35">
      <w:r>
        <w:t>Bond: Yes</w:t>
      </w:r>
    </w:p>
    <w:p w14:paraId="605AFF71" w14:textId="5AE723DB" w:rsidR="00D574B7" w:rsidRDefault="00D574B7" w:rsidP="00876C35">
      <w:r>
        <w:t>Rent: Annual increase</w:t>
      </w:r>
    </w:p>
    <w:p w14:paraId="2546DFA3" w14:textId="77777777" w:rsidR="00D574B7" w:rsidRPr="00D574B7" w:rsidRDefault="00D574B7" w:rsidP="00D574B7">
      <w:r>
        <w:t xml:space="preserve">Damage: </w:t>
      </w:r>
      <w:r w:rsidRPr="00D574B7">
        <w:t>The resident/s will have to pay for any damage they cause, except for fair wear and tear.</w:t>
      </w:r>
    </w:p>
    <w:p w14:paraId="66301DB9" w14:textId="77777777" w:rsidR="00D574B7" w:rsidRPr="00D574B7" w:rsidRDefault="00D574B7" w:rsidP="00D574B7">
      <w:r>
        <w:t xml:space="preserve">Ending an agreement: </w:t>
      </w:r>
      <w:r w:rsidRPr="00D574B7">
        <w:t xml:space="preserve">If it is a fixed-term agreement, the resident cannot end the agreement before the lease end date. </w:t>
      </w:r>
    </w:p>
    <w:p w14:paraId="705776DA" w14:textId="3B67C7B6" w:rsidR="00D574B7" w:rsidRDefault="00D574B7" w:rsidP="00876C35">
      <w:r>
        <w:lastRenderedPageBreak/>
        <w:t xml:space="preserve">Notice to vacate: </w:t>
      </w:r>
      <w:r w:rsidRPr="00D574B7">
        <w:t>You can serve a notice to vacate for the reasons outlined under Victorian rental laws.</w:t>
      </w:r>
    </w:p>
    <w:p w14:paraId="27C3B6C9" w14:textId="00F4ED9B" w:rsidR="00876C35" w:rsidRDefault="00F57315" w:rsidP="00876C35">
      <w:pPr>
        <w:pStyle w:val="Heading2"/>
      </w:pPr>
      <w:r>
        <w:t>Slide ten</w:t>
      </w:r>
    </w:p>
    <w:p w14:paraId="5F79D8D0" w14:textId="4B134B92" w:rsidR="00876C35" w:rsidRDefault="00876C35" w:rsidP="00876C35">
      <w:pPr>
        <w:pStyle w:val="Heading3"/>
      </w:pPr>
      <w:r>
        <w:t>Starting an agreement: Steps</w:t>
      </w:r>
    </w:p>
    <w:p w14:paraId="3E47038B" w14:textId="3C92BFA7" w:rsidR="00F94DB1" w:rsidRDefault="00F94DB1" w:rsidP="00F94DB1">
      <w:r>
        <w:t>This slide has a flowchart of steps as listed:</w:t>
      </w:r>
    </w:p>
    <w:p w14:paraId="64CF49F3" w14:textId="3001F11E" w:rsidR="00F94DB1" w:rsidRDefault="00F94DB1" w:rsidP="00F94DB1">
      <w:r>
        <w:t>Step one: Choose an agreement</w:t>
      </w:r>
    </w:p>
    <w:p w14:paraId="34E90C32" w14:textId="77777777" w:rsidR="00F94DB1" w:rsidRPr="00F94DB1" w:rsidRDefault="00F94DB1" w:rsidP="00F94DB1">
      <w:r>
        <w:t xml:space="preserve">Step two: </w:t>
      </w:r>
      <w:r w:rsidRPr="00F94DB1">
        <w:t>Download the agreement and information statement from the CAV website</w:t>
      </w:r>
    </w:p>
    <w:p w14:paraId="1E01477E" w14:textId="77777777" w:rsidR="00F94DB1" w:rsidRPr="00F94DB1" w:rsidRDefault="00F94DB1" w:rsidP="00F94DB1">
      <w:r>
        <w:t xml:space="preserve">Step three: </w:t>
      </w:r>
      <w:r w:rsidRPr="00F94DB1">
        <w:t>Give the agreement and information statement to the resident and support person (if any)</w:t>
      </w:r>
    </w:p>
    <w:p w14:paraId="073E9F10" w14:textId="77777777" w:rsidR="00F94DB1" w:rsidRPr="00F94DB1" w:rsidRDefault="00F94DB1" w:rsidP="00F94DB1">
      <w:r>
        <w:t xml:space="preserve">Step four: </w:t>
      </w:r>
      <w:r w:rsidRPr="00F94DB1">
        <w:t>Explain the information statement to the resident in a way they can understand</w:t>
      </w:r>
    </w:p>
    <w:p w14:paraId="3647B5C8" w14:textId="77777777" w:rsidR="00F94DB1" w:rsidRPr="00F94DB1" w:rsidRDefault="00F94DB1" w:rsidP="00F94DB1">
      <w:r>
        <w:t xml:space="preserve">Step five: </w:t>
      </w:r>
      <w:r w:rsidRPr="00F94DB1">
        <w:t>Enter into/establish agreement at least seven days after you gave the resident and support person the agreement</w:t>
      </w:r>
    </w:p>
    <w:p w14:paraId="204AC640" w14:textId="53F353E6" w:rsidR="00F94DB1" w:rsidRDefault="00F94DB1" w:rsidP="00F94DB1">
      <w:r>
        <w:t xml:space="preserve">Notify CAV: </w:t>
      </w:r>
      <w:r w:rsidRPr="00F94DB1">
        <w:t>Notify CAV within 14 days of entering into/establishing an SDA residency agreement</w:t>
      </w:r>
    </w:p>
    <w:p w14:paraId="38E672DA" w14:textId="3DEFF8D6" w:rsidR="00F94DB1" w:rsidRPr="00F94DB1" w:rsidRDefault="00F94DB1" w:rsidP="00F94DB1">
      <w:r>
        <w:t xml:space="preserve">Link to </w:t>
      </w:r>
      <w:hyperlink r:id="rId7" w:history="1">
        <w:r w:rsidRPr="00F94DB1">
          <w:rPr>
            <w:rStyle w:val="Hyperlink"/>
          </w:rPr>
          <w:t>CAV website</w:t>
        </w:r>
      </w:hyperlink>
    </w:p>
    <w:p w14:paraId="1E59AF34" w14:textId="5629779A" w:rsidR="00876C35" w:rsidRPr="00876C35" w:rsidRDefault="00F57315" w:rsidP="00876C35">
      <w:pPr>
        <w:pStyle w:val="Heading2"/>
      </w:pPr>
      <w:r>
        <w:t>Slide eleven</w:t>
      </w:r>
    </w:p>
    <w:p w14:paraId="29E4F7C5" w14:textId="77777777" w:rsidR="00220384" w:rsidRDefault="00220384" w:rsidP="00220384">
      <w:r>
        <w:t xml:space="preserve">Got a question? Ask now! </w:t>
      </w:r>
      <w:proofErr w:type="spellStart"/>
      <w:r>
        <w:t>Nds.org.au</w:t>
      </w:r>
      <w:proofErr w:type="spellEnd"/>
      <w:r>
        <w:t>/helpdesk</w:t>
      </w:r>
    </w:p>
    <w:p w14:paraId="500201E7" w14:textId="77777777" w:rsidR="00220384" w:rsidRDefault="00220384" w:rsidP="00220384">
      <w:r>
        <w:t>For all of your questions on NDIS, SDA/</w:t>
      </w:r>
      <w:proofErr w:type="spellStart"/>
      <w:r>
        <w:t>SIL</w:t>
      </w:r>
      <w:proofErr w:type="spellEnd"/>
      <w:r>
        <w:t>, NDIS Quality and Safeguards and any other disability related question.</w:t>
      </w:r>
    </w:p>
    <w:p w14:paraId="780FE3BD" w14:textId="77777777" w:rsidR="00220384" w:rsidRDefault="00220384" w:rsidP="00220384">
      <w:r>
        <w:t>This slide has an image of a computer with a happy face.</w:t>
      </w:r>
    </w:p>
    <w:p w14:paraId="01C9E089" w14:textId="079C9A12" w:rsidR="00876C35" w:rsidRDefault="00F57315" w:rsidP="00220384">
      <w:pPr>
        <w:pStyle w:val="Heading2"/>
      </w:pPr>
      <w:r>
        <w:t>Slide twelve</w:t>
      </w:r>
      <w:bookmarkStart w:id="0" w:name="_GoBack"/>
      <w:bookmarkEnd w:id="0"/>
    </w:p>
    <w:p w14:paraId="33DD34D3" w14:textId="77777777" w:rsidR="00220384" w:rsidRDefault="00220384" w:rsidP="00220384">
      <w:r>
        <w:t>NDS logo image</w:t>
      </w:r>
    </w:p>
    <w:p w14:paraId="48405632" w14:textId="77777777" w:rsidR="00220384" w:rsidRPr="00931034" w:rsidRDefault="00220384" w:rsidP="00220384">
      <w:r w:rsidRPr="00931034">
        <w:rPr>
          <w:lang w:val="en-US"/>
        </w:rPr>
        <w:t>National Disability Services Limited (NDS) believes that the information contained in this presentation is correct at the time of publishing</w:t>
      </w:r>
      <w:r>
        <w:rPr>
          <w:lang w:val="en-US"/>
        </w:rPr>
        <w:t>, April 2020</w:t>
      </w:r>
      <w:r w:rsidRPr="00931034">
        <w:rPr>
          <w:lang w:val="en-US"/>
        </w:rPr>
        <w:t xml:space="preserve">. However, NDS reserves the right to vary any of the content without further notice. The information provided in this presentation should not be relied on instead of other legal, medical, financial or professional advice.  </w:t>
      </w:r>
    </w:p>
    <w:p w14:paraId="6737AA4E" w14:textId="77777777" w:rsidR="00220384" w:rsidRPr="00931034" w:rsidRDefault="00220384" w:rsidP="00220384">
      <w:r>
        <w:t>End of document.</w:t>
      </w:r>
    </w:p>
    <w:p w14:paraId="2F1753A4" w14:textId="77777777" w:rsidR="00220384" w:rsidRPr="00220384" w:rsidRDefault="00220384" w:rsidP="00220384">
      <w:pPr>
        <w:rPr>
          <w:b/>
        </w:rPr>
      </w:pPr>
    </w:p>
    <w:sectPr w:rsidR="00220384" w:rsidRPr="00220384" w:rsidSect="00C25D37">
      <w:headerReference w:type="default" r:id="rId8"/>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511" w14:textId="77777777" w:rsidR="006F3622" w:rsidRDefault="006F3622" w:rsidP="00D368C0">
      <w:pPr>
        <w:spacing w:before="0"/>
      </w:pPr>
      <w:r>
        <w:separator/>
      </w:r>
    </w:p>
  </w:endnote>
  <w:endnote w:type="continuationSeparator" w:id="0">
    <w:p w14:paraId="404BB823" w14:textId="77777777" w:rsidR="006F3622" w:rsidRDefault="006F3622"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5557" w14:textId="77777777" w:rsidR="006F3622" w:rsidRDefault="006F3622" w:rsidP="00D368C0">
      <w:pPr>
        <w:spacing w:before="0"/>
      </w:pPr>
      <w:r>
        <w:separator/>
      </w:r>
    </w:p>
  </w:footnote>
  <w:footnote w:type="continuationSeparator" w:id="0">
    <w:p w14:paraId="7A79AC57" w14:textId="77777777" w:rsidR="006F3622" w:rsidRDefault="006F3622"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3383" w14:textId="76A5EDAB" w:rsidR="00B4347C" w:rsidRDefault="00B4347C">
    <w:pPr>
      <w:pStyle w:val="Header"/>
      <w:jc w:val="right"/>
    </w:pPr>
  </w:p>
  <w:p w14:paraId="31CC16BC" w14:textId="77777777" w:rsidR="00B4347C" w:rsidRDefault="00B43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765BA0"/>
    <w:multiLevelType w:val="hybridMultilevel"/>
    <w:tmpl w:val="951A7FDC"/>
    <w:lvl w:ilvl="0" w:tplc="B468B268">
      <w:start w:val="1"/>
      <w:numFmt w:val="bullet"/>
      <w:lvlText w:val="•"/>
      <w:lvlJc w:val="left"/>
      <w:pPr>
        <w:tabs>
          <w:tab w:val="num" w:pos="720"/>
        </w:tabs>
        <w:ind w:left="720" w:hanging="360"/>
      </w:pPr>
      <w:rPr>
        <w:rFonts w:ascii="Arial" w:hAnsi="Arial" w:hint="default"/>
      </w:rPr>
    </w:lvl>
    <w:lvl w:ilvl="1" w:tplc="E272C2DE" w:tentative="1">
      <w:start w:val="1"/>
      <w:numFmt w:val="bullet"/>
      <w:lvlText w:val="•"/>
      <w:lvlJc w:val="left"/>
      <w:pPr>
        <w:tabs>
          <w:tab w:val="num" w:pos="1440"/>
        </w:tabs>
        <w:ind w:left="1440" w:hanging="360"/>
      </w:pPr>
      <w:rPr>
        <w:rFonts w:ascii="Arial" w:hAnsi="Arial" w:hint="default"/>
      </w:rPr>
    </w:lvl>
    <w:lvl w:ilvl="2" w:tplc="3E280AB4" w:tentative="1">
      <w:start w:val="1"/>
      <w:numFmt w:val="bullet"/>
      <w:lvlText w:val="•"/>
      <w:lvlJc w:val="left"/>
      <w:pPr>
        <w:tabs>
          <w:tab w:val="num" w:pos="2160"/>
        </w:tabs>
        <w:ind w:left="2160" w:hanging="360"/>
      </w:pPr>
      <w:rPr>
        <w:rFonts w:ascii="Arial" w:hAnsi="Arial" w:hint="default"/>
      </w:rPr>
    </w:lvl>
    <w:lvl w:ilvl="3" w:tplc="13700E52" w:tentative="1">
      <w:start w:val="1"/>
      <w:numFmt w:val="bullet"/>
      <w:lvlText w:val="•"/>
      <w:lvlJc w:val="left"/>
      <w:pPr>
        <w:tabs>
          <w:tab w:val="num" w:pos="2880"/>
        </w:tabs>
        <w:ind w:left="2880" w:hanging="360"/>
      </w:pPr>
      <w:rPr>
        <w:rFonts w:ascii="Arial" w:hAnsi="Arial" w:hint="default"/>
      </w:rPr>
    </w:lvl>
    <w:lvl w:ilvl="4" w:tplc="D5247704" w:tentative="1">
      <w:start w:val="1"/>
      <w:numFmt w:val="bullet"/>
      <w:lvlText w:val="•"/>
      <w:lvlJc w:val="left"/>
      <w:pPr>
        <w:tabs>
          <w:tab w:val="num" w:pos="3600"/>
        </w:tabs>
        <w:ind w:left="3600" w:hanging="360"/>
      </w:pPr>
      <w:rPr>
        <w:rFonts w:ascii="Arial" w:hAnsi="Arial" w:hint="default"/>
      </w:rPr>
    </w:lvl>
    <w:lvl w:ilvl="5" w:tplc="65F4DFDE" w:tentative="1">
      <w:start w:val="1"/>
      <w:numFmt w:val="bullet"/>
      <w:lvlText w:val="•"/>
      <w:lvlJc w:val="left"/>
      <w:pPr>
        <w:tabs>
          <w:tab w:val="num" w:pos="4320"/>
        </w:tabs>
        <w:ind w:left="4320" w:hanging="360"/>
      </w:pPr>
      <w:rPr>
        <w:rFonts w:ascii="Arial" w:hAnsi="Arial" w:hint="default"/>
      </w:rPr>
    </w:lvl>
    <w:lvl w:ilvl="6" w:tplc="F8962182" w:tentative="1">
      <w:start w:val="1"/>
      <w:numFmt w:val="bullet"/>
      <w:lvlText w:val="•"/>
      <w:lvlJc w:val="left"/>
      <w:pPr>
        <w:tabs>
          <w:tab w:val="num" w:pos="5040"/>
        </w:tabs>
        <w:ind w:left="5040" w:hanging="360"/>
      </w:pPr>
      <w:rPr>
        <w:rFonts w:ascii="Arial" w:hAnsi="Arial" w:hint="default"/>
      </w:rPr>
    </w:lvl>
    <w:lvl w:ilvl="7" w:tplc="C47690D6" w:tentative="1">
      <w:start w:val="1"/>
      <w:numFmt w:val="bullet"/>
      <w:lvlText w:val="•"/>
      <w:lvlJc w:val="left"/>
      <w:pPr>
        <w:tabs>
          <w:tab w:val="num" w:pos="5760"/>
        </w:tabs>
        <w:ind w:left="5760" w:hanging="360"/>
      </w:pPr>
      <w:rPr>
        <w:rFonts w:ascii="Arial" w:hAnsi="Arial" w:hint="default"/>
      </w:rPr>
    </w:lvl>
    <w:lvl w:ilvl="8" w:tplc="CB5C3B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3C53EB"/>
    <w:multiLevelType w:val="hybridMultilevel"/>
    <w:tmpl w:val="6742E3BE"/>
    <w:lvl w:ilvl="0" w:tplc="9D30D434">
      <w:start w:val="1"/>
      <w:numFmt w:val="bullet"/>
      <w:lvlText w:val="•"/>
      <w:lvlJc w:val="left"/>
      <w:pPr>
        <w:tabs>
          <w:tab w:val="num" w:pos="720"/>
        </w:tabs>
        <w:ind w:left="720" w:hanging="360"/>
      </w:pPr>
      <w:rPr>
        <w:rFonts w:ascii="Arial" w:hAnsi="Arial" w:hint="default"/>
      </w:rPr>
    </w:lvl>
    <w:lvl w:ilvl="1" w:tplc="57A029B8" w:tentative="1">
      <w:start w:val="1"/>
      <w:numFmt w:val="bullet"/>
      <w:lvlText w:val="•"/>
      <w:lvlJc w:val="left"/>
      <w:pPr>
        <w:tabs>
          <w:tab w:val="num" w:pos="1440"/>
        </w:tabs>
        <w:ind w:left="1440" w:hanging="360"/>
      </w:pPr>
      <w:rPr>
        <w:rFonts w:ascii="Arial" w:hAnsi="Arial" w:hint="default"/>
      </w:rPr>
    </w:lvl>
    <w:lvl w:ilvl="2" w:tplc="C1DEE490" w:tentative="1">
      <w:start w:val="1"/>
      <w:numFmt w:val="bullet"/>
      <w:lvlText w:val="•"/>
      <w:lvlJc w:val="left"/>
      <w:pPr>
        <w:tabs>
          <w:tab w:val="num" w:pos="2160"/>
        </w:tabs>
        <w:ind w:left="2160" w:hanging="360"/>
      </w:pPr>
      <w:rPr>
        <w:rFonts w:ascii="Arial" w:hAnsi="Arial" w:hint="default"/>
      </w:rPr>
    </w:lvl>
    <w:lvl w:ilvl="3" w:tplc="E8F6CAB0" w:tentative="1">
      <w:start w:val="1"/>
      <w:numFmt w:val="bullet"/>
      <w:lvlText w:val="•"/>
      <w:lvlJc w:val="left"/>
      <w:pPr>
        <w:tabs>
          <w:tab w:val="num" w:pos="2880"/>
        </w:tabs>
        <w:ind w:left="2880" w:hanging="360"/>
      </w:pPr>
      <w:rPr>
        <w:rFonts w:ascii="Arial" w:hAnsi="Arial" w:hint="default"/>
      </w:rPr>
    </w:lvl>
    <w:lvl w:ilvl="4" w:tplc="814A8A5C" w:tentative="1">
      <w:start w:val="1"/>
      <w:numFmt w:val="bullet"/>
      <w:lvlText w:val="•"/>
      <w:lvlJc w:val="left"/>
      <w:pPr>
        <w:tabs>
          <w:tab w:val="num" w:pos="3600"/>
        </w:tabs>
        <w:ind w:left="3600" w:hanging="360"/>
      </w:pPr>
      <w:rPr>
        <w:rFonts w:ascii="Arial" w:hAnsi="Arial" w:hint="default"/>
      </w:rPr>
    </w:lvl>
    <w:lvl w:ilvl="5" w:tplc="54163D7E" w:tentative="1">
      <w:start w:val="1"/>
      <w:numFmt w:val="bullet"/>
      <w:lvlText w:val="•"/>
      <w:lvlJc w:val="left"/>
      <w:pPr>
        <w:tabs>
          <w:tab w:val="num" w:pos="4320"/>
        </w:tabs>
        <w:ind w:left="4320" w:hanging="360"/>
      </w:pPr>
      <w:rPr>
        <w:rFonts w:ascii="Arial" w:hAnsi="Arial" w:hint="default"/>
      </w:rPr>
    </w:lvl>
    <w:lvl w:ilvl="6" w:tplc="8BAA6A20" w:tentative="1">
      <w:start w:val="1"/>
      <w:numFmt w:val="bullet"/>
      <w:lvlText w:val="•"/>
      <w:lvlJc w:val="left"/>
      <w:pPr>
        <w:tabs>
          <w:tab w:val="num" w:pos="5040"/>
        </w:tabs>
        <w:ind w:left="5040" w:hanging="360"/>
      </w:pPr>
      <w:rPr>
        <w:rFonts w:ascii="Arial" w:hAnsi="Arial" w:hint="default"/>
      </w:rPr>
    </w:lvl>
    <w:lvl w:ilvl="7" w:tplc="E97A9A34" w:tentative="1">
      <w:start w:val="1"/>
      <w:numFmt w:val="bullet"/>
      <w:lvlText w:val="•"/>
      <w:lvlJc w:val="left"/>
      <w:pPr>
        <w:tabs>
          <w:tab w:val="num" w:pos="5760"/>
        </w:tabs>
        <w:ind w:left="5760" w:hanging="360"/>
      </w:pPr>
      <w:rPr>
        <w:rFonts w:ascii="Arial" w:hAnsi="Arial" w:hint="default"/>
      </w:rPr>
    </w:lvl>
    <w:lvl w:ilvl="8" w:tplc="58DA0C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D54D7A"/>
    <w:multiLevelType w:val="hybridMultilevel"/>
    <w:tmpl w:val="F7949E6A"/>
    <w:lvl w:ilvl="0" w:tplc="E35A7FDE">
      <w:start w:val="1"/>
      <w:numFmt w:val="bullet"/>
      <w:lvlText w:val="•"/>
      <w:lvlJc w:val="left"/>
      <w:pPr>
        <w:tabs>
          <w:tab w:val="num" w:pos="720"/>
        </w:tabs>
        <w:ind w:left="720" w:hanging="360"/>
      </w:pPr>
      <w:rPr>
        <w:rFonts w:ascii="Arial" w:hAnsi="Arial" w:hint="default"/>
      </w:rPr>
    </w:lvl>
    <w:lvl w:ilvl="1" w:tplc="0E4AA948" w:tentative="1">
      <w:start w:val="1"/>
      <w:numFmt w:val="bullet"/>
      <w:lvlText w:val="•"/>
      <w:lvlJc w:val="left"/>
      <w:pPr>
        <w:tabs>
          <w:tab w:val="num" w:pos="1440"/>
        </w:tabs>
        <w:ind w:left="1440" w:hanging="360"/>
      </w:pPr>
      <w:rPr>
        <w:rFonts w:ascii="Arial" w:hAnsi="Arial" w:hint="default"/>
      </w:rPr>
    </w:lvl>
    <w:lvl w:ilvl="2" w:tplc="B742D924" w:tentative="1">
      <w:start w:val="1"/>
      <w:numFmt w:val="bullet"/>
      <w:lvlText w:val="•"/>
      <w:lvlJc w:val="left"/>
      <w:pPr>
        <w:tabs>
          <w:tab w:val="num" w:pos="2160"/>
        </w:tabs>
        <w:ind w:left="2160" w:hanging="360"/>
      </w:pPr>
      <w:rPr>
        <w:rFonts w:ascii="Arial" w:hAnsi="Arial" w:hint="default"/>
      </w:rPr>
    </w:lvl>
    <w:lvl w:ilvl="3" w:tplc="F91AE00E" w:tentative="1">
      <w:start w:val="1"/>
      <w:numFmt w:val="bullet"/>
      <w:lvlText w:val="•"/>
      <w:lvlJc w:val="left"/>
      <w:pPr>
        <w:tabs>
          <w:tab w:val="num" w:pos="2880"/>
        </w:tabs>
        <w:ind w:left="2880" w:hanging="360"/>
      </w:pPr>
      <w:rPr>
        <w:rFonts w:ascii="Arial" w:hAnsi="Arial" w:hint="default"/>
      </w:rPr>
    </w:lvl>
    <w:lvl w:ilvl="4" w:tplc="249CD274" w:tentative="1">
      <w:start w:val="1"/>
      <w:numFmt w:val="bullet"/>
      <w:lvlText w:val="•"/>
      <w:lvlJc w:val="left"/>
      <w:pPr>
        <w:tabs>
          <w:tab w:val="num" w:pos="3600"/>
        </w:tabs>
        <w:ind w:left="3600" w:hanging="360"/>
      </w:pPr>
      <w:rPr>
        <w:rFonts w:ascii="Arial" w:hAnsi="Arial" w:hint="default"/>
      </w:rPr>
    </w:lvl>
    <w:lvl w:ilvl="5" w:tplc="562659B4" w:tentative="1">
      <w:start w:val="1"/>
      <w:numFmt w:val="bullet"/>
      <w:lvlText w:val="•"/>
      <w:lvlJc w:val="left"/>
      <w:pPr>
        <w:tabs>
          <w:tab w:val="num" w:pos="4320"/>
        </w:tabs>
        <w:ind w:left="4320" w:hanging="360"/>
      </w:pPr>
      <w:rPr>
        <w:rFonts w:ascii="Arial" w:hAnsi="Arial" w:hint="default"/>
      </w:rPr>
    </w:lvl>
    <w:lvl w:ilvl="6" w:tplc="E104D416" w:tentative="1">
      <w:start w:val="1"/>
      <w:numFmt w:val="bullet"/>
      <w:lvlText w:val="•"/>
      <w:lvlJc w:val="left"/>
      <w:pPr>
        <w:tabs>
          <w:tab w:val="num" w:pos="5040"/>
        </w:tabs>
        <w:ind w:left="5040" w:hanging="360"/>
      </w:pPr>
      <w:rPr>
        <w:rFonts w:ascii="Arial" w:hAnsi="Arial" w:hint="default"/>
      </w:rPr>
    </w:lvl>
    <w:lvl w:ilvl="7" w:tplc="F2BA6F62" w:tentative="1">
      <w:start w:val="1"/>
      <w:numFmt w:val="bullet"/>
      <w:lvlText w:val="•"/>
      <w:lvlJc w:val="left"/>
      <w:pPr>
        <w:tabs>
          <w:tab w:val="num" w:pos="5760"/>
        </w:tabs>
        <w:ind w:left="5760" w:hanging="360"/>
      </w:pPr>
      <w:rPr>
        <w:rFonts w:ascii="Arial" w:hAnsi="Arial" w:hint="default"/>
      </w:rPr>
    </w:lvl>
    <w:lvl w:ilvl="8" w:tplc="8FC4E9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C87207"/>
    <w:multiLevelType w:val="hybridMultilevel"/>
    <w:tmpl w:val="748A36D0"/>
    <w:lvl w:ilvl="0" w:tplc="1E74CDB8">
      <w:start w:val="1"/>
      <w:numFmt w:val="bullet"/>
      <w:lvlText w:val="•"/>
      <w:lvlJc w:val="left"/>
      <w:pPr>
        <w:tabs>
          <w:tab w:val="num" w:pos="720"/>
        </w:tabs>
        <w:ind w:left="720" w:hanging="360"/>
      </w:pPr>
      <w:rPr>
        <w:rFonts w:ascii="Arial" w:hAnsi="Arial" w:hint="default"/>
      </w:rPr>
    </w:lvl>
    <w:lvl w:ilvl="1" w:tplc="CC36C5EE" w:tentative="1">
      <w:start w:val="1"/>
      <w:numFmt w:val="bullet"/>
      <w:lvlText w:val="•"/>
      <w:lvlJc w:val="left"/>
      <w:pPr>
        <w:tabs>
          <w:tab w:val="num" w:pos="1440"/>
        </w:tabs>
        <w:ind w:left="1440" w:hanging="360"/>
      </w:pPr>
      <w:rPr>
        <w:rFonts w:ascii="Arial" w:hAnsi="Arial" w:hint="default"/>
      </w:rPr>
    </w:lvl>
    <w:lvl w:ilvl="2" w:tplc="F7AE84A8" w:tentative="1">
      <w:start w:val="1"/>
      <w:numFmt w:val="bullet"/>
      <w:lvlText w:val="•"/>
      <w:lvlJc w:val="left"/>
      <w:pPr>
        <w:tabs>
          <w:tab w:val="num" w:pos="2160"/>
        </w:tabs>
        <w:ind w:left="2160" w:hanging="360"/>
      </w:pPr>
      <w:rPr>
        <w:rFonts w:ascii="Arial" w:hAnsi="Arial" w:hint="default"/>
      </w:rPr>
    </w:lvl>
    <w:lvl w:ilvl="3" w:tplc="B2588F6E" w:tentative="1">
      <w:start w:val="1"/>
      <w:numFmt w:val="bullet"/>
      <w:lvlText w:val="•"/>
      <w:lvlJc w:val="left"/>
      <w:pPr>
        <w:tabs>
          <w:tab w:val="num" w:pos="2880"/>
        </w:tabs>
        <w:ind w:left="2880" w:hanging="360"/>
      </w:pPr>
      <w:rPr>
        <w:rFonts w:ascii="Arial" w:hAnsi="Arial" w:hint="default"/>
      </w:rPr>
    </w:lvl>
    <w:lvl w:ilvl="4" w:tplc="F1F619DA" w:tentative="1">
      <w:start w:val="1"/>
      <w:numFmt w:val="bullet"/>
      <w:lvlText w:val="•"/>
      <w:lvlJc w:val="left"/>
      <w:pPr>
        <w:tabs>
          <w:tab w:val="num" w:pos="3600"/>
        </w:tabs>
        <w:ind w:left="3600" w:hanging="360"/>
      </w:pPr>
      <w:rPr>
        <w:rFonts w:ascii="Arial" w:hAnsi="Arial" w:hint="default"/>
      </w:rPr>
    </w:lvl>
    <w:lvl w:ilvl="5" w:tplc="3C225DD2" w:tentative="1">
      <w:start w:val="1"/>
      <w:numFmt w:val="bullet"/>
      <w:lvlText w:val="•"/>
      <w:lvlJc w:val="left"/>
      <w:pPr>
        <w:tabs>
          <w:tab w:val="num" w:pos="4320"/>
        </w:tabs>
        <w:ind w:left="4320" w:hanging="360"/>
      </w:pPr>
      <w:rPr>
        <w:rFonts w:ascii="Arial" w:hAnsi="Arial" w:hint="default"/>
      </w:rPr>
    </w:lvl>
    <w:lvl w:ilvl="6" w:tplc="BE5E9608" w:tentative="1">
      <w:start w:val="1"/>
      <w:numFmt w:val="bullet"/>
      <w:lvlText w:val="•"/>
      <w:lvlJc w:val="left"/>
      <w:pPr>
        <w:tabs>
          <w:tab w:val="num" w:pos="5040"/>
        </w:tabs>
        <w:ind w:left="5040" w:hanging="360"/>
      </w:pPr>
      <w:rPr>
        <w:rFonts w:ascii="Arial" w:hAnsi="Arial" w:hint="default"/>
      </w:rPr>
    </w:lvl>
    <w:lvl w:ilvl="7" w:tplc="1A7437E6" w:tentative="1">
      <w:start w:val="1"/>
      <w:numFmt w:val="bullet"/>
      <w:lvlText w:val="•"/>
      <w:lvlJc w:val="left"/>
      <w:pPr>
        <w:tabs>
          <w:tab w:val="num" w:pos="5760"/>
        </w:tabs>
        <w:ind w:left="5760" w:hanging="360"/>
      </w:pPr>
      <w:rPr>
        <w:rFonts w:ascii="Arial" w:hAnsi="Arial" w:hint="default"/>
      </w:rPr>
    </w:lvl>
    <w:lvl w:ilvl="8" w:tplc="EE34C0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B60A81"/>
    <w:multiLevelType w:val="hybridMultilevel"/>
    <w:tmpl w:val="58263E10"/>
    <w:lvl w:ilvl="0" w:tplc="788866A6">
      <w:start w:val="1"/>
      <w:numFmt w:val="bullet"/>
      <w:lvlText w:val="•"/>
      <w:lvlJc w:val="left"/>
      <w:pPr>
        <w:tabs>
          <w:tab w:val="num" w:pos="720"/>
        </w:tabs>
        <w:ind w:left="720" w:hanging="360"/>
      </w:pPr>
      <w:rPr>
        <w:rFonts w:ascii="Arial" w:hAnsi="Arial" w:hint="default"/>
      </w:rPr>
    </w:lvl>
    <w:lvl w:ilvl="1" w:tplc="554CC2AC" w:tentative="1">
      <w:start w:val="1"/>
      <w:numFmt w:val="bullet"/>
      <w:lvlText w:val="•"/>
      <w:lvlJc w:val="left"/>
      <w:pPr>
        <w:tabs>
          <w:tab w:val="num" w:pos="1440"/>
        </w:tabs>
        <w:ind w:left="1440" w:hanging="360"/>
      </w:pPr>
      <w:rPr>
        <w:rFonts w:ascii="Arial" w:hAnsi="Arial" w:hint="default"/>
      </w:rPr>
    </w:lvl>
    <w:lvl w:ilvl="2" w:tplc="B70CDEE0" w:tentative="1">
      <w:start w:val="1"/>
      <w:numFmt w:val="bullet"/>
      <w:lvlText w:val="•"/>
      <w:lvlJc w:val="left"/>
      <w:pPr>
        <w:tabs>
          <w:tab w:val="num" w:pos="2160"/>
        </w:tabs>
        <w:ind w:left="2160" w:hanging="360"/>
      </w:pPr>
      <w:rPr>
        <w:rFonts w:ascii="Arial" w:hAnsi="Arial" w:hint="default"/>
      </w:rPr>
    </w:lvl>
    <w:lvl w:ilvl="3" w:tplc="C28E589A" w:tentative="1">
      <w:start w:val="1"/>
      <w:numFmt w:val="bullet"/>
      <w:lvlText w:val="•"/>
      <w:lvlJc w:val="left"/>
      <w:pPr>
        <w:tabs>
          <w:tab w:val="num" w:pos="2880"/>
        </w:tabs>
        <w:ind w:left="2880" w:hanging="360"/>
      </w:pPr>
      <w:rPr>
        <w:rFonts w:ascii="Arial" w:hAnsi="Arial" w:hint="default"/>
      </w:rPr>
    </w:lvl>
    <w:lvl w:ilvl="4" w:tplc="8C66CBCC" w:tentative="1">
      <w:start w:val="1"/>
      <w:numFmt w:val="bullet"/>
      <w:lvlText w:val="•"/>
      <w:lvlJc w:val="left"/>
      <w:pPr>
        <w:tabs>
          <w:tab w:val="num" w:pos="3600"/>
        </w:tabs>
        <w:ind w:left="3600" w:hanging="360"/>
      </w:pPr>
      <w:rPr>
        <w:rFonts w:ascii="Arial" w:hAnsi="Arial" w:hint="default"/>
      </w:rPr>
    </w:lvl>
    <w:lvl w:ilvl="5" w:tplc="CCC05CBE" w:tentative="1">
      <w:start w:val="1"/>
      <w:numFmt w:val="bullet"/>
      <w:lvlText w:val="•"/>
      <w:lvlJc w:val="left"/>
      <w:pPr>
        <w:tabs>
          <w:tab w:val="num" w:pos="4320"/>
        </w:tabs>
        <w:ind w:left="4320" w:hanging="360"/>
      </w:pPr>
      <w:rPr>
        <w:rFonts w:ascii="Arial" w:hAnsi="Arial" w:hint="default"/>
      </w:rPr>
    </w:lvl>
    <w:lvl w:ilvl="6" w:tplc="5C9EB436" w:tentative="1">
      <w:start w:val="1"/>
      <w:numFmt w:val="bullet"/>
      <w:lvlText w:val="•"/>
      <w:lvlJc w:val="left"/>
      <w:pPr>
        <w:tabs>
          <w:tab w:val="num" w:pos="5040"/>
        </w:tabs>
        <w:ind w:left="5040" w:hanging="360"/>
      </w:pPr>
      <w:rPr>
        <w:rFonts w:ascii="Arial" w:hAnsi="Arial" w:hint="default"/>
      </w:rPr>
    </w:lvl>
    <w:lvl w:ilvl="7" w:tplc="FADC92B0" w:tentative="1">
      <w:start w:val="1"/>
      <w:numFmt w:val="bullet"/>
      <w:lvlText w:val="•"/>
      <w:lvlJc w:val="left"/>
      <w:pPr>
        <w:tabs>
          <w:tab w:val="num" w:pos="5760"/>
        </w:tabs>
        <w:ind w:left="5760" w:hanging="360"/>
      </w:pPr>
      <w:rPr>
        <w:rFonts w:ascii="Arial" w:hAnsi="Arial" w:hint="default"/>
      </w:rPr>
    </w:lvl>
    <w:lvl w:ilvl="8" w:tplc="E6A4C4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F212AF"/>
    <w:multiLevelType w:val="hybridMultilevel"/>
    <w:tmpl w:val="DA42A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512999"/>
    <w:multiLevelType w:val="hybridMultilevel"/>
    <w:tmpl w:val="1E088A32"/>
    <w:lvl w:ilvl="0" w:tplc="439C450A">
      <w:start w:val="1"/>
      <w:numFmt w:val="bullet"/>
      <w:lvlText w:val="•"/>
      <w:lvlJc w:val="left"/>
      <w:pPr>
        <w:tabs>
          <w:tab w:val="num" w:pos="720"/>
        </w:tabs>
        <w:ind w:left="720" w:hanging="360"/>
      </w:pPr>
      <w:rPr>
        <w:rFonts w:ascii="Arial" w:hAnsi="Arial" w:hint="default"/>
      </w:rPr>
    </w:lvl>
    <w:lvl w:ilvl="1" w:tplc="096CD9E4" w:tentative="1">
      <w:start w:val="1"/>
      <w:numFmt w:val="bullet"/>
      <w:lvlText w:val="•"/>
      <w:lvlJc w:val="left"/>
      <w:pPr>
        <w:tabs>
          <w:tab w:val="num" w:pos="1440"/>
        </w:tabs>
        <w:ind w:left="1440" w:hanging="360"/>
      </w:pPr>
      <w:rPr>
        <w:rFonts w:ascii="Arial" w:hAnsi="Arial" w:hint="default"/>
      </w:rPr>
    </w:lvl>
    <w:lvl w:ilvl="2" w:tplc="A4EEEFDC" w:tentative="1">
      <w:start w:val="1"/>
      <w:numFmt w:val="bullet"/>
      <w:lvlText w:val="•"/>
      <w:lvlJc w:val="left"/>
      <w:pPr>
        <w:tabs>
          <w:tab w:val="num" w:pos="2160"/>
        </w:tabs>
        <w:ind w:left="2160" w:hanging="360"/>
      </w:pPr>
      <w:rPr>
        <w:rFonts w:ascii="Arial" w:hAnsi="Arial" w:hint="default"/>
      </w:rPr>
    </w:lvl>
    <w:lvl w:ilvl="3" w:tplc="7F72D6E8" w:tentative="1">
      <w:start w:val="1"/>
      <w:numFmt w:val="bullet"/>
      <w:lvlText w:val="•"/>
      <w:lvlJc w:val="left"/>
      <w:pPr>
        <w:tabs>
          <w:tab w:val="num" w:pos="2880"/>
        </w:tabs>
        <w:ind w:left="2880" w:hanging="360"/>
      </w:pPr>
      <w:rPr>
        <w:rFonts w:ascii="Arial" w:hAnsi="Arial" w:hint="default"/>
      </w:rPr>
    </w:lvl>
    <w:lvl w:ilvl="4" w:tplc="0B7C1668" w:tentative="1">
      <w:start w:val="1"/>
      <w:numFmt w:val="bullet"/>
      <w:lvlText w:val="•"/>
      <w:lvlJc w:val="left"/>
      <w:pPr>
        <w:tabs>
          <w:tab w:val="num" w:pos="3600"/>
        </w:tabs>
        <w:ind w:left="3600" w:hanging="360"/>
      </w:pPr>
      <w:rPr>
        <w:rFonts w:ascii="Arial" w:hAnsi="Arial" w:hint="default"/>
      </w:rPr>
    </w:lvl>
    <w:lvl w:ilvl="5" w:tplc="D26054A0" w:tentative="1">
      <w:start w:val="1"/>
      <w:numFmt w:val="bullet"/>
      <w:lvlText w:val="•"/>
      <w:lvlJc w:val="left"/>
      <w:pPr>
        <w:tabs>
          <w:tab w:val="num" w:pos="4320"/>
        </w:tabs>
        <w:ind w:left="4320" w:hanging="360"/>
      </w:pPr>
      <w:rPr>
        <w:rFonts w:ascii="Arial" w:hAnsi="Arial" w:hint="default"/>
      </w:rPr>
    </w:lvl>
    <w:lvl w:ilvl="6" w:tplc="02D01ED2" w:tentative="1">
      <w:start w:val="1"/>
      <w:numFmt w:val="bullet"/>
      <w:lvlText w:val="•"/>
      <w:lvlJc w:val="left"/>
      <w:pPr>
        <w:tabs>
          <w:tab w:val="num" w:pos="5040"/>
        </w:tabs>
        <w:ind w:left="5040" w:hanging="360"/>
      </w:pPr>
      <w:rPr>
        <w:rFonts w:ascii="Arial" w:hAnsi="Arial" w:hint="default"/>
      </w:rPr>
    </w:lvl>
    <w:lvl w:ilvl="7" w:tplc="C4B60E18" w:tentative="1">
      <w:start w:val="1"/>
      <w:numFmt w:val="bullet"/>
      <w:lvlText w:val="•"/>
      <w:lvlJc w:val="left"/>
      <w:pPr>
        <w:tabs>
          <w:tab w:val="num" w:pos="5760"/>
        </w:tabs>
        <w:ind w:left="5760" w:hanging="360"/>
      </w:pPr>
      <w:rPr>
        <w:rFonts w:ascii="Arial" w:hAnsi="Arial" w:hint="default"/>
      </w:rPr>
    </w:lvl>
    <w:lvl w:ilvl="8" w:tplc="2918E0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AB654C"/>
    <w:multiLevelType w:val="hybridMultilevel"/>
    <w:tmpl w:val="BFA83482"/>
    <w:lvl w:ilvl="0" w:tplc="E54EA3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980D8D"/>
    <w:multiLevelType w:val="hybridMultilevel"/>
    <w:tmpl w:val="0470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B7034C"/>
    <w:multiLevelType w:val="hybridMultilevel"/>
    <w:tmpl w:val="5CAC881E"/>
    <w:lvl w:ilvl="0" w:tplc="46826E1A">
      <w:start w:val="1"/>
      <w:numFmt w:val="bullet"/>
      <w:lvlText w:val="•"/>
      <w:lvlJc w:val="left"/>
      <w:pPr>
        <w:tabs>
          <w:tab w:val="num" w:pos="720"/>
        </w:tabs>
        <w:ind w:left="720" w:hanging="360"/>
      </w:pPr>
      <w:rPr>
        <w:rFonts w:ascii="Arial" w:hAnsi="Arial" w:hint="default"/>
      </w:rPr>
    </w:lvl>
    <w:lvl w:ilvl="1" w:tplc="4B4AA712" w:tentative="1">
      <w:start w:val="1"/>
      <w:numFmt w:val="bullet"/>
      <w:lvlText w:val="•"/>
      <w:lvlJc w:val="left"/>
      <w:pPr>
        <w:tabs>
          <w:tab w:val="num" w:pos="1440"/>
        </w:tabs>
        <w:ind w:left="1440" w:hanging="360"/>
      </w:pPr>
      <w:rPr>
        <w:rFonts w:ascii="Arial" w:hAnsi="Arial" w:hint="default"/>
      </w:rPr>
    </w:lvl>
    <w:lvl w:ilvl="2" w:tplc="E3F6130A" w:tentative="1">
      <w:start w:val="1"/>
      <w:numFmt w:val="bullet"/>
      <w:lvlText w:val="•"/>
      <w:lvlJc w:val="left"/>
      <w:pPr>
        <w:tabs>
          <w:tab w:val="num" w:pos="2160"/>
        </w:tabs>
        <w:ind w:left="2160" w:hanging="360"/>
      </w:pPr>
      <w:rPr>
        <w:rFonts w:ascii="Arial" w:hAnsi="Arial" w:hint="default"/>
      </w:rPr>
    </w:lvl>
    <w:lvl w:ilvl="3" w:tplc="ACACBC20" w:tentative="1">
      <w:start w:val="1"/>
      <w:numFmt w:val="bullet"/>
      <w:lvlText w:val="•"/>
      <w:lvlJc w:val="left"/>
      <w:pPr>
        <w:tabs>
          <w:tab w:val="num" w:pos="2880"/>
        </w:tabs>
        <w:ind w:left="2880" w:hanging="360"/>
      </w:pPr>
      <w:rPr>
        <w:rFonts w:ascii="Arial" w:hAnsi="Arial" w:hint="default"/>
      </w:rPr>
    </w:lvl>
    <w:lvl w:ilvl="4" w:tplc="B2748E60" w:tentative="1">
      <w:start w:val="1"/>
      <w:numFmt w:val="bullet"/>
      <w:lvlText w:val="•"/>
      <w:lvlJc w:val="left"/>
      <w:pPr>
        <w:tabs>
          <w:tab w:val="num" w:pos="3600"/>
        </w:tabs>
        <w:ind w:left="3600" w:hanging="360"/>
      </w:pPr>
      <w:rPr>
        <w:rFonts w:ascii="Arial" w:hAnsi="Arial" w:hint="default"/>
      </w:rPr>
    </w:lvl>
    <w:lvl w:ilvl="5" w:tplc="6044AAE4" w:tentative="1">
      <w:start w:val="1"/>
      <w:numFmt w:val="bullet"/>
      <w:lvlText w:val="•"/>
      <w:lvlJc w:val="left"/>
      <w:pPr>
        <w:tabs>
          <w:tab w:val="num" w:pos="4320"/>
        </w:tabs>
        <w:ind w:left="4320" w:hanging="360"/>
      </w:pPr>
      <w:rPr>
        <w:rFonts w:ascii="Arial" w:hAnsi="Arial" w:hint="default"/>
      </w:rPr>
    </w:lvl>
    <w:lvl w:ilvl="6" w:tplc="60D41DD0" w:tentative="1">
      <w:start w:val="1"/>
      <w:numFmt w:val="bullet"/>
      <w:lvlText w:val="•"/>
      <w:lvlJc w:val="left"/>
      <w:pPr>
        <w:tabs>
          <w:tab w:val="num" w:pos="5040"/>
        </w:tabs>
        <w:ind w:left="5040" w:hanging="360"/>
      </w:pPr>
      <w:rPr>
        <w:rFonts w:ascii="Arial" w:hAnsi="Arial" w:hint="default"/>
      </w:rPr>
    </w:lvl>
    <w:lvl w:ilvl="7" w:tplc="14FA3ADE" w:tentative="1">
      <w:start w:val="1"/>
      <w:numFmt w:val="bullet"/>
      <w:lvlText w:val="•"/>
      <w:lvlJc w:val="left"/>
      <w:pPr>
        <w:tabs>
          <w:tab w:val="num" w:pos="5760"/>
        </w:tabs>
        <w:ind w:left="5760" w:hanging="360"/>
      </w:pPr>
      <w:rPr>
        <w:rFonts w:ascii="Arial" w:hAnsi="Arial" w:hint="default"/>
      </w:rPr>
    </w:lvl>
    <w:lvl w:ilvl="8" w:tplc="E97865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CE464A"/>
    <w:multiLevelType w:val="hybridMultilevel"/>
    <w:tmpl w:val="6E0C4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1"/>
  </w:num>
  <w:num w:numId="5">
    <w:abstractNumId w:val="6"/>
  </w:num>
  <w:num w:numId="6">
    <w:abstractNumId w:val="5"/>
  </w:num>
  <w:num w:numId="7">
    <w:abstractNumId w:val="10"/>
  </w:num>
  <w:num w:numId="8">
    <w:abstractNumId w:val="3"/>
  </w:num>
  <w:num w:numId="9">
    <w:abstractNumId w:val="4"/>
  </w:num>
  <w:num w:numId="10">
    <w:abstractNumId w:val="1"/>
  </w:num>
  <w:num w:numId="11">
    <w:abstractNumId w:val="2"/>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3735"/>
    <w:rsid w:val="00032F72"/>
    <w:rsid w:val="00074C94"/>
    <w:rsid w:val="000813FD"/>
    <w:rsid w:val="000B4382"/>
    <w:rsid w:val="000C1AC7"/>
    <w:rsid w:val="000D0262"/>
    <w:rsid w:val="000E1C9D"/>
    <w:rsid w:val="000F07E6"/>
    <w:rsid w:val="000F6E9B"/>
    <w:rsid w:val="001131C4"/>
    <w:rsid w:val="00127EFB"/>
    <w:rsid w:val="00167866"/>
    <w:rsid w:val="00167AA4"/>
    <w:rsid w:val="00167F39"/>
    <w:rsid w:val="00183B24"/>
    <w:rsid w:val="001847A8"/>
    <w:rsid w:val="00194476"/>
    <w:rsid w:val="001A1B98"/>
    <w:rsid w:val="001A1FF7"/>
    <w:rsid w:val="001A33BC"/>
    <w:rsid w:val="001C24B2"/>
    <w:rsid w:val="001F0501"/>
    <w:rsid w:val="00220384"/>
    <w:rsid w:val="002334D0"/>
    <w:rsid w:val="00235936"/>
    <w:rsid w:val="002471A6"/>
    <w:rsid w:val="00252723"/>
    <w:rsid w:val="002606A3"/>
    <w:rsid w:val="00266029"/>
    <w:rsid w:val="00275DD6"/>
    <w:rsid w:val="00277135"/>
    <w:rsid w:val="002A19A7"/>
    <w:rsid w:val="002B1A0D"/>
    <w:rsid w:val="002B4035"/>
    <w:rsid w:val="002D51BF"/>
    <w:rsid w:val="002F24E1"/>
    <w:rsid w:val="00312077"/>
    <w:rsid w:val="00331329"/>
    <w:rsid w:val="00362CB2"/>
    <w:rsid w:val="00374762"/>
    <w:rsid w:val="003A1BFD"/>
    <w:rsid w:val="003B7153"/>
    <w:rsid w:val="003E63DE"/>
    <w:rsid w:val="003F145A"/>
    <w:rsid w:val="0043609D"/>
    <w:rsid w:val="00454DDA"/>
    <w:rsid w:val="004934CB"/>
    <w:rsid w:val="004B2405"/>
    <w:rsid w:val="004E54AE"/>
    <w:rsid w:val="00503340"/>
    <w:rsid w:val="0051791C"/>
    <w:rsid w:val="005201FC"/>
    <w:rsid w:val="00531F03"/>
    <w:rsid w:val="00533EA7"/>
    <w:rsid w:val="00556B54"/>
    <w:rsid w:val="00565C00"/>
    <w:rsid w:val="00573AA8"/>
    <w:rsid w:val="005A52F5"/>
    <w:rsid w:val="005B2ED4"/>
    <w:rsid w:val="005B7B65"/>
    <w:rsid w:val="00637FF7"/>
    <w:rsid w:val="00640D79"/>
    <w:rsid w:val="00646253"/>
    <w:rsid w:val="006A58B1"/>
    <w:rsid w:val="006B63BB"/>
    <w:rsid w:val="006D1BA5"/>
    <w:rsid w:val="006F3622"/>
    <w:rsid w:val="00702C8C"/>
    <w:rsid w:val="007041A0"/>
    <w:rsid w:val="007345DD"/>
    <w:rsid w:val="00740036"/>
    <w:rsid w:val="00770C74"/>
    <w:rsid w:val="00797482"/>
    <w:rsid w:val="007B29E6"/>
    <w:rsid w:val="007D5A12"/>
    <w:rsid w:val="007E4A9A"/>
    <w:rsid w:val="008209D6"/>
    <w:rsid w:val="0082483E"/>
    <w:rsid w:val="008417C4"/>
    <w:rsid w:val="00876C35"/>
    <w:rsid w:val="008921B5"/>
    <w:rsid w:val="008E024C"/>
    <w:rsid w:val="009125D8"/>
    <w:rsid w:val="00925B55"/>
    <w:rsid w:val="00930DB7"/>
    <w:rsid w:val="00953722"/>
    <w:rsid w:val="00991FC1"/>
    <w:rsid w:val="009926B9"/>
    <w:rsid w:val="009D21BB"/>
    <w:rsid w:val="009E35E2"/>
    <w:rsid w:val="009F7850"/>
    <w:rsid w:val="00A0219F"/>
    <w:rsid w:val="00A131F6"/>
    <w:rsid w:val="00A34E63"/>
    <w:rsid w:val="00A407E0"/>
    <w:rsid w:val="00A5486E"/>
    <w:rsid w:val="00A8030D"/>
    <w:rsid w:val="00A822FD"/>
    <w:rsid w:val="00A96F49"/>
    <w:rsid w:val="00AA4CAA"/>
    <w:rsid w:val="00AA7095"/>
    <w:rsid w:val="00AA7A13"/>
    <w:rsid w:val="00AC553C"/>
    <w:rsid w:val="00AD3011"/>
    <w:rsid w:val="00AE71B7"/>
    <w:rsid w:val="00AF1EE1"/>
    <w:rsid w:val="00B149FF"/>
    <w:rsid w:val="00B4347C"/>
    <w:rsid w:val="00B55AFA"/>
    <w:rsid w:val="00B83103"/>
    <w:rsid w:val="00B86C6A"/>
    <w:rsid w:val="00BB4242"/>
    <w:rsid w:val="00BD1B29"/>
    <w:rsid w:val="00BD6BC9"/>
    <w:rsid w:val="00BE47FA"/>
    <w:rsid w:val="00C0030F"/>
    <w:rsid w:val="00C1744A"/>
    <w:rsid w:val="00C25D37"/>
    <w:rsid w:val="00C37D10"/>
    <w:rsid w:val="00C525AC"/>
    <w:rsid w:val="00C708D5"/>
    <w:rsid w:val="00C83884"/>
    <w:rsid w:val="00CA468E"/>
    <w:rsid w:val="00CC07FF"/>
    <w:rsid w:val="00CC123E"/>
    <w:rsid w:val="00CD18A4"/>
    <w:rsid w:val="00D011B8"/>
    <w:rsid w:val="00D073FA"/>
    <w:rsid w:val="00D368C0"/>
    <w:rsid w:val="00D42E7C"/>
    <w:rsid w:val="00D55575"/>
    <w:rsid w:val="00D574B7"/>
    <w:rsid w:val="00D734BA"/>
    <w:rsid w:val="00D94E53"/>
    <w:rsid w:val="00D96205"/>
    <w:rsid w:val="00DB5D27"/>
    <w:rsid w:val="00DF0059"/>
    <w:rsid w:val="00E22FD1"/>
    <w:rsid w:val="00E36A54"/>
    <w:rsid w:val="00E466CC"/>
    <w:rsid w:val="00EA2DD1"/>
    <w:rsid w:val="00EA5F2B"/>
    <w:rsid w:val="00EB28FB"/>
    <w:rsid w:val="00F06CE5"/>
    <w:rsid w:val="00F21467"/>
    <w:rsid w:val="00F27A53"/>
    <w:rsid w:val="00F305FC"/>
    <w:rsid w:val="00F43CD9"/>
    <w:rsid w:val="00F540A7"/>
    <w:rsid w:val="00F57315"/>
    <w:rsid w:val="00F9090B"/>
    <w:rsid w:val="00F9272F"/>
    <w:rsid w:val="00F94DB1"/>
    <w:rsid w:val="00F97970"/>
    <w:rsid w:val="00FA3A46"/>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List Paragraph1,List Paragraph11,L,Bullet point,NFP GP Bulleted List,Number,#List Paragraph,List Paragraph111,F5 List Paragraph,Dot pt,CV text,Table text,Medium Grid 1 - Accent 21,Numbered Paragraph,List Paragraph2,Bullets"/>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5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List Paragraph1 Char,List Paragraph11 Char,L Char,Bullet point Char,NFP GP Bulleted List Char,Number Char,#List Paragraph Char,List Paragraph111 Char,F5 List Paragraph Char,Dot pt Char,CV text Char,Table text Char"/>
    <w:link w:val="ListParagraph"/>
    <w:uiPriority w:val="34"/>
    <w:locked/>
    <w:rsid w:val="00252723"/>
    <w:rPr>
      <w:rFonts w:eastAsiaTheme="minorEastAsia"/>
      <w:szCs w:val="24"/>
    </w:rPr>
  </w:style>
  <w:style w:type="paragraph" w:styleId="NormalWeb">
    <w:name w:val="Normal (Web)"/>
    <w:basedOn w:val="Normal"/>
    <w:uiPriority w:val="99"/>
    <w:semiHidden/>
    <w:unhideWhenUsed/>
    <w:rsid w:val="001F0501"/>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685">
      <w:bodyDiv w:val="1"/>
      <w:marLeft w:val="0"/>
      <w:marRight w:val="0"/>
      <w:marTop w:val="0"/>
      <w:marBottom w:val="0"/>
      <w:divBdr>
        <w:top w:val="none" w:sz="0" w:space="0" w:color="auto"/>
        <w:left w:val="none" w:sz="0" w:space="0" w:color="auto"/>
        <w:bottom w:val="none" w:sz="0" w:space="0" w:color="auto"/>
        <w:right w:val="none" w:sz="0" w:space="0" w:color="auto"/>
      </w:divBdr>
      <w:divsChild>
        <w:div w:id="1789857630">
          <w:marLeft w:val="446"/>
          <w:marRight w:val="0"/>
          <w:marTop w:val="0"/>
          <w:marBottom w:val="0"/>
          <w:divBdr>
            <w:top w:val="none" w:sz="0" w:space="0" w:color="auto"/>
            <w:left w:val="none" w:sz="0" w:space="0" w:color="auto"/>
            <w:bottom w:val="none" w:sz="0" w:space="0" w:color="auto"/>
            <w:right w:val="none" w:sz="0" w:space="0" w:color="auto"/>
          </w:divBdr>
        </w:div>
        <w:div w:id="2012293728">
          <w:marLeft w:val="446"/>
          <w:marRight w:val="0"/>
          <w:marTop w:val="0"/>
          <w:marBottom w:val="0"/>
          <w:divBdr>
            <w:top w:val="none" w:sz="0" w:space="0" w:color="auto"/>
            <w:left w:val="none" w:sz="0" w:space="0" w:color="auto"/>
            <w:bottom w:val="none" w:sz="0" w:space="0" w:color="auto"/>
            <w:right w:val="none" w:sz="0" w:space="0" w:color="auto"/>
          </w:divBdr>
        </w:div>
        <w:div w:id="1035497622">
          <w:marLeft w:val="446"/>
          <w:marRight w:val="0"/>
          <w:marTop w:val="0"/>
          <w:marBottom w:val="0"/>
          <w:divBdr>
            <w:top w:val="none" w:sz="0" w:space="0" w:color="auto"/>
            <w:left w:val="none" w:sz="0" w:space="0" w:color="auto"/>
            <w:bottom w:val="none" w:sz="0" w:space="0" w:color="auto"/>
            <w:right w:val="none" w:sz="0" w:space="0" w:color="auto"/>
          </w:divBdr>
        </w:div>
        <w:div w:id="1464428001">
          <w:marLeft w:val="446"/>
          <w:marRight w:val="0"/>
          <w:marTop w:val="0"/>
          <w:marBottom w:val="0"/>
          <w:divBdr>
            <w:top w:val="none" w:sz="0" w:space="0" w:color="auto"/>
            <w:left w:val="none" w:sz="0" w:space="0" w:color="auto"/>
            <w:bottom w:val="none" w:sz="0" w:space="0" w:color="auto"/>
            <w:right w:val="none" w:sz="0" w:space="0" w:color="auto"/>
          </w:divBdr>
        </w:div>
        <w:div w:id="1689943197">
          <w:marLeft w:val="446"/>
          <w:marRight w:val="0"/>
          <w:marTop w:val="0"/>
          <w:marBottom w:val="0"/>
          <w:divBdr>
            <w:top w:val="none" w:sz="0" w:space="0" w:color="auto"/>
            <w:left w:val="none" w:sz="0" w:space="0" w:color="auto"/>
            <w:bottom w:val="none" w:sz="0" w:space="0" w:color="auto"/>
            <w:right w:val="none" w:sz="0" w:space="0" w:color="auto"/>
          </w:divBdr>
        </w:div>
        <w:div w:id="1227645739">
          <w:marLeft w:val="446"/>
          <w:marRight w:val="0"/>
          <w:marTop w:val="0"/>
          <w:marBottom w:val="0"/>
          <w:divBdr>
            <w:top w:val="none" w:sz="0" w:space="0" w:color="auto"/>
            <w:left w:val="none" w:sz="0" w:space="0" w:color="auto"/>
            <w:bottom w:val="none" w:sz="0" w:space="0" w:color="auto"/>
            <w:right w:val="none" w:sz="0" w:space="0" w:color="auto"/>
          </w:divBdr>
        </w:div>
      </w:divsChild>
    </w:div>
    <w:div w:id="122045573">
      <w:bodyDiv w:val="1"/>
      <w:marLeft w:val="0"/>
      <w:marRight w:val="0"/>
      <w:marTop w:val="0"/>
      <w:marBottom w:val="0"/>
      <w:divBdr>
        <w:top w:val="none" w:sz="0" w:space="0" w:color="auto"/>
        <w:left w:val="none" w:sz="0" w:space="0" w:color="auto"/>
        <w:bottom w:val="none" w:sz="0" w:space="0" w:color="auto"/>
        <w:right w:val="none" w:sz="0" w:space="0" w:color="auto"/>
      </w:divBdr>
    </w:div>
    <w:div w:id="134219765">
      <w:bodyDiv w:val="1"/>
      <w:marLeft w:val="0"/>
      <w:marRight w:val="0"/>
      <w:marTop w:val="0"/>
      <w:marBottom w:val="0"/>
      <w:divBdr>
        <w:top w:val="none" w:sz="0" w:space="0" w:color="auto"/>
        <w:left w:val="none" w:sz="0" w:space="0" w:color="auto"/>
        <w:bottom w:val="none" w:sz="0" w:space="0" w:color="auto"/>
        <w:right w:val="none" w:sz="0" w:space="0" w:color="auto"/>
      </w:divBdr>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73946865">
      <w:bodyDiv w:val="1"/>
      <w:marLeft w:val="0"/>
      <w:marRight w:val="0"/>
      <w:marTop w:val="0"/>
      <w:marBottom w:val="0"/>
      <w:divBdr>
        <w:top w:val="none" w:sz="0" w:space="0" w:color="auto"/>
        <w:left w:val="none" w:sz="0" w:space="0" w:color="auto"/>
        <w:bottom w:val="none" w:sz="0" w:space="0" w:color="auto"/>
        <w:right w:val="none" w:sz="0" w:space="0" w:color="auto"/>
      </w:divBdr>
    </w:div>
    <w:div w:id="430050228">
      <w:bodyDiv w:val="1"/>
      <w:marLeft w:val="0"/>
      <w:marRight w:val="0"/>
      <w:marTop w:val="0"/>
      <w:marBottom w:val="0"/>
      <w:divBdr>
        <w:top w:val="none" w:sz="0" w:space="0" w:color="auto"/>
        <w:left w:val="none" w:sz="0" w:space="0" w:color="auto"/>
        <w:bottom w:val="none" w:sz="0" w:space="0" w:color="auto"/>
        <w:right w:val="none" w:sz="0" w:space="0" w:color="auto"/>
      </w:divBdr>
      <w:divsChild>
        <w:div w:id="1396394945">
          <w:marLeft w:val="446"/>
          <w:marRight w:val="0"/>
          <w:marTop w:val="0"/>
          <w:marBottom w:val="0"/>
          <w:divBdr>
            <w:top w:val="none" w:sz="0" w:space="0" w:color="auto"/>
            <w:left w:val="none" w:sz="0" w:space="0" w:color="auto"/>
            <w:bottom w:val="none" w:sz="0" w:space="0" w:color="auto"/>
            <w:right w:val="none" w:sz="0" w:space="0" w:color="auto"/>
          </w:divBdr>
        </w:div>
        <w:div w:id="2133136344">
          <w:marLeft w:val="446"/>
          <w:marRight w:val="0"/>
          <w:marTop w:val="0"/>
          <w:marBottom w:val="0"/>
          <w:divBdr>
            <w:top w:val="none" w:sz="0" w:space="0" w:color="auto"/>
            <w:left w:val="none" w:sz="0" w:space="0" w:color="auto"/>
            <w:bottom w:val="none" w:sz="0" w:space="0" w:color="auto"/>
            <w:right w:val="none" w:sz="0" w:space="0" w:color="auto"/>
          </w:divBdr>
        </w:div>
        <w:div w:id="1970747496">
          <w:marLeft w:val="446"/>
          <w:marRight w:val="0"/>
          <w:marTop w:val="0"/>
          <w:marBottom w:val="0"/>
          <w:divBdr>
            <w:top w:val="none" w:sz="0" w:space="0" w:color="auto"/>
            <w:left w:val="none" w:sz="0" w:space="0" w:color="auto"/>
            <w:bottom w:val="none" w:sz="0" w:space="0" w:color="auto"/>
            <w:right w:val="none" w:sz="0" w:space="0" w:color="auto"/>
          </w:divBdr>
        </w:div>
        <w:div w:id="2125731629">
          <w:marLeft w:val="446"/>
          <w:marRight w:val="0"/>
          <w:marTop w:val="0"/>
          <w:marBottom w:val="0"/>
          <w:divBdr>
            <w:top w:val="none" w:sz="0" w:space="0" w:color="auto"/>
            <w:left w:val="none" w:sz="0" w:space="0" w:color="auto"/>
            <w:bottom w:val="none" w:sz="0" w:space="0" w:color="auto"/>
            <w:right w:val="none" w:sz="0" w:space="0" w:color="auto"/>
          </w:divBdr>
        </w:div>
      </w:divsChild>
    </w:div>
    <w:div w:id="519776697">
      <w:bodyDiv w:val="1"/>
      <w:marLeft w:val="0"/>
      <w:marRight w:val="0"/>
      <w:marTop w:val="0"/>
      <w:marBottom w:val="0"/>
      <w:divBdr>
        <w:top w:val="none" w:sz="0" w:space="0" w:color="auto"/>
        <w:left w:val="none" w:sz="0" w:space="0" w:color="auto"/>
        <w:bottom w:val="none" w:sz="0" w:space="0" w:color="auto"/>
        <w:right w:val="none" w:sz="0" w:space="0" w:color="auto"/>
      </w:divBdr>
      <w:divsChild>
        <w:div w:id="751321478">
          <w:marLeft w:val="446"/>
          <w:marRight w:val="0"/>
          <w:marTop w:val="0"/>
          <w:marBottom w:val="0"/>
          <w:divBdr>
            <w:top w:val="none" w:sz="0" w:space="0" w:color="auto"/>
            <w:left w:val="none" w:sz="0" w:space="0" w:color="auto"/>
            <w:bottom w:val="none" w:sz="0" w:space="0" w:color="auto"/>
            <w:right w:val="none" w:sz="0" w:space="0" w:color="auto"/>
          </w:divBdr>
        </w:div>
        <w:div w:id="1691182297">
          <w:marLeft w:val="446"/>
          <w:marRight w:val="0"/>
          <w:marTop w:val="0"/>
          <w:marBottom w:val="0"/>
          <w:divBdr>
            <w:top w:val="none" w:sz="0" w:space="0" w:color="auto"/>
            <w:left w:val="none" w:sz="0" w:space="0" w:color="auto"/>
            <w:bottom w:val="none" w:sz="0" w:space="0" w:color="auto"/>
            <w:right w:val="none" w:sz="0" w:space="0" w:color="auto"/>
          </w:divBdr>
        </w:div>
        <w:div w:id="421023859">
          <w:marLeft w:val="446"/>
          <w:marRight w:val="0"/>
          <w:marTop w:val="0"/>
          <w:marBottom w:val="0"/>
          <w:divBdr>
            <w:top w:val="none" w:sz="0" w:space="0" w:color="auto"/>
            <w:left w:val="none" w:sz="0" w:space="0" w:color="auto"/>
            <w:bottom w:val="none" w:sz="0" w:space="0" w:color="auto"/>
            <w:right w:val="none" w:sz="0" w:space="0" w:color="auto"/>
          </w:divBdr>
        </w:div>
        <w:div w:id="1773473093">
          <w:marLeft w:val="446"/>
          <w:marRight w:val="0"/>
          <w:marTop w:val="0"/>
          <w:marBottom w:val="0"/>
          <w:divBdr>
            <w:top w:val="none" w:sz="0" w:space="0" w:color="auto"/>
            <w:left w:val="none" w:sz="0" w:space="0" w:color="auto"/>
            <w:bottom w:val="none" w:sz="0" w:space="0" w:color="auto"/>
            <w:right w:val="none" w:sz="0" w:space="0" w:color="auto"/>
          </w:divBdr>
        </w:div>
      </w:divsChild>
    </w:div>
    <w:div w:id="627473212">
      <w:bodyDiv w:val="1"/>
      <w:marLeft w:val="0"/>
      <w:marRight w:val="0"/>
      <w:marTop w:val="0"/>
      <w:marBottom w:val="0"/>
      <w:divBdr>
        <w:top w:val="none" w:sz="0" w:space="0" w:color="auto"/>
        <w:left w:val="none" w:sz="0" w:space="0" w:color="auto"/>
        <w:bottom w:val="none" w:sz="0" w:space="0" w:color="auto"/>
        <w:right w:val="none" w:sz="0" w:space="0" w:color="auto"/>
      </w:divBdr>
    </w:div>
    <w:div w:id="669647802">
      <w:bodyDiv w:val="1"/>
      <w:marLeft w:val="0"/>
      <w:marRight w:val="0"/>
      <w:marTop w:val="0"/>
      <w:marBottom w:val="0"/>
      <w:divBdr>
        <w:top w:val="none" w:sz="0" w:space="0" w:color="auto"/>
        <w:left w:val="none" w:sz="0" w:space="0" w:color="auto"/>
        <w:bottom w:val="none" w:sz="0" w:space="0" w:color="auto"/>
        <w:right w:val="none" w:sz="0" w:space="0" w:color="auto"/>
      </w:divBdr>
    </w:div>
    <w:div w:id="673462573">
      <w:bodyDiv w:val="1"/>
      <w:marLeft w:val="0"/>
      <w:marRight w:val="0"/>
      <w:marTop w:val="0"/>
      <w:marBottom w:val="0"/>
      <w:divBdr>
        <w:top w:val="none" w:sz="0" w:space="0" w:color="auto"/>
        <w:left w:val="none" w:sz="0" w:space="0" w:color="auto"/>
        <w:bottom w:val="none" w:sz="0" w:space="0" w:color="auto"/>
        <w:right w:val="none" w:sz="0" w:space="0" w:color="auto"/>
      </w:divBdr>
      <w:divsChild>
        <w:div w:id="1896625857">
          <w:marLeft w:val="446"/>
          <w:marRight w:val="0"/>
          <w:marTop w:val="0"/>
          <w:marBottom w:val="0"/>
          <w:divBdr>
            <w:top w:val="none" w:sz="0" w:space="0" w:color="auto"/>
            <w:left w:val="none" w:sz="0" w:space="0" w:color="auto"/>
            <w:bottom w:val="none" w:sz="0" w:space="0" w:color="auto"/>
            <w:right w:val="none" w:sz="0" w:space="0" w:color="auto"/>
          </w:divBdr>
        </w:div>
        <w:div w:id="1909807998">
          <w:marLeft w:val="446"/>
          <w:marRight w:val="0"/>
          <w:marTop w:val="0"/>
          <w:marBottom w:val="0"/>
          <w:divBdr>
            <w:top w:val="none" w:sz="0" w:space="0" w:color="auto"/>
            <w:left w:val="none" w:sz="0" w:space="0" w:color="auto"/>
            <w:bottom w:val="none" w:sz="0" w:space="0" w:color="auto"/>
            <w:right w:val="none" w:sz="0" w:space="0" w:color="auto"/>
          </w:divBdr>
        </w:div>
        <w:div w:id="723452465">
          <w:marLeft w:val="446"/>
          <w:marRight w:val="0"/>
          <w:marTop w:val="0"/>
          <w:marBottom w:val="0"/>
          <w:divBdr>
            <w:top w:val="none" w:sz="0" w:space="0" w:color="auto"/>
            <w:left w:val="none" w:sz="0" w:space="0" w:color="auto"/>
            <w:bottom w:val="none" w:sz="0" w:space="0" w:color="auto"/>
            <w:right w:val="none" w:sz="0" w:space="0" w:color="auto"/>
          </w:divBdr>
        </w:div>
        <w:div w:id="627056453">
          <w:marLeft w:val="446"/>
          <w:marRight w:val="0"/>
          <w:marTop w:val="0"/>
          <w:marBottom w:val="0"/>
          <w:divBdr>
            <w:top w:val="none" w:sz="0" w:space="0" w:color="auto"/>
            <w:left w:val="none" w:sz="0" w:space="0" w:color="auto"/>
            <w:bottom w:val="none" w:sz="0" w:space="0" w:color="auto"/>
            <w:right w:val="none" w:sz="0" w:space="0" w:color="auto"/>
          </w:divBdr>
        </w:div>
      </w:divsChild>
    </w:div>
    <w:div w:id="709916094">
      <w:bodyDiv w:val="1"/>
      <w:marLeft w:val="0"/>
      <w:marRight w:val="0"/>
      <w:marTop w:val="0"/>
      <w:marBottom w:val="0"/>
      <w:divBdr>
        <w:top w:val="none" w:sz="0" w:space="0" w:color="auto"/>
        <w:left w:val="none" w:sz="0" w:space="0" w:color="auto"/>
        <w:bottom w:val="none" w:sz="0" w:space="0" w:color="auto"/>
        <w:right w:val="none" w:sz="0" w:space="0" w:color="auto"/>
      </w:divBdr>
    </w:div>
    <w:div w:id="797066352">
      <w:bodyDiv w:val="1"/>
      <w:marLeft w:val="0"/>
      <w:marRight w:val="0"/>
      <w:marTop w:val="0"/>
      <w:marBottom w:val="0"/>
      <w:divBdr>
        <w:top w:val="none" w:sz="0" w:space="0" w:color="auto"/>
        <w:left w:val="none" w:sz="0" w:space="0" w:color="auto"/>
        <w:bottom w:val="none" w:sz="0" w:space="0" w:color="auto"/>
        <w:right w:val="none" w:sz="0" w:space="0" w:color="auto"/>
      </w:divBdr>
    </w:div>
    <w:div w:id="820124481">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31204154">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75779671">
      <w:bodyDiv w:val="1"/>
      <w:marLeft w:val="0"/>
      <w:marRight w:val="0"/>
      <w:marTop w:val="0"/>
      <w:marBottom w:val="0"/>
      <w:divBdr>
        <w:top w:val="none" w:sz="0" w:space="0" w:color="auto"/>
        <w:left w:val="none" w:sz="0" w:space="0" w:color="auto"/>
        <w:bottom w:val="none" w:sz="0" w:space="0" w:color="auto"/>
        <w:right w:val="none" w:sz="0" w:space="0" w:color="auto"/>
      </w:divBdr>
    </w:div>
    <w:div w:id="1171217511">
      <w:bodyDiv w:val="1"/>
      <w:marLeft w:val="0"/>
      <w:marRight w:val="0"/>
      <w:marTop w:val="0"/>
      <w:marBottom w:val="0"/>
      <w:divBdr>
        <w:top w:val="none" w:sz="0" w:space="0" w:color="auto"/>
        <w:left w:val="none" w:sz="0" w:space="0" w:color="auto"/>
        <w:bottom w:val="none" w:sz="0" w:space="0" w:color="auto"/>
        <w:right w:val="none" w:sz="0" w:space="0" w:color="auto"/>
      </w:divBdr>
    </w:div>
    <w:div w:id="1277100901">
      <w:bodyDiv w:val="1"/>
      <w:marLeft w:val="0"/>
      <w:marRight w:val="0"/>
      <w:marTop w:val="0"/>
      <w:marBottom w:val="0"/>
      <w:divBdr>
        <w:top w:val="none" w:sz="0" w:space="0" w:color="auto"/>
        <w:left w:val="none" w:sz="0" w:space="0" w:color="auto"/>
        <w:bottom w:val="none" w:sz="0" w:space="0" w:color="auto"/>
        <w:right w:val="none" w:sz="0" w:space="0" w:color="auto"/>
      </w:divBdr>
      <w:divsChild>
        <w:div w:id="1754162117">
          <w:marLeft w:val="446"/>
          <w:marRight w:val="0"/>
          <w:marTop w:val="0"/>
          <w:marBottom w:val="0"/>
          <w:divBdr>
            <w:top w:val="none" w:sz="0" w:space="0" w:color="auto"/>
            <w:left w:val="none" w:sz="0" w:space="0" w:color="auto"/>
            <w:bottom w:val="none" w:sz="0" w:space="0" w:color="auto"/>
            <w:right w:val="none" w:sz="0" w:space="0" w:color="auto"/>
          </w:divBdr>
        </w:div>
        <w:div w:id="1892499347">
          <w:marLeft w:val="446"/>
          <w:marRight w:val="0"/>
          <w:marTop w:val="0"/>
          <w:marBottom w:val="0"/>
          <w:divBdr>
            <w:top w:val="none" w:sz="0" w:space="0" w:color="auto"/>
            <w:left w:val="none" w:sz="0" w:space="0" w:color="auto"/>
            <w:bottom w:val="none" w:sz="0" w:space="0" w:color="auto"/>
            <w:right w:val="none" w:sz="0" w:space="0" w:color="auto"/>
          </w:divBdr>
        </w:div>
        <w:div w:id="51395517">
          <w:marLeft w:val="446"/>
          <w:marRight w:val="0"/>
          <w:marTop w:val="0"/>
          <w:marBottom w:val="0"/>
          <w:divBdr>
            <w:top w:val="none" w:sz="0" w:space="0" w:color="auto"/>
            <w:left w:val="none" w:sz="0" w:space="0" w:color="auto"/>
            <w:bottom w:val="none" w:sz="0" w:space="0" w:color="auto"/>
            <w:right w:val="none" w:sz="0" w:space="0" w:color="auto"/>
          </w:divBdr>
        </w:div>
        <w:div w:id="299580054">
          <w:marLeft w:val="446"/>
          <w:marRight w:val="0"/>
          <w:marTop w:val="0"/>
          <w:marBottom w:val="0"/>
          <w:divBdr>
            <w:top w:val="none" w:sz="0" w:space="0" w:color="auto"/>
            <w:left w:val="none" w:sz="0" w:space="0" w:color="auto"/>
            <w:bottom w:val="none" w:sz="0" w:space="0" w:color="auto"/>
            <w:right w:val="none" w:sz="0" w:space="0" w:color="auto"/>
          </w:divBdr>
        </w:div>
        <w:div w:id="838616424">
          <w:marLeft w:val="446"/>
          <w:marRight w:val="0"/>
          <w:marTop w:val="0"/>
          <w:marBottom w:val="0"/>
          <w:divBdr>
            <w:top w:val="none" w:sz="0" w:space="0" w:color="auto"/>
            <w:left w:val="none" w:sz="0" w:space="0" w:color="auto"/>
            <w:bottom w:val="none" w:sz="0" w:space="0" w:color="auto"/>
            <w:right w:val="none" w:sz="0" w:space="0" w:color="auto"/>
          </w:divBdr>
        </w:div>
        <w:div w:id="2436118">
          <w:marLeft w:val="446"/>
          <w:marRight w:val="0"/>
          <w:marTop w:val="0"/>
          <w:marBottom w:val="0"/>
          <w:divBdr>
            <w:top w:val="none" w:sz="0" w:space="0" w:color="auto"/>
            <w:left w:val="none" w:sz="0" w:space="0" w:color="auto"/>
            <w:bottom w:val="none" w:sz="0" w:space="0" w:color="auto"/>
            <w:right w:val="none" w:sz="0" w:space="0" w:color="auto"/>
          </w:divBdr>
        </w:div>
      </w:divsChild>
    </w:div>
    <w:div w:id="1301301763">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41614684">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43573203">
      <w:bodyDiv w:val="1"/>
      <w:marLeft w:val="0"/>
      <w:marRight w:val="0"/>
      <w:marTop w:val="0"/>
      <w:marBottom w:val="0"/>
      <w:divBdr>
        <w:top w:val="none" w:sz="0" w:space="0" w:color="auto"/>
        <w:left w:val="none" w:sz="0" w:space="0" w:color="auto"/>
        <w:bottom w:val="none" w:sz="0" w:space="0" w:color="auto"/>
        <w:right w:val="none" w:sz="0" w:space="0" w:color="auto"/>
      </w:divBdr>
      <w:divsChild>
        <w:div w:id="592591212">
          <w:marLeft w:val="446"/>
          <w:marRight w:val="0"/>
          <w:marTop w:val="120"/>
          <w:marBottom w:val="120"/>
          <w:divBdr>
            <w:top w:val="none" w:sz="0" w:space="0" w:color="auto"/>
            <w:left w:val="none" w:sz="0" w:space="0" w:color="auto"/>
            <w:bottom w:val="none" w:sz="0" w:space="0" w:color="auto"/>
            <w:right w:val="none" w:sz="0" w:space="0" w:color="auto"/>
          </w:divBdr>
        </w:div>
        <w:div w:id="8454365">
          <w:marLeft w:val="446"/>
          <w:marRight w:val="0"/>
          <w:marTop w:val="120"/>
          <w:marBottom w:val="120"/>
          <w:divBdr>
            <w:top w:val="none" w:sz="0" w:space="0" w:color="auto"/>
            <w:left w:val="none" w:sz="0" w:space="0" w:color="auto"/>
            <w:bottom w:val="none" w:sz="0" w:space="0" w:color="auto"/>
            <w:right w:val="none" w:sz="0" w:space="0" w:color="auto"/>
          </w:divBdr>
        </w:div>
        <w:div w:id="925269170">
          <w:marLeft w:val="446"/>
          <w:marRight w:val="0"/>
          <w:marTop w:val="120"/>
          <w:marBottom w:val="120"/>
          <w:divBdr>
            <w:top w:val="none" w:sz="0" w:space="0" w:color="auto"/>
            <w:left w:val="none" w:sz="0" w:space="0" w:color="auto"/>
            <w:bottom w:val="none" w:sz="0" w:space="0" w:color="auto"/>
            <w:right w:val="none" w:sz="0" w:space="0" w:color="auto"/>
          </w:divBdr>
        </w:div>
      </w:divsChild>
    </w:div>
    <w:div w:id="1613659488">
      <w:bodyDiv w:val="1"/>
      <w:marLeft w:val="0"/>
      <w:marRight w:val="0"/>
      <w:marTop w:val="0"/>
      <w:marBottom w:val="0"/>
      <w:divBdr>
        <w:top w:val="none" w:sz="0" w:space="0" w:color="auto"/>
        <w:left w:val="none" w:sz="0" w:space="0" w:color="auto"/>
        <w:bottom w:val="none" w:sz="0" w:space="0" w:color="auto"/>
        <w:right w:val="none" w:sz="0" w:space="0" w:color="auto"/>
      </w:divBdr>
    </w:div>
    <w:div w:id="1647468503">
      <w:bodyDiv w:val="1"/>
      <w:marLeft w:val="0"/>
      <w:marRight w:val="0"/>
      <w:marTop w:val="0"/>
      <w:marBottom w:val="0"/>
      <w:divBdr>
        <w:top w:val="none" w:sz="0" w:space="0" w:color="auto"/>
        <w:left w:val="none" w:sz="0" w:space="0" w:color="auto"/>
        <w:bottom w:val="none" w:sz="0" w:space="0" w:color="auto"/>
        <w:right w:val="none" w:sz="0" w:space="0" w:color="auto"/>
      </w:divBdr>
    </w:div>
    <w:div w:id="1700861421">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47531183">
      <w:bodyDiv w:val="1"/>
      <w:marLeft w:val="0"/>
      <w:marRight w:val="0"/>
      <w:marTop w:val="0"/>
      <w:marBottom w:val="0"/>
      <w:divBdr>
        <w:top w:val="none" w:sz="0" w:space="0" w:color="auto"/>
        <w:left w:val="none" w:sz="0" w:space="0" w:color="auto"/>
        <w:bottom w:val="none" w:sz="0" w:space="0" w:color="auto"/>
        <w:right w:val="none" w:sz="0" w:space="0" w:color="auto"/>
      </w:divBdr>
      <w:divsChild>
        <w:div w:id="226116128">
          <w:marLeft w:val="446"/>
          <w:marRight w:val="0"/>
          <w:marTop w:val="0"/>
          <w:marBottom w:val="0"/>
          <w:divBdr>
            <w:top w:val="none" w:sz="0" w:space="0" w:color="auto"/>
            <w:left w:val="none" w:sz="0" w:space="0" w:color="auto"/>
            <w:bottom w:val="none" w:sz="0" w:space="0" w:color="auto"/>
            <w:right w:val="none" w:sz="0" w:space="0" w:color="auto"/>
          </w:divBdr>
        </w:div>
        <w:div w:id="168451594">
          <w:marLeft w:val="446"/>
          <w:marRight w:val="0"/>
          <w:marTop w:val="0"/>
          <w:marBottom w:val="0"/>
          <w:divBdr>
            <w:top w:val="none" w:sz="0" w:space="0" w:color="auto"/>
            <w:left w:val="none" w:sz="0" w:space="0" w:color="auto"/>
            <w:bottom w:val="none" w:sz="0" w:space="0" w:color="auto"/>
            <w:right w:val="none" w:sz="0" w:space="0" w:color="auto"/>
          </w:divBdr>
        </w:div>
        <w:div w:id="1078941209">
          <w:marLeft w:val="446"/>
          <w:marRight w:val="0"/>
          <w:marTop w:val="0"/>
          <w:marBottom w:val="0"/>
          <w:divBdr>
            <w:top w:val="none" w:sz="0" w:space="0" w:color="auto"/>
            <w:left w:val="none" w:sz="0" w:space="0" w:color="auto"/>
            <w:bottom w:val="none" w:sz="0" w:space="0" w:color="auto"/>
            <w:right w:val="none" w:sz="0" w:space="0" w:color="auto"/>
          </w:divBdr>
        </w:div>
        <w:div w:id="1685932407">
          <w:marLeft w:val="446"/>
          <w:marRight w:val="0"/>
          <w:marTop w:val="0"/>
          <w:marBottom w:val="0"/>
          <w:divBdr>
            <w:top w:val="none" w:sz="0" w:space="0" w:color="auto"/>
            <w:left w:val="none" w:sz="0" w:space="0" w:color="auto"/>
            <w:bottom w:val="none" w:sz="0" w:space="0" w:color="auto"/>
            <w:right w:val="none" w:sz="0" w:space="0" w:color="auto"/>
          </w:divBdr>
        </w:div>
        <w:div w:id="2124225297">
          <w:marLeft w:val="446"/>
          <w:marRight w:val="0"/>
          <w:marTop w:val="0"/>
          <w:marBottom w:val="0"/>
          <w:divBdr>
            <w:top w:val="none" w:sz="0" w:space="0" w:color="auto"/>
            <w:left w:val="none" w:sz="0" w:space="0" w:color="auto"/>
            <w:bottom w:val="none" w:sz="0" w:space="0" w:color="auto"/>
            <w:right w:val="none" w:sz="0" w:space="0" w:color="auto"/>
          </w:divBdr>
        </w:div>
        <w:div w:id="1217470280">
          <w:marLeft w:val="446"/>
          <w:marRight w:val="0"/>
          <w:marTop w:val="0"/>
          <w:marBottom w:val="0"/>
          <w:divBdr>
            <w:top w:val="none" w:sz="0" w:space="0" w:color="auto"/>
            <w:left w:val="none" w:sz="0" w:space="0" w:color="auto"/>
            <w:bottom w:val="none" w:sz="0" w:space="0" w:color="auto"/>
            <w:right w:val="none" w:sz="0" w:space="0" w:color="auto"/>
          </w:divBdr>
        </w:div>
        <w:div w:id="943727297">
          <w:marLeft w:val="446"/>
          <w:marRight w:val="0"/>
          <w:marTop w:val="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909337458">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02555783">
      <w:bodyDiv w:val="1"/>
      <w:marLeft w:val="0"/>
      <w:marRight w:val="0"/>
      <w:marTop w:val="0"/>
      <w:marBottom w:val="0"/>
      <w:divBdr>
        <w:top w:val="none" w:sz="0" w:space="0" w:color="auto"/>
        <w:left w:val="none" w:sz="0" w:space="0" w:color="auto"/>
        <w:bottom w:val="none" w:sz="0" w:space="0" w:color="auto"/>
        <w:right w:val="none" w:sz="0" w:space="0" w:color="auto"/>
      </w:divBdr>
    </w:div>
    <w:div w:id="21309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umer.vic.gov.au/s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3061A748.dotm</Template>
  <TotalTime>5</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Savannah Jewell</cp:lastModifiedBy>
  <cp:revision>3</cp:revision>
  <cp:lastPrinted>2019-09-24T04:06:00Z</cp:lastPrinted>
  <dcterms:created xsi:type="dcterms:W3CDTF">2020-04-21T01:08:00Z</dcterms:created>
  <dcterms:modified xsi:type="dcterms:W3CDTF">2020-04-21T01:15:00Z</dcterms:modified>
</cp:coreProperties>
</file>