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CC08" w14:textId="2D375672" w:rsidR="00252723" w:rsidRDefault="002E526D" w:rsidP="00CE5A9B">
      <w:pPr>
        <w:pStyle w:val="Heading1"/>
        <w:spacing w:before="120"/>
      </w:pPr>
      <w:r w:rsidRPr="001C0000">
        <w:t xml:space="preserve">Slide </w:t>
      </w:r>
      <w:proofErr w:type="gramStart"/>
      <w:r w:rsidR="007448F7">
        <w:t>one</w:t>
      </w:r>
      <w:proofErr w:type="gramEnd"/>
    </w:p>
    <w:p w14:paraId="3B982D83" w14:textId="57479926" w:rsidR="008F0AC5" w:rsidRDefault="008F0AC5" w:rsidP="00CE5A9B">
      <w:pPr>
        <w:pStyle w:val="Heading2"/>
        <w:spacing w:before="120" w:after="240"/>
        <w:rPr>
          <w:lang w:val="en-US"/>
        </w:rPr>
      </w:pPr>
      <w:r>
        <w:rPr>
          <w:lang w:val="en-US"/>
        </w:rPr>
        <w:t>SDA Reference Group</w:t>
      </w:r>
    </w:p>
    <w:p w14:paraId="22BE08A2" w14:textId="77777777" w:rsidR="00F052C2" w:rsidRDefault="008F0AC5" w:rsidP="00CE5A9B">
      <w:pPr>
        <w:spacing w:after="240" w:line="360" w:lineRule="auto"/>
        <w:rPr>
          <w:lang w:val="en-US"/>
        </w:rPr>
      </w:pPr>
      <w:r>
        <w:rPr>
          <w:lang w:val="en-US"/>
        </w:rPr>
        <w:t>Wednesday 7 July 2021</w:t>
      </w:r>
    </w:p>
    <w:p w14:paraId="70CB2057" w14:textId="4AB527A0" w:rsidR="008F0AC5" w:rsidRDefault="008F0AC5" w:rsidP="00CE5A9B">
      <w:pPr>
        <w:spacing w:after="240" w:line="360" w:lineRule="auto"/>
        <w:rPr>
          <w:lang w:val="en-US"/>
        </w:rPr>
      </w:pPr>
      <w:r>
        <w:rPr>
          <w:lang w:val="en-US"/>
        </w:rPr>
        <w:t xml:space="preserve">2.00pm </w:t>
      </w:r>
      <w:r w:rsidR="005276AE">
        <w:rPr>
          <w:lang w:val="en-US"/>
        </w:rPr>
        <w:t>–</w:t>
      </w:r>
      <w:r>
        <w:rPr>
          <w:lang w:val="en-US"/>
        </w:rPr>
        <w:t xml:space="preserve"> </w:t>
      </w:r>
      <w:r w:rsidR="005276AE">
        <w:rPr>
          <w:lang w:val="en-US"/>
        </w:rPr>
        <w:t>3.00pm Australian Eastern Standard Time</w:t>
      </w:r>
    </w:p>
    <w:p w14:paraId="07B859BB" w14:textId="017967BB" w:rsidR="009423FA" w:rsidRDefault="007448F7" w:rsidP="00CE5A9B">
      <w:pPr>
        <w:pStyle w:val="Heading1"/>
        <w:spacing w:before="120"/>
      </w:pPr>
      <w:r>
        <w:t xml:space="preserve">Slide </w:t>
      </w:r>
      <w:proofErr w:type="gramStart"/>
      <w:r>
        <w:t>two</w:t>
      </w:r>
      <w:proofErr w:type="gramEnd"/>
    </w:p>
    <w:p w14:paraId="298D1773" w14:textId="23629034" w:rsidR="007448F7" w:rsidRDefault="007448F7" w:rsidP="00CE5A9B">
      <w:pPr>
        <w:pStyle w:val="Heading2"/>
        <w:spacing w:before="120" w:after="240"/>
        <w:rPr>
          <w:lang w:val="en-US"/>
        </w:rPr>
      </w:pPr>
      <w:r>
        <w:rPr>
          <w:lang w:val="en-US"/>
        </w:rPr>
        <w:t>Agenda:</w:t>
      </w:r>
    </w:p>
    <w:p w14:paraId="63759EBF" w14:textId="77777777" w:rsidR="00C36058" w:rsidRDefault="000118F4" w:rsidP="00CE5A9B">
      <w:pPr>
        <w:pStyle w:val="ListParagraph"/>
        <w:numPr>
          <w:ilvl w:val="0"/>
          <w:numId w:val="6"/>
        </w:numPr>
        <w:spacing w:after="240" w:line="360" w:lineRule="auto"/>
        <w:ind w:left="360"/>
        <w:rPr>
          <w:lang w:val="en-US"/>
        </w:rPr>
      </w:pPr>
      <w:r w:rsidRPr="00DE3A7A">
        <w:rPr>
          <w:lang w:val="en-US"/>
        </w:rPr>
        <w:t xml:space="preserve">Welcome and </w:t>
      </w:r>
      <w:proofErr w:type="gramStart"/>
      <w:r>
        <w:rPr>
          <w:lang w:val="en-US"/>
        </w:rPr>
        <w:t>Introductions</w:t>
      </w:r>
      <w:proofErr w:type="gramEnd"/>
    </w:p>
    <w:p w14:paraId="1169728D" w14:textId="5BDA5ED9" w:rsidR="000118F4" w:rsidRPr="00DE3A7A" w:rsidRDefault="000118F4" w:rsidP="00CE5A9B">
      <w:pPr>
        <w:pStyle w:val="ListParagraph"/>
        <w:numPr>
          <w:ilvl w:val="0"/>
          <w:numId w:val="0"/>
        </w:numPr>
        <w:spacing w:after="240" w:line="360" w:lineRule="auto"/>
        <w:ind w:left="360"/>
        <w:rPr>
          <w:lang w:val="en-US"/>
        </w:rPr>
      </w:pPr>
      <w:r>
        <w:rPr>
          <w:lang w:val="en-US"/>
        </w:rPr>
        <w:t>Sarah Fordyce, State Manager Victoria, NDS</w:t>
      </w:r>
    </w:p>
    <w:p w14:paraId="29CB9788" w14:textId="77777777" w:rsidR="00C36058" w:rsidRDefault="000118F4" w:rsidP="00CE5A9B">
      <w:pPr>
        <w:pStyle w:val="ListParagraph"/>
        <w:numPr>
          <w:ilvl w:val="0"/>
          <w:numId w:val="6"/>
        </w:numPr>
        <w:spacing w:after="240" w:line="360" w:lineRule="auto"/>
        <w:ind w:left="360"/>
        <w:rPr>
          <w:lang w:val="en-US"/>
        </w:rPr>
      </w:pPr>
      <w:r w:rsidRPr="00DE3A7A">
        <w:rPr>
          <w:lang w:val="en-US"/>
        </w:rPr>
        <w:t>Victorian Update</w:t>
      </w:r>
      <w:r>
        <w:rPr>
          <w:lang w:val="en-US"/>
        </w:rPr>
        <w:t xml:space="preserve"> and Other Business</w:t>
      </w:r>
    </w:p>
    <w:p w14:paraId="155C3A9E" w14:textId="7CA03985" w:rsidR="000118F4" w:rsidRPr="00DE3A7A" w:rsidRDefault="000118F4" w:rsidP="00CE5A9B">
      <w:pPr>
        <w:pStyle w:val="ListParagraph"/>
        <w:numPr>
          <w:ilvl w:val="0"/>
          <w:numId w:val="0"/>
        </w:numPr>
        <w:spacing w:after="240" w:line="360" w:lineRule="auto"/>
        <w:ind w:left="360"/>
        <w:rPr>
          <w:lang w:val="en-US"/>
        </w:rPr>
      </w:pPr>
      <w:r>
        <w:rPr>
          <w:lang w:val="en-US"/>
        </w:rPr>
        <w:t>Sarah Fordyce, State Manager Victoria, NDS</w:t>
      </w:r>
    </w:p>
    <w:p w14:paraId="38451D72" w14:textId="77777777" w:rsidR="00C36058" w:rsidRDefault="000118F4" w:rsidP="00CE5A9B">
      <w:pPr>
        <w:pStyle w:val="ListParagraph"/>
        <w:numPr>
          <w:ilvl w:val="0"/>
          <w:numId w:val="6"/>
        </w:numPr>
        <w:spacing w:after="240" w:line="360" w:lineRule="auto"/>
        <w:ind w:left="360"/>
        <w:rPr>
          <w:lang w:val="en-US"/>
        </w:rPr>
      </w:pPr>
      <w:r>
        <w:rPr>
          <w:lang w:val="en-US"/>
        </w:rPr>
        <w:t xml:space="preserve">Policy </w:t>
      </w:r>
      <w:r w:rsidRPr="00DE3A7A">
        <w:rPr>
          <w:lang w:val="en-US"/>
        </w:rPr>
        <w:t>Update</w:t>
      </w:r>
    </w:p>
    <w:p w14:paraId="0E4181C0" w14:textId="201A9EA7" w:rsidR="000118F4" w:rsidRPr="00DE3A7A" w:rsidRDefault="000118F4" w:rsidP="00CE5A9B">
      <w:pPr>
        <w:pStyle w:val="ListParagraph"/>
        <w:numPr>
          <w:ilvl w:val="0"/>
          <w:numId w:val="0"/>
        </w:numPr>
        <w:spacing w:after="240" w:line="360" w:lineRule="auto"/>
        <w:ind w:left="360"/>
        <w:rPr>
          <w:lang w:val="en-US"/>
        </w:rPr>
      </w:pPr>
      <w:r>
        <w:rPr>
          <w:lang w:val="en-US"/>
        </w:rPr>
        <w:t>Philippa Angley, Head of Policy, NDS</w:t>
      </w:r>
    </w:p>
    <w:p w14:paraId="013426A0" w14:textId="77777777" w:rsidR="00C36058" w:rsidRDefault="000118F4" w:rsidP="00CE5A9B">
      <w:pPr>
        <w:pStyle w:val="ListParagraph"/>
        <w:numPr>
          <w:ilvl w:val="0"/>
          <w:numId w:val="6"/>
        </w:numPr>
        <w:spacing w:after="240" w:line="360" w:lineRule="auto"/>
        <w:ind w:left="360"/>
        <w:rPr>
          <w:lang w:val="en-US"/>
        </w:rPr>
      </w:pPr>
      <w:r>
        <w:rPr>
          <w:lang w:val="en-US"/>
        </w:rPr>
        <w:t>SDA Data and Insights</w:t>
      </w:r>
    </w:p>
    <w:p w14:paraId="021B6361" w14:textId="34677D06" w:rsidR="000118F4" w:rsidRPr="00DE3A7A" w:rsidRDefault="000118F4" w:rsidP="00CE5A9B">
      <w:pPr>
        <w:pStyle w:val="ListParagraph"/>
        <w:numPr>
          <w:ilvl w:val="0"/>
          <w:numId w:val="0"/>
        </w:numPr>
        <w:spacing w:after="240" w:line="360" w:lineRule="auto"/>
        <w:ind w:left="360"/>
        <w:rPr>
          <w:lang w:val="en-US"/>
        </w:rPr>
      </w:pPr>
      <w:r>
        <w:rPr>
          <w:lang w:val="en-US"/>
        </w:rPr>
        <w:t>Clare Hambly, Policy and Projects Office, Quality and Safeguarding</w:t>
      </w:r>
    </w:p>
    <w:p w14:paraId="3C7FAA3A" w14:textId="1EB8E9FA" w:rsidR="000118F4" w:rsidRDefault="000118F4" w:rsidP="00CE5A9B">
      <w:pPr>
        <w:pStyle w:val="ListParagraph"/>
        <w:numPr>
          <w:ilvl w:val="0"/>
          <w:numId w:val="6"/>
        </w:numPr>
        <w:spacing w:after="240" w:line="360" w:lineRule="auto"/>
        <w:ind w:left="360"/>
        <w:rPr>
          <w:lang w:val="en-US"/>
        </w:rPr>
      </w:pPr>
      <w:r>
        <w:rPr>
          <w:lang w:val="en-US"/>
        </w:rPr>
        <w:t>Interactive Group Discussion</w:t>
      </w:r>
    </w:p>
    <w:p w14:paraId="36F4F0F1" w14:textId="5D9EA743" w:rsidR="00D26126" w:rsidRDefault="00D26126" w:rsidP="00CE5A9B">
      <w:pPr>
        <w:pStyle w:val="Heading1"/>
        <w:spacing w:before="120"/>
      </w:pPr>
      <w:r>
        <w:t xml:space="preserve">Slide </w:t>
      </w:r>
      <w:proofErr w:type="gramStart"/>
      <w:r>
        <w:t>three</w:t>
      </w:r>
      <w:proofErr w:type="gramEnd"/>
    </w:p>
    <w:p w14:paraId="796F2707" w14:textId="6892CFE7" w:rsidR="00E90785" w:rsidRDefault="00E90785" w:rsidP="00CE5A9B">
      <w:pPr>
        <w:spacing w:after="240" w:line="360" w:lineRule="auto"/>
        <w:rPr>
          <w:lang w:val="en-US"/>
        </w:rPr>
      </w:pPr>
      <w:r>
        <w:rPr>
          <w:lang w:val="en-US"/>
        </w:rPr>
        <w:t>Victorian Update</w:t>
      </w:r>
      <w:r w:rsidR="003772FB">
        <w:rPr>
          <w:lang w:val="en-US"/>
        </w:rPr>
        <w:t xml:space="preserve"> </w:t>
      </w:r>
      <w:r w:rsidR="00570978">
        <w:rPr>
          <w:lang w:val="en-US"/>
        </w:rPr>
        <w:t>from</w:t>
      </w:r>
      <w:r w:rsidR="003772FB">
        <w:rPr>
          <w:lang w:val="en-US"/>
        </w:rPr>
        <w:t xml:space="preserve"> </w:t>
      </w:r>
      <w:r w:rsidR="00995DF2">
        <w:rPr>
          <w:lang w:val="en-US"/>
        </w:rPr>
        <w:t>Sarah Fordyce, State Manager Victoria, NDS</w:t>
      </w:r>
    </w:p>
    <w:p w14:paraId="06790352" w14:textId="19F06E70" w:rsidR="00995DF2" w:rsidRDefault="00995DF2" w:rsidP="00CE5A9B">
      <w:pPr>
        <w:pStyle w:val="Heading1"/>
        <w:spacing w:before="120"/>
      </w:pPr>
      <w:r>
        <w:t xml:space="preserve">Slide </w:t>
      </w:r>
      <w:proofErr w:type="gramStart"/>
      <w:r>
        <w:t>four</w:t>
      </w:r>
      <w:proofErr w:type="gramEnd"/>
    </w:p>
    <w:p w14:paraId="37C9850C" w14:textId="04079A42" w:rsidR="00E85ED0" w:rsidRPr="00372CCD" w:rsidRDefault="00E85ED0" w:rsidP="00CE5A9B">
      <w:pPr>
        <w:pStyle w:val="Heading2"/>
        <w:spacing w:before="120" w:after="240"/>
        <w:rPr>
          <w:rFonts w:cs="Arial"/>
          <w:lang w:val="en-US"/>
        </w:rPr>
      </w:pPr>
      <w:r w:rsidRPr="00372CCD">
        <w:rPr>
          <w:rFonts w:cs="Arial"/>
          <w:lang w:val="en-US"/>
        </w:rPr>
        <w:t>Some of the hot issues</w:t>
      </w:r>
    </w:p>
    <w:p w14:paraId="6B59CE9F" w14:textId="77777777" w:rsidR="00372CCD" w:rsidRPr="00372CCD" w:rsidRDefault="00372CCD" w:rsidP="00CE5A9B">
      <w:pPr>
        <w:pStyle w:val="ListParagraph"/>
        <w:numPr>
          <w:ilvl w:val="0"/>
          <w:numId w:val="6"/>
        </w:numPr>
        <w:spacing w:after="240" w:line="360" w:lineRule="auto"/>
        <w:ind w:left="357" w:hanging="357"/>
        <w:rPr>
          <w:rFonts w:cs="Arial"/>
        </w:rPr>
      </w:pPr>
      <w:r w:rsidRPr="00372CCD">
        <w:rPr>
          <w:rFonts w:cs="Arial"/>
          <w:lang w:val="en-US"/>
        </w:rPr>
        <w:t xml:space="preserve">Monitoring vaccine rollout; moves re mandatory </w:t>
      </w:r>
      <w:proofErr w:type="gramStart"/>
      <w:r w:rsidRPr="00372CCD">
        <w:rPr>
          <w:rFonts w:cs="Arial"/>
          <w:lang w:val="en-US"/>
        </w:rPr>
        <w:t>vaccinations</w:t>
      </w:r>
      <w:proofErr w:type="gramEnd"/>
    </w:p>
    <w:p w14:paraId="48454DB9" w14:textId="77777777" w:rsidR="00372CCD" w:rsidRPr="00372CCD" w:rsidRDefault="00372CCD" w:rsidP="00CE5A9B">
      <w:pPr>
        <w:pStyle w:val="ListParagraph"/>
        <w:numPr>
          <w:ilvl w:val="0"/>
          <w:numId w:val="6"/>
        </w:numPr>
        <w:spacing w:after="240" w:line="360" w:lineRule="auto"/>
        <w:ind w:left="357" w:hanging="357"/>
        <w:rPr>
          <w:rFonts w:cs="Arial"/>
        </w:rPr>
      </w:pPr>
      <w:r w:rsidRPr="00372CCD">
        <w:rPr>
          <w:rFonts w:cs="Arial"/>
          <w:lang w:val="en-US"/>
        </w:rPr>
        <w:t>Impact of recent lockdown and current COVID-19 situation</w:t>
      </w:r>
    </w:p>
    <w:p w14:paraId="18858AAB" w14:textId="77777777" w:rsidR="00372CCD" w:rsidRPr="00372CCD" w:rsidRDefault="00372CCD" w:rsidP="00CE5A9B">
      <w:pPr>
        <w:pStyle w:val="ListParagraph"/>
        <w:numPr>
          <w:ilvl w:val="0"/>
          <w:numId w:val="6"/>
        </w:numPr>
        <w:spacing w:after="240" w:line="360" w:lineRule="auto"/>
        <w:ind w:left="357" w:hanging="357"/>
        <w:rPr>
          <w:rFonts w:cs="Arial"/>
        </w:rPr>
      </w:pPr>
      <w:r w:rsidRPr="00372CCD">
        <w:rPr>
          <w:rFonts w:cs="Arial"/>
          <w:lang w:val="en-US"/>
        </w:rPr>
        <w:t>Support for (potential) COVID-19 positive participants</w:t>
      </w:r>
    </w:p>
    <w:p w14:paraId="5E54D304" w14:textId="77777777" w:rsidR="00372CCD" w:rsidRPr="00372CCD" w:rsidRDefault="00372CCD" w:rsidP="00CE5A9B">
      <w:pPr>
        <w:pStyle w:val="ListParagraph"/>
        <w:numPr>
          <w:ilvl w:val="0"/>
          <w:numId w:val="6"/>
        </w:numPr>
        <w:spacing w:after="240" w:line="360" w:lineRule="auto"/>
        <w:ind w:left="357" w:hanging="357"/>
        <w:rPr>
          <w:rFonts w:cs="Arial"/>
        </w:rPr>
      </w:pPr>
      <w:r w:rsidRPr="00372CCD">
        <w:rPr>
          <w:rFonts w:cs="Arial"/>
          <w:lang w:val="en-US"/>
        </w:rPr>
        <w:t>Need for traffic light clarity re government directions re COVID-</w:t>
      </w:r>
      <w:proofErr w:type="gramStart"/>
      <w:r w:rsidRPr="00372CCD">
        <w:rPr>
          <w:rFonts w:cs="Arial"/>
          <w:lang w:val="en-US"/>
        </w:rPr>
        <w:t>19</w:t>
      </w:r>
      <w:proofErr w:type="gramEnd"/>
    </w:p>
    <w:p w14:paraId="4E825BA8" w14:textId="77777777" w:rsidR="00372CCD" w:rsidRPr="00372CCD" w:rsidRDefault="00372CCD" w:rsidP="00CE5A9B">
      <w:pPr>
        <w:pStyle w:val="ListParagraph"/>
        <w:numPr>
          <w:ilvl w:val="0"/>
          <w:numId w:val="6"/>
        </w:numPr>
        <w:spacing w:after="240" w:line="360" w:lineRule="auto"/>
        <w:ind w:left="357" w:hanging="357"/>
        <w:rPr>
          <w:rFonts w:cs="Arial"/>
        </w:rPr>
      </w:pPr>
      <w:r w:rsidRPr="00372CCD">
        <w:rPr>
          <w:rFonts w:cs="Arial"/>
          <w:lang w:val="en-US"/>
        </w:rPr>
        <w:t xml:space="preserve">Widespread workforce shortages biting; aggravated by NDIS </w:t>
      </w:r>
      <w:proofErr w:type="gramStart"/>
      <w:r w:rsidRPr="00372CCD">
        <w:rPr>
          <w:rFonts w:cs="Arial"/>
          <w:lang w:val="en-US"/>
        </w:rPr>
        <w:t>Checks</w:t>
      </w:r>
      <w:proofErr w:type="gramEnd"/>
    </w:p>
    <w:p w14:paraId="2FE6F050" w14:textId="77777777" w:rsidR="00372CCD" w:rsidRPr="00372CCD" w:rsidRDefault="00372CCD" w:rsidP="00CE5A9B">
      <w:pPr>
        <w:pStyle w:val="ListParagraph"/>
        <w:numPr>
          <w:ilvl w:val="0"/>
          <w:numId w:val="6"/>
        </w:numPr>
        <w:spacing w:after="240" w:line="360" w:lineRule="auto"/>
        <w:ind w:left="357" w:hanging="357"/>
        <w:rPr>
          <w:rFonts w:cs="Arial"/>
        </w:rPr>
      </w:pPr>
      <w:r w:rsidRPr="00372CCD">
        <w:rPr>
          <w:rFonts w:cs="Arial"/>
          <w:lang w:val="en-US"/>
        </w:rPr>
        <w:lastRenderedPageBreak/>
        <w:t xml:space="preserve">New voluntary Worker Registration has </w:t>
      </w:r>
      <w:proofErr w:type="gramStart"/>
      <w:r w:rsidRPr="00372CCD">
        <w:rPr>
          <w:rFonts w:cs="Arial"/>
          <w:lang w:val="en-US"/>
        </w:rPr>
        <w:t>commenced</w:t>
      </w:r>
      <w:proofErr w:type="gramEnd"/>
    </w:p>
    <w:p w14:paraId="188D92BA" w14:textId="4E97C82B" w:rsidR="00372CCD" w:rsidRPr="00372CCD" w:rsidRDefault="00372CCD" w:rsidP="00CE5A9B">
      <w:pPr>
        <w:pStyle w:val="ListParagraph"/>
        <w:numPr>
          <w:ilvl w:val="0"/>
          <w:numId w:val="6"/>
        </w:numPr>
        <w:spacing w:after="240" w:line="360" w:lineRule="auto"/>
        <w:ind w:left="357" w:hanging="357"/>
        <w:rPr>
          <w:rFonts w:cs="Arial"/>
        </w:rPr>
      </w:pPr>
      <w:r w:rsidRPr="00372CCD">
        <w:rPr>
          <w:rFonts w:cs="Arial"/>
          <w:lang w:val="en-US"/>
        </w:rPr>
        <w:t>Impact of NDIS reforms and cost curbing =&gt; contributing to very dynamic market for disability services</w:t>
      </w:r>
    </w:p>
    <w:p w14:paraId="32B58B2D" w14:textId="4AA36D9F" w:rsidR="00E85ED0" w:rsidRDefault="00A04B31" w:rsidP="00CE5A9B">
      <w:pPr>
        <w:pStyle w:val="Heading1"/>
        <w:spacing w:before="120"/>
      </w:pPr>
      <w:r>
        <w:t xml:space="preserve">Slide </w:t>
      </w:r>
      <w:proofErr w:type="gramStart"/>
      <w:r>
        <w:t>five</w:t>
      </w:r>
      <w:proofErr w:type="gramEnd"/>
    </w:p>
    <w:p w14:paraId="7AB150F0" w14:textId="1B2D19F3" w:rsidR="004E30EE" w:rsidRDefault="004E30EE" w:rsidP="00CE5A9B">
      <w:pPr>
        <w:spacing w:after="240" w:line="360" w:lineRule="auto"/>
        <w:rPr>
          <w:lang w:val="en-US"/>
        </w:rPr>
      </w:pPr>
      <w:r>
        <w:rPr>
          <w:lang w:val="en-US"/>
        </w:rPr>
        <w:t>Policy Update</w:t>
      </w:r>
      <w:r w:rsidR="00F62489">
        <w:rPr>
          <w:lang w:val="en-US"/>
        </w:rPr>
        <w:t xml:space="preserve"> </w:t>
      </w:r>
      <w:r w:rsidR="00DE39E7">
        <w:rPr>
          <w:lang w:val="en-US"/>
        </w:rPr>
        <w:t>from</w:t>
      </w:r>
      <w:r>
        <w:rPr>
          <w:lang w:val="en-US"/>
        </w:rPr>
        <w:t xml:space="preserve"> Philippa Angley, Head of Policy, NDS</w:t>
      </w:r>
    </w:p>
    <w:p w14:paraId="4D62F4D0" w14:textId="74921F8E" w:rsidR="004E30EE" w:rsidRDefault="004E30EE" w:rsidP="00CE5A9B">
      <w:pPr>
        <w:pStyle w:val="Heading1"/>
        <w:spacing w:before="120"/>
      </w:pPr>
      <w:r>
        <w:t xml:space="preserve">Slide </w:t>
      </w:r>
      <w:proofErr w:type="gramStart"/>
      <w:r>
        <w:t>six</w:t>
      </w:r>
      <w:proofErr w:type="gramEnd"/>
    </w:p>
    <w:p w14:paraId="3E528F5B" w14:textId="6FDBB132" w:rsidR="002F1659" w:rsidRDefault="006E6C10" w:rsidP="00CE5A9B">
      <w:pPr>
        <w:pStyle w:val="Heading2"/>
        <w:spacing w:before="120" w:after="240"/>
        <w:rPr>
          <w:lang w:val="en-US"/>
        </w:rPr>
      </w:pPr>
      <w:r>
        <w:rPr>
          <w:lang w:val="en-US"/>
        </w:rPr>
        <w:t>NDS Consultation on NDIS Home and Living Policy</w:t>
      </w:r>
    </w:p>
    <w:p w14:paraId="5A29B9FB" w14:textId="008EF0B6" w:rsidR="002F1659" w:rsidRPr="002F1659" w:rsidRDefault="002F1659" w:rsidP="00CE5A9B">
      <w:pPr>
        <w:spacing w:after="240" w:line="360" w:lineRule="auto"/>
        <w:rPr>
          <w:lang w:val="en-US"/>
        </w:rPr>
      </w:pPr>
      <w:r>
        <w:rPr>
          <w:lang w:val="en-US"/>
        </w:rPr>
        <w:t>Tuesday 20 July 2021, 11.30am – 12.30pm</w:t>
      </w:r>
    </w:p>
    <w:p w14:paraId="2575F549" w14:textId="47F0BAB1" w:rsidR="00DC0FA7" w:rsidRDefault="00334D42" w:rsidP="00CE5A9B">
      <w:pPr>
        <w:spacing w:after="240" w:line="360" w:lineRule="auto"/>
      </w:pPr>
      <w:hyperlink r:id="rId10" w:history="1">
        <w:r w:rsidR="00DC0FA7">
          <w:rPr>
            <w:rStyle w:val="Hyperlink"/>
          </w:rPr>
          <w:t>Meeting Registration - Zoom</w:t>
        </w:r>
      </w:hyperlink>
    </w:p>
    <w:p w14:paraId="7936F163" w14:textId="4A9FE4DE" w:rsidR="00C772D9" w:rsidRDefault="00C772D9" w:rsidP="00CE5A9B">
      <w:pPr>
        <w:pStyle w:val="Heading1"/>
        <w:spacing w:before="120"/>
      </w:pPr>
      <w:r>
        <w:t xml:space="preserve">Slide </w:t>
      </w:r>
      <w:proofErr w:type="gramStart"/>
      <w:r>
        <w:t>seven</w:t>
      </w:r>
      <w:proofErr w:type="gramEnd"/>
    </w:p>
    <w:p w14:paraId="731C06CA" w14:textId="5857CD61" w:rsidR="00C772D9" w:rsidRDefault="00C772D9" w:rsidP="00CE5A9B">
      <w:pPr>
        <w:spacing w:after="240" w:line="360" w:lineRule="auto"/>
        <w:rPr>
          <w:lang w:val="en-US"/>
        </w:rPr>
      </w:pPr>
      <w:r>
        <w:rPr>
          <w:lang w:val="en-US"/>
        </w:rPr>
        <w:t>NDIS</w:t>
      </w:r>
      <w:r w:rsidR="007B1DFB">
        <w:rPr>
          <w:lang w:val="en-US"/>
        </w:rPr>
        <w:t xml:space="preserve"> Q3 SDA Data and Insights</w:t>
      </w:r>
      <w:r w:rsidR="00570978">
        <w:rPr>
          <w:lang w:val="en-US"/>
        </w:rPr>
        <w:t xml:space="preserve"> </w:t>
      </w:r>
      <w:r w:rsidR="009029F2">
        <w:rPr>
          <w:lang w:val="en-US"/>
        </w:rPr>
        <w:t>from</w:t>
      </w:r>
      <w:r w:rsidR="00570978">
        <w:rPr>
          <w:lang w:val="en-US"/>
        </w:rPr>
        <w:t xml:space="preserve"> </w:t>
      </w:r>
      <w:r w:rsidR="00093E5D">
        <w:rPr>
          <w:lang w:val="en-US"/>
        </w:rPr>
        <w:t xml:space="preserve">Clare Hambly, Policy and Project, Quality and Safeguarding </w:t>
      </w:r>
    </w:p>
    <w:p w14:paraId="2CBB5768" w14:textId="67AC89D1" w:rsidR="00D12AE2" w:rsidRDefault="0004175B" w:rsidP="00CE5A9B">
      <w:pPr>
        <w:pStyle w:val="Heading1"/>
        <w:spacing w:before="120"/>
      </w:pPr>
      <w:r>
        <w:t xml:space="preserve">Slide </w:t>
      </w:r>
      <w:proofErr w:type="gramStart"/>
      <w:r>
        <w:t>eight</w:t>
      </w:r>
      <w:proofErr w:type="gramEnd"/>
    </w:p>
    <w:p w14:paraId="612FFCC0" w14:textId="7D72AEBF" w:rsidR="0004175B" w:rsidRDefault="0004175B" w:rsidP="00CE5A9B">
      <w:pPr>
        <w:pStyle w:val="ListParagraph"/>
        <w:numPr>
          <w:ilvl w:val="0"/>
          <w:numId w:val="8"/>
        </w:numPr>
        <w:spacing w:after="240" w:line="360" w:lineRule="auto"/>
        <w:ind w:left="357" w:hanging="357"/>
        <w:rPr>
          <w:lang w:val="en-US"/>
        </w:rPr>
      </w:pPr>
      <w:r>
        <w:rPr>
          <w:lang w:val="en-US"/>
        </w:rPr>
        <w:t>5,195 of the 120,375 Victorian NDS participants have SDA funding (4.3</w:t>
      </w:r>
      <w:r w:rsidR="007374AA">
        <w:rPr>
          <w:lang w:val="en-US"/>
        </w:rPr>
        <w:t xml:space="preserve"> per cent)</w:t>
      </w:r>
    </w:p>
    <w:p w14:paraId="33A6DC2F" w14:textId="73B0DB3A" w:rsidR="007374AA" w:rsidRDefault="007374AA" w:rsidP="00CE5A9B">
      <w:pPr>
        <w:pStyle w:val="ListParagraph"/>
        <w:numPr>
          <w:ilvl w:val="0"/>
          <w:numId w:val="8"/>
        </w:numPr>
        <w:spacing w:after="240" w:line="360" w:lineRule="auto"/>
        <w:ind w:left="357" w:hanging="357"/>
        <w:rPr>
          <w:lang w:val="en-US"/>
        </w:rPr>
      </w:pPr>
      <w:r>
        <w:rPr>
          <w:lang w:val="en-US"/>
        </w:rPr>
        <w:t xml:space="preserve">There are 15,842 participants with SDA across the scheme, making up 3.5 per cent of scheme </w:t>
      </w:r>
      <w:proofErr w:type="gramStart"/>
      <w:r>
        <w:rPr>
          <w:lang w:val="en-US"/>
        </w:rPr>
        <w:t>participants</w:t>
      </w:r>
      <w:proofErr w:type="gramEnd"/>
    </w:p>
    <w:p w14:paraId="589D2221" w14:textId="18C5B007" w:rsidR="00D50AC6" w:rsidRDefault="007374AA" w:rsidP="00CE5A9B">
      <w:pPr>
        <w:pStyle w:val="ListParagraph"/>
        <w:numPr>
          <w:ilvl w:val="0"/>
          <w:numId w:val="8"/>
        </w:numPr>
        <w:spacing w:after="240" w:line="360" w:lineRule="auto"/>
        <w:ind w:left="357" w:hanging="357"/>
        <w:rPr>
          <w:lang w:val="en-US"/>
        </w:rPr>
      </w:pPr>
      <w:r>
        <w:rPr>
          <w:lang w:val="en-US"/>
        </w:rPr>
        <w:t xml:space="preserve">There were 53 active SDA providers in 2020-21 Q3 in </w:t>
      </w:r>
      <w:proofErr w:type="gramStart"/>
      <w:r>
        <w:rPr>
          <w:lang w:val="en-US"/>
        </w:rPr>
        <w:t>Victoria</w:t>
      </w:r>
      <w:proofErr w:type="gramEnd"/>
    </w:p>
    <w:p w14:paraId="72FECBF7" w14:textId="46E2C23C" w:rsidR="00D50AC6" w:rsidRDefault="00D50AC6" w:rsidP="00CE5A9B">
      <w:pPr>
        <w:pStyle w:val="Heading1"/>
        <w:spacing w:before="120"/>
      </w:pPr>
      <w:r>
        <w:t xml:space="preserve">Slide </w:t>
      </w:r>
      <w:proofErr w:type="gramStart"/>
      <w:r>
        <w:t>nine</w:t>
      </w:r>
      <w:proofErr w:type="gramEnd"/>
    </w:p>
    <w:p w14:paraId="04424175" w14:textId="08391C59" w:rsidR="00876A93" w:rsidRDefault="00876A93" w:rsidP="00CE5A9B">
      <w:pPr>
        <w:spacing w:after="240" w:line="360" w:lineRule="auto"/>
        <w:rPr>
          <w:lang w:val="en-US"/>
        </w:rPr>
      </w:pPr>
      <w:r>
        <w:rPr>
          <w:lang w:val="en-US"/>
        </w:rPr>
        <w:t>SDA Dwelling Stats (Victoria)</w:t>
      </w:r>
      <w:r w:rsidR="00C55B22">
        <w:rPr>
          <w:lang w:val="en-US"/>
        </w:rPr>
        <w:t xml:space="preserve"> as at 2020-21 Q3</w:t>
      </w:r>
    </w:p>
    <w:p w14:paraId="120125A0" w14:textId="6915E3CD" w:rsidR="004976F7" w:rsidRPr="00E5198B" w:rsidRDefault="00E5198B" w:rsidP="00CE5A9B">
      <w:pPr>
        <w:pStyle w:val="ListParagraph"/>
        <w:numPr>
          <w:ilvl w:val="0"/>
          <w:numId w:val="9"/>
        </w:numPr>
        <w:spacing w:after="240" w:line="360" w:lineRule="auto"/>
        <w:ind w:left="357" w:hanging="357"/>
        <w:rPr>
          <w:lang w:val="en-US"/>
        </w:rPr>
      </w:pPr>
      <w:r w:rsidRPr="00E5198B">
        <w:t xml:space="preserve">There are 789 SDA dwellings in Victoria, noted in Q3 2020-21 </w:t>
      </w:r>
      <w:proofErr w:type="gramStart"/>
      <w:r w:rsidRPr="00E5198B">
        <w:t>report</w:t>
      </w:r>
      <w:proofErr w:type="gramEnd"/>
    </w:p>
    <w:p w14:paraId="07D12D95" w14:textId="183B4009" w:rsidR="00E5198B" w:rsidRDefault="00E5198B" w:rsidP="00CE5A9B">
      <w:pPr>
        <w:pStyle w:val="ListParagraph"/>
        <w:spacing w:after="240" w:line="360" w:lineRule="auto"/>
        <w:ind w:left="357" w:hanging="357"/>
      </w:pPr>
      <w:r w:rsidRPr="00E5198B">
        <w:t>Total Number of Dwellings by Design Category (VIC):</w:t>
      </w:r>
    </w:p>
    <w:p w14:paraId="34145763" w14:textId="72B4F4CB" w:rsidR="006941F2" w:rsidRDefault="006941F2" w:rsidP="00CE5A9B">
      <w:pPr>
        <w:pStyle w:val="ListParagraph"/>
        <w:numPr>
          <w:ilvl w:val="1"/>
          <w:numId w:val="1"/>
        </w:numPr>
        <w:spacing w:after="240" w:line="360" w:lineRule="auto"/>
        <w:ind w:left="641" w:hanging="357"/>
      </w:pPr>
      <w:r>
        <w:t>Basic: 262</w:t>
      </w:r>
    </w:p>
    <w:p w14:paraId="231FF474" w14:textId="28E4DAD0" w:rsidR="006941F2" w:rsidRDefault="006941F2" w:rsidP="00CE5A9B">
      <w:pPr>
        <w:pStyle w:val="ListParagraph"/>
        <w:numPr>
          <w:ilvl w:val="1"/>
          <w:numId w:val="1"/>
        </w:numPr>
        <w:spacing w:after="240" w:line="360" w:lineRule="auto"/>
        <w:ind w:left="641" w:hanging="357"/>
      </w:pPr>
      <w:r>
        <w:t>Improved Liveability: 178</w:t>
      </w:r>
    </w:p>
    <w:p w14:paraId="6EAB2F3B" w14:textId="7830E8BB" w:rsidR="006941F2" w:rsidRDefault="006941F2" w:rsidP="00CE5A9B">
      <w:pPr>
        <w:pStyle w:val="ListParagraph"/>
        <w:numPr>
          <w:ilvl w:val="1"/>
          <w:numId w:val="1"/>
        </w:numPr>
        <w:spacing w:after="240" w:line="360" w:lineRule="auto"/>
        <w:ind w:left="641" w:hanging="357"/>
      </w:pPr>
      <w:r>
        <w:lastRenderedPageBreak/>
        <w:t>High Physical Support: 213</w:t>
      </w:r>
    </w:p>
    <w:p w14:paraId="075D4CDE" w14:textId="1F2941C5" w:rsidR="006941F2" w:rsidRDefault="006941F2" w:rsidP="00CE5A9B">
      <w:pPr>
        <w:pStyle w:val="ListParagraph"/>
        <w:numPr>
          <w:ilvl w:val="1"/>
          <w:numId w:val="1"/>
        </w:numPr>
        <w:spacing w:after="240" w:line="360" w:lineRule="auto"/>
        <w:ind w:left="641" w:hanging="357"/>
      </w:pPr>
      <w:r>
        <w:t>Robust: 50</w:t>
      </w:r>
    </w:p>
    <w:p w14:paraId="0CCCD991" w14:textId="018F195D" w:rsidR="006941F2" w:rsidRDefault="006941F2" w:rsidP="00CE5A9B">
      <w:pPr>
        <w:pStyle w:val="ListParagraph"/>
        <w:numPr>
          <w:ilvl w:val="1"/>
          <w:numId w:val="1"/>
        </w:numPr>
        <w:spacing w:after="240" w:line="360" w:lineRule="auto"/>
        <w:ind w:left="641" w:hanging="357"/>
      </w:pPr>
      <w:r>
        <w:t>Fully Accessible: 86</w:t>
      </w:r>
    </w:p>
    <w:p w14:paraId="47DE1913" w14:textId="77777777" w:rsidR="00E13573" w:rsidRPr="00E13573" w:rsidRDefault="00E13573" w:rsidP="00CE5A9B">
      <w:pPr>
        <w:pStyle w:val="ListParagraph"/>
        <w:numPr>
          <w:ilvl w:val="0"/>
          <w:numId w:val="9"/>
        </w:numPr>
        <w:spacing w:after="240" w:line="360" w:lineRule="auto"/>
        <w:ind w:left="357" w:hanging="357"/>
      </w:pPr>
      <w:r w:rsidRPr="00E13573">
        <w:t>Number of Dwellings by Max Occupancy (VIC):</w:t>
      </w:r>
    </w:p>
    <w:p w14:paraId="69CCAFB8" w14:textId="5F959729" w:rsidR="006941F2" w:rsidRDefault="00E13573" w:rsidP="00CE5A9B">
      <w:pPr>
        <w:pStyle w:val="ListParagraph"/>
        <w:numPr>
          <w:ilvl w:val="0"/>
          <w:numId w:val="12"/>
        </w:numPr>
        <w:spacing w:after="240" w:line="360" w:lineRule="auto"/>
      </w:pPr>
      <w:r>
        <w:t>One: 278</w:t>
      </w:r>
    </w:p>
    <w:p w14:paraId="08D4E98C" w14:textId="39F810B1" w:rsidR="00E13573" w:rsidRDefault="00E13573" w:rsidP="00CE5A9B">
      <w:pPr>
        <w:pStyle w:val="ListParagraph"/>
        <w:numPr>
          <w:ilvl w:val="0"/>
          <w:numId w:val="12"/>
        </w:numPr>
        <w:spacing w:after="240" w:line="360" w:lineRule="auto"/>
      </w:pPr>
      <w:r>
        <w:t>Two: 123</w:t>
      </w:r>
    </w:p>
    <w:p w14:paraId="7CA52965" w14:textId="51B59FA9" w:rsidR="00E13573" w:rsidRDefault="00E13573" w:rsidP="00CE5A9B">
      <w:pPr>
        <w:pStyle w:val="ListParagraph"/>
        <w:numPr>
          <w:ilvl w:val="0"/>
          <w:numId w:val="12"/>
        </w:numPr>
        <w:spacing w:after="240" w:line="360" w:lineRule="auto"/>
      </w:pPr>
      <w:r>
        <w:t>Three: 90</w:t>
      </w:r>
    </w:p>
    <w:p w14:paraId="3FBB06CA" w14:textId="1872EFFB" w:rsidR="00E13573" w:rsidRDefault="00E13573" w:rsidP="00CE5A9B">
      <w:pPr>
        <w:pStyle w:val="ListParagraph"/>
        <w:numPr>
          <w:ilvl w:val="0"/>
          <w:numId w:val="12"/>
        </w:numPr>
        <w:spacing w:after="240" w:line="360" w:lineRule="auto"/>
      </w:pPr>
      <w:r>
        <w:t>Four: 53</w:t>
      </w:r>
    </w:p>
    <w:p w14:paraId="0C6D2E74" w14:textId="6B24A4FC" w:rsidR="00E13573" w:rsidRDefault="00E13573" w:rsidP="00CE5A9B">
      <w:pPr>
        <w:pStyle w:val="ListParagraph"/>
        <w:numPr>
          <w:ilvl w:val="0"/>
          <w:numId w:val="12"/>
        </w:numPr>
        <w:spacing w:after="240" w:line="360" w:lineRule="auto"/>
      </w:pPr>
      <w:r>
        <w:t>Five: 156</w:t>
      </w:r>
    </w:p>
    <w:p w14:paraId="77DA3FC5" w14:textId="5696F8F9" w:rsidR="00E13573" w:rsidRDefault="00E13573" w:rsidP="00CE5A9B">
      <w:pPr>
        <w:pStyle w:val="ListParagraph"/>
        <w:numPr>
          <w:ilvl w:val="0"/>
          <w:numId w:val="12"/>
        </w:numPr>
        <w:spacing w:after="240" w:line="360" w:lineRule="auto"/>
      </w:pPr>
      <w:r>
        <w:t>More than six: 90</w:t>
      </w:r>
    </w:p>
    <w:p w14:paraId="78DA5F4A" w14:textId="3C458979" w:rsidR="00DB3C34" w:rsidRDefault="00DB3C34" w:rsidP="00CE5A9B">
      <w:pPr>
        <w:pStyle w:val="Heading1"/>
        <w:spacing w:before="120"/>
      </w:pPr>
      <w:r>
        <w:t xml:space="preserve">Slide </w:t>
      </w:r>
      <w:proofErr w:type="gramStart"/>
      <w:r>
        <w:t>ten</w:t>
      </w:r>
      <w:proofErr w:type="gramEnd"/>
    </w:p>
    <w:p w14:paraId="52B7AE96" w14:textId="0112F264" w:rsidR="00DB3C34" w:rsidRDefault="00DB3C34" w:rsidP="00CE5A9B">
      <w:pPr>
        <w:pStyle w:val="Heading2"/>
        <w:spacing w:before="120" w:after="240"/>
        <w:rPr>
          <w:lang w:val="en-US"/>
        </w:rPr>
      </w:pPr>
      <w:r>
        <w:rPr>
          <w:lang w:val="en-US"/>
        </w:rPr>
        <w:t>SDA Demand in Victoria</w:t>
      </w:r>
    </w:p>
    <w:p w14:paraId="4EE9AA23" w14:textId="01932491" w:rsidR="006D48A4" w:rsidRDefault="006D48A4" w:rsidP="00CE5A9B">
      <w:pPr>
        <w:spacing w:after="240" w:line="360" w:lineRule="auto"/>
        <w:rPr>
          <w:lang w:val="en-US"/>
        </w:rPr>
      </w:pPr>
      <w:r>
        <w:rPr>
          <w:lang w:val="en-US"/>
        </w:rPr>
        <w:t xml:space="preserve">Number of participants with identified SDA needs by </w:t>
      </w:r>
      <w:proofErr w:type="gramStart"/>
      <w:r>
        <w:rPr>
          <w:lang w:val="en-US"/>
        </w:rPr>
        <w:t>status</w:t>
      </w:r>
      <w:proofErr w:type="gramEnd"/>
    </w:p>
    <w:p w14:paraId="3D5DB8C7" w14:textId="72B88FD3" w:rsidR="007F0FD9" w:rsidRDefault="006D48A4" w:rsidP="00CE5A9B">
      <w:pPr>
        <w:pStyle w:val="ListParagraph"/>
        <w:numPr>
          <w:ilvl w:val="0"/>
          <w:numId w:val="13"/>
        </w:numPr>
        <w:spacing w:after="240" w:line="360" w:lineRule="auto"/>
        <w:ind w:left="357" w:hanging="357"/>
        <w:rPr>
          <w:lang w:val="en-US"/>
        </w:rPr>
      </w:pPr>
      <w:r>
        <w:rPr>
          <w:lang w:val="en-US"/>
        </w:rPr>
        <w:t>In SDA Dwelling: 4,855</w:t>
      </w:r>
    </w:p>
    <w:p w14:paraId="0EEB084C" w14:textId="77777777" w:rsidR="007F0FD9" w:rsidRPr="007F0FD9" w:rsidRDefault="007F0FD9" w:rsidP="00CE5A9B">
      <w:pPr>
        <w:pStyle w:val="ListParagraph"/>
        <w:spacing w:after="240" w:line="360" w:lineRule="auto"/>
        <w:ind w:left="357" w:hanging="357"/>
      </w:pPr>
      <w:r w:rsidRPr="007F0FD9">
        <w:t xml:space="preserve">In SDA dwelling, seeking alternative: </w:t>
      </w:r>
      <w:proofErr w:type="gramStart"/>
      <w:r w:rsidRPr="007F0FD9">
        <w:t>340</w:t>
      </w:r>
      <w:proofErr w:type="gramEnd"/>
    </w:p>
    <w:p w14:paraId="69A9F7E4" w14:textId="77777777" w:rsidR="007F0FD9" w:rsidRPr="007F0FD9" w:rsidRDefault="007F0FD9" w:rsidP="00CE5A9B">
      <w:pPr>
        <w:pStyle w:val="ListParagraph"/>
        <w:spacing w:after="240" w:line="360" w:lineRule="auto"/>
        <w:ind w:left="357" w:hanging="357"/>
      </w:pPr>
      <w:r w:rsidRPr="007F0FD9">
        <w:t xml:space="preserve">Not currently in SDA, seeking dwelling: </w:t>
      </w:r>
      <w:proofErr w:type="gramStart"/>
      <w:r w:rsidRPr="007F0FD9">
        <w:t>472</w:t>
      </w:r>
      <w:proofErr w:type="gramEnd"/>
    </w:p>
    <w:p w14:paraId="2D729261" w14:textId="3B83559B" w:rsidR="007F0FD9" w:rsidRDefault="007F0FD9" w:rsidP="00CE5A9B">
      <w:pPr>
        <w:spacing w:after="240" w:line="360" w:lineRule="auto"/>
        <w:rPr>
          <w:lang w:val="en-US"/>
        </w:rPr>
      </w:pPr>
      <w:r>
        <w:rPr>
          <w:lang w:val="en-US"/>
        </w:rPr>
        <w:t>Areas with highest number of participants seeking SDA dwelling:</w:t>
      </w:r>
    </w:p>
    <w:p w14:paraId="0A3335B2" w14:textId="77777777" w:rsidR="007F0FD9" w:rsidRDefault="007F0FD9" w:rsidP="00CE5A9B">
      <w:pPr>
        <w:pStyle w:val="ListParagraph"/>
        <w:numPr>
          <w:ilvl w:val="0"/>
          <w:numId w:val="13"/>
        </w:numPr>
        <w:spacing w:after="240" w:line="360" w:lineRule="auto"/>
        <w:ind w:left="357" w:hanging="357"/>
      </w:pPr>
      <w:r w:rsidRPr="007F0FD9">
        <w:t>Melbourne – Outer East (51)</w:t>
      </w:r>
    </w:p>
    <w:p w14:paraId="47AF89AB" w14:textId="77777777" w:rsidR="007F0FD9" w:rsidRDefault="007F0FD9" w:rsidP="00CE5A9B">
      <w:pPr>
        <w:pStyle w:val="ListParagraph"/>
        <w:numPr>
          <w:ilvl w:val="0"/>
          <w:numId w:val="13"/>
        </w:numPr>
        <w:spacing w:after="240" w:line="360" w:lineRule="auto"/>
        <w:ind w:left="357" w:hanging="357"/>
      </w:pPr>
      <w:r w:rsidRPr="007F0FD9">
        <w:t xml:space="preserve">Melbourne – </w:t>
      </w:r>
      <w:proofErr w:type="gramStart"/>
      <w:r w:rsidRPr="007F0FD9">
        <w:t>South East</w:t>
      </w:r>
      <w:proofErr w:type="gramEnd"/>
      <w:r w:rsidRPr="007F0FD9">
        <w:t xml:space="preserve"> (65)</w:t>
      </w:r>
    </w:p>
    <w:p w14:paraId="5468E640" w14:textId="77777777" w:rsidR="007F0FD9" w:rsidRDefault="007F0FD9" w:rsidP="00CE5A9B">
      <w:pPr>
        <w:pStyle w:val="ListParagraph"/>
        <w:numPr>
          <w:ilvl w:val="0"/>
          <w:numId w:val="13"/>
        </w:numPr>
        <w:spacing w:after="240" w:line="360" w:lineRule="auto"/>
        <w:ind w:left="357" w:hanging="357"/>
      </w:pPr>
      <w:r w:rsidRPr="007F0FD9">
        <w:t>Mornington Peninsula (48)</w:t>
      </w:r>
    </w:p>
    <w:p w14:paraId="01210388" w14:textId="39619128" w:rsidR="007F0FD9" w:rsidRDefault="007F0FD9" w:rsidP="00CE5A9B">
      <w:pPr>
        <w:pStyle w:val="ListParagraph"/>
        <w:numPr>
          <w:ilvl w:val="0"/>
          <w:numId w:val="13"/>
        </w:numPr>
        <w:spacing w:after="240" w:line="360" w:lineRule="auto"/>
        <w:ind w:left="357" w:hanging="357"/>
      </w:pPr>
      <w:r w:rsidRPr="007F0FD9">
        <w:t>Geelong (40)</w:t>
      </w:r>
    </w:p>
    <w:p w14:paraId="6F0A86A4" w14:textId="748A29D1" w:rsidR="00CB5929" w:rsidRDefault="00FD44C0" w:rsidP="00CE5A9B">
      <w:pPr>
        <w:pStyle w:val="Heading1"/>
        <w:spacing w:before="120"/>
      </w:pPr>
      <w:r>
        <w:t xml:space="preserve">Slide </w:t>
      </w:r>
      <w:proofErr w:type="gramStart"/>
      <w:r>
        <w:t>eleven</w:t>
      </w:r>
      <w:proofErr w:type="gramEnd"/>
    </w:p>
    <w:p w14:paraId="73732990" w14:textId="56349AF6" w:rsidR="00FD44C0" w:rsidRDefault="00FD44C0" w:rsidP="00CE5A9B">
      <w:pPr>
        <w:pStyle w:val="ListParagraph"/>
        <w:numPr>
          <w:ilvl w:val="0"/>
          <w:numId w:val="16"/>
        </w:numPr>
        <w:spacing w:after="240" w:line="360" w:lineRule="auto"/>
        <w:ind w:left="357" w:hanging="357"/>
        <w:rPr>
          <w:lang w:val="en-US"/>
        </w:rPr>
      </w:pPr>
      <w:r>
        <w:rPr>
          <w:lang w:val="en-US"/>
        </w:rPr>
        <w:t>Improved Livability: 315</w:t>
      </w:r>
    </w:p>
    <w:p w14:paraId="3B29B2B9" w14:textId="5DB94BF0" w:rsidR="00FD44C0" w:rsidRDefault="00FD44C0" w:rsidP="00CE5A9B">
      <w:pPr>
        <w:pStyle w:val="ListParagraph"/>
        <w:numPr>
          <w:ilvl w:val="0"/>
          <w:numId w:val="16"/>
        </w:numPr>
        <w:spacing w:after="240" w:line="360" w:lineRule="auto"/>
        <w:ind w:left="357" w:hanging="357"/>
        <w:rPr>
          <w:lang w:val="en-US"/>
        </w:rPr>
      </w:pPr>
      <w:r>
        <w:rPr>
          <w:lang w:val="en-US"/>
        </w:rPr>
        <w:t>High Physical Support: 176</w:t>
      </w:r>
    </w:p>
    <w:p w14:paraId="28A32891" w14:textId="58274D45" w:rsidR="00FD44C0" w:rsidRDefault="00FD44C0" w:rsidP="00CE5A9B">
      <w:pPr>
        <w:pStyle w:val="ListParagraph"/>
        <w:numPr>
          <w:ilvl w:val="0"/>
          <w:numId w:val="16"/>
        </w:numPr>
        <w:spacing w:after="240" w:line="360" w:lineRule="auto"/>
        <w:ind w:left="357" w:hanging="357"/>
        <w:rPr>
          <w:lang w:val="en-US"/>
        </w:rPr>
      </w:pPr>
      <w:r>
        <w:rPr>
          <w:lang w:val="en-US"/>
        </w:rPr>
        <w:t>Robust: 60</w:t>
      </w:r>
    </w:p>
    <w:p w14:paraId="76CC36F1" w14:textId="76CE1447" w:rsidR="00FD44C0" w:rsidRDefault="00FD44C0" w:rsidP="00CE5A9B">
      <w:pPr>
        <w:pStyle w:val="ListParagraph"/>
        <w:numPr>
          <w:ilvl w:val="0"/>
          <w:numId w:val="16"/>
        </w:numPr>
        <w:spacing w:after="240" w:line="360" w:lineRule="auto"/>
        <w:ind w:left="357" w:hanging="357"/>
        <w:rPr>
          <w:lang w:val="en-US"/>
        </w:rPr>
      </w:pPr>
      <w:r>
        <w:rPr>
          <w:lang w:val="en-US"/>
        </w:rPr>
        <w:t>Fully accessible: 130</w:t>
      </w:r>
    </w:p>
    <w:p w14:paraId="4919A2C0" w14:textId="17526189" w:rsidR="00FD44C0" w:rsidRDefault="00FD44C0" w:rsidP="00CE5A9B">
      <w:pPr>
        <w:pStyle w:val="ListParagraph"/>
        <w:numPr>
          <w:ilvl w:val="0"/>
          <w:numId w:val="16"/>
        </w:numPr>
        <w:spacing w:after="240" w:line="360" w:lineRule="auto"/>
        <w:ind w:left="357" w:hanging="357"/>
        <w:rPr>
          <w:lang w:val="en-US"/>
        </w:rPr>
      </w:pPr>
      <w:r>
        <w:rPr>
          <w:lang w:val="en-US"/>
        </w:rPr>
        <w:t>Unknown: 131</w:t>
      </w:r>
    </w:p>
    <w:p w14:paraId="4E7481D6" w14:textId="39D9D826" w:rsidR="00FD44C0" w:rsidRDefault="008C1E30" w:rsidP="00CE5A9B">
      <w:pPr>
        <w:pStyle w:val="Heading1"/>
        <w:spacing w:before="120"/>
      </w:pPr>
      <w:r>
        <w:lastRenderedPageBreak/>
        <w:t xml:space="preserve">Slide </w:t>
      </w:r>
      <w:proofErr w:type="gramStart"/>
      <w:r>
        <w:t>twelve</w:t>
      </w:r>
      <w:proofErr w:type="gramEnd"/>
    </w:p>
    <w:p w14:paraId="75460A3C" w14:textId="1EB948DE" w:rsidR="00747052" w:rsidRDefault="00FE32D3" w:rsidP="00CE5A9B">
      <w:pPr>
        <w:spacing w:after="240" w:line="360" w:lineRule="auto"/>
        <w:rPr>
          <w:lang w:val="en-US"/>
        </w:rPr>
      </w:pPr>
      <w:r>
        <w:rPr>
          <w:lang w:val="en-US"/>
        </w:rPr>
        <w:t>SDA Issues and Insights</w:t>
      </w:r>
      <w:r w:rsidR="009029F2">
        <w:rPr>
          <w:lang w:val="en-US"/>
        </w:rPr>
        <w:t xml:space="preserve"> from</w:t>
      </w:r>
      <w:r>
        <w:rPr>
          <w:lang w:val="en-US"/>
        </w:rPr>
        <w:t xml:space="preserve"> Heidi Cheung</w:t>
      </w:r>
      <w:r w:rsidR="000327FA">
        <w:rPr>
          <w:lang w:val="en-US"/>
        </w:rPr>
        <w:t>, Senior Policy and Project Officer, Quality and Safeguarding</w:t>
      </w:r>
    </w:p>
    <w:p w14:paraId="452D3780" w14:textId="11761853" w:rsidR="00E46BDB" w:rsidRDefault="001617CB" w:rsidP="00CE5A9B">
      <w:pPr>
        <w:pStyle w:val="Heading1"/>
        <w:spacing w:before="120"/>
      </w:pPr>
      <w:r>
        <w:t xml:space="preserve">Slide </w:t>
      </w:r>
      <w:proofErr w:type="gramStart"/>
      <w:r>
        <w:t>thirteen</w:t>
      </w:r>
      <w:proofErr w:type="gramEnd"/>
    </w:p>
    <w:p w14:paraId="7A8FD57B" w14:textId="7A110152" w:rsidR="001617CB" w:rsidRDefault="001617CB" w:rsidP="00CE5A9B">
      <w:pPr>
        <w:pStyle w:val="Heading2"/>
        <w:spacing w:before="120" w:after="240"/>
        <w:rPr>
          <w:lang w:val="en-US"/>
        </w:rPr>
      </w:pPr>
      <w:r>
        <w:rPr>
          <w:lang w:val="en-US"/>
        </w:rPr>
        <w:t>SDA Issues Summary</w:t>
      </w:r>
    </w:p>
    <w:p w14:paraId="22242227" w14:textId="64C3F53E" w:rsidR="00AE7A9B" w:rsidRPr="00AE7A9B" w:rsidRDefault="00FC21FC" w:rsidP="00AE7A9B">
      <w:pPr>
        <w:numPr>
          <w:ilvl w:val="0"/>
          <w:numId w:val="17"/>
        </w:numPr>
        <w:spacing w:after="240" w:line="360" w:lineRule="auto"/>
        <w:ind w:left="0" w:firstLine="0"/>
        <w:rPr>
          <w:rFonts w:cs="Arial"/>
        </w:rPr>
      </w:pPr>
      <w:r w:rsidRPr="00FC21FC">
        <w:rPr>
          <w:rFonts w:cs="Arial"/>
          <w:lang w:val="en-US"/>
        </w:rPr>
        <w:t>Implications for SIL Providers with gazetted properties (</w:t>
      </w:r>
      <w:proofErr w:type="gramStart"/>
      <w:r w:rsidRPr="00FC21FC">
        <w:rPr>
          <w:rFonts w:cs="Arial"/>
          <w:lang w:val="en-US"/>
        </w:rPr>
        <w:t>e</w:t>
      </w:r>
      <w:r>
        <w:rPr>
          <w:rFonts w:cs="Arial"/>
          <w:lang w:val="en-US"/>
        </w:rPr>
        <w:t>.</w:t>
      </w:r>
      <w:r w:rsidRPr="00FC21FC">
        <w:rPr>
          <w:rFonts w:cs="Arial"/>
          <w:lang w:val="en-US"/>
        </w:rPr>
        <w:t>g.</w:t>
      </w:r>
      <w:proofErr w:type="gramEnd"/>
      <w:r w:rsidRPr="00FC21FC">
        <w:rPr>
          <w:rFonts w:cs="Arial"/>
          <w:lang w:val="en-US"/>
        </w:rPr>
        <w:t xml:space="preserve"> </w:t>
      </w:r>
      <w:r w:rsidR="00F21904">
        <w:rPr>
          <w:rFonts w:cs="Arial"/>
          <w:lang w:val="en-US"/>
        </w:rPr>
        <w:t>d</w:t>
      </w:r>
      <w:r w:rsidRPr="00FC21FC">
        <w:rPr>
          <w:rFonts w:cs="Arial"/>
          <w:lang w:val="en-US"/>
        </w:rPr>
        <w:t>ouble audits</w:t>
      </w:r>
      <w:r w:rsidR="00AE7A9B">
        <w:rPr>
          <w:rFonts w:cs="Arial"/>
          <w:lang w:val="en-US"/>
        </w:rPr>
        <w:t>)</w:t>
      </w:r>
    </w:p>
    <w:p w14:paraId="0316C2D3" w14:textId="658B0AA4" w:rsidR="00FC21FC" w:rsidRPr="00FC21FC" w:rsidRDefault="00FC21FC" w:rsidP="00AE7A9B">
      <w:pPr>
        <w:numPr>
          <w:ilvl w:val="0"/>
          <w:numId w:val="17"/>
        </w:numPr>
        <w:spacing w:after="240" w:line="360" w:lineRule="auto"/>
        <w:ind w:left="0" w:firstLine="0"/>
        <w:rPr>
          <w:rFonts w:cs="Arial"/>
        </w:rPr>
      </w:pPr>
      <w:r w:rsidRPr="00FC21FC">
        <w:rPr>
          <w:rFonts w:cs="Arial"/>
          <w:lang w:val="en-US"/>
        </w:rPr>
        <w:t>Relationship between SDA Design Standard and Building Code of Australia</w:t>
      </w:r>
    </w:p>
    <w:p w14:paraId="1B3CDCEB" w14:textId="77777777" w:rsidR="00FC21FC" w:rsidRPr="00FC21FC" w:rsidRDefault="00FC21FC" w:rsidP="00CE5A9B">
      <w:pPr>
        <w:numPr>
          <w:ilvl w:val="0"/>
          <w:numId w:val="17"/>
        </w:numPr>
        <w:spacing w:after="240" w:line="360" w:lineRule="auto"/>
        <w:ind w:left="0" w:firstLine="0"/>
        <w:rPr>
          <w:rFonts w:cs="Arial"/>
        </w:rPr>
      </w:pPr>
      <w:r w:rsidRPr="00FC21FC">
        <w:rPr>
          <w:rFonts w:cs="Arial"/>
          <w:lang w:val="en-US"/>
        </w:rPr>
        <w:t>Fire safety requirements and SDA rentals for more than 2 unrelated people</w:t>
      </w:r>
    </w:p>
    <w:p w14:paraId="08F3D9B1" w14:textId="77777777" w:rsidR="00FC21FC" w:rsidRPr="00FC21FC" w:rsidRDefault="00FC21FC" w:rsidP="00CE5A9B">
      <w:pPr>
        <w:numPr>
          <w:ilvl w:val="0"/>
          <w:numId w:val="17"/>
        </w:numPr>
        <w:spacing w:after="240" w:line="360" w:lineRule="auto"/>
        <w:ind w:left="0" w:firstLine="0"/>
        <w:rPr>
          <w:rFonts w:cs="Arial"/>
        </w:rPr>
      </w:pPr>
      <w:r w:rsidRPr="00FC21FC">
        <w:rPr>
          <w:rFonts w:cs="Arial"/>
          <w:lang w:val="en-US"/>
        </w:rPr>
        <w:t>Delays in NDIA SDA and SIL allocation =&gt; more vacancies</w:t>
      </w:r>
    </w:p>
    <w:p w14:paraId="0DF32196" w14:textId="77777777" w:rsidR="00FC21FC" w:rsidRPr="00FC21FC" w:rsidRDefault="00FC21FC" w:rsidP="00CE5A9B">
      <w:pPr>
        <w:numPr>
          <w:ilvl w:val="0"/>
          <w:numId w:val="17"/>
        </w:numPr>
        <w:spacing w:after="240" w:line="360" w:lineRule="auto"/>
        <w:ind w:left="0" w:firstLine="0"/>
        <w:rPr>
          <w:rFonts w:cs="Arial"/>
        </w:rPr>
      </w:pPr>
      <w:r w:rsidRPr="00FC21FC">
        <w:rPr>
          <w:rFonts w:cs="Arial"/>
          <w:lang w:val="en-US"/>
        </w:rPr>
        <w:t xml:space="preserve">Mismatch between what's being built and what's being funded under </w:t>
      </w:r>
      <w:proofErr w:type="gramStart"/>
      <w:r w:rsidRPr="00FC21FC">
        <w:rPr>
          <w:rFonts w:cs="Arial"/>
          <w:lang w:val="en-US"/>
        </w:rPr>
        <w:t>SDA</w:t>
      </w:r>
      <w:proofErr w:type="gramEnd"/>
    </w:p>
    <w:p w14:paraId="435C3981" w14:textId="77777777" w:rsidR="00FC21FC" w:rsidRPr="00FC21FC" w:rsidRDefault="00FC21FC" w:rsidP="00CE5A9B">
      <w:pPr>
        <w:numPr>
          <w:ilvl w:val="0"/>
          <w:numId w:val="17"/>
        </w:numPr>
        <w:spacing w:after="240" w:line="360" w:lineRule="auto"/>
        <w:ind w:left="0" w:firstLine="0"/>
        <w:rPr>
          <w:rFonts w:cs="Arial"/>
        </w:rPr>
      </w:pPr>
      <w:r w:rsidRPr="00FC21FC">
        <w:rPr>
          <w:rFonts w:cs="Arial"/>
          <w:lang w:val="en-US"/>
        </w:rPr>
        <w:t>Access to SDA supply and demand data</w:t>
      </w:r>
    </w:p>
    <w:p w14:paraId="4416E4AD" w14:textId="77777777" w:rsidR="00FC21FC" w:rsidRPr="00FC21FC" w:rsidRDefault="00FC21FC" w:rsidP="00CE5A9B">
      <w:pPr>
        <w:numPr>
          <w:ilvl w:val="0"/>
          <w:numId w:val="17"/>
        </w:numPr>
        <w:spacing w:after="240" w:line="360" w:lineRule="auto"/>
        <w:ind w:left="0" w:firstLine="0"/>
        <w:rPr>
          <w:rFonts w:cs="Arial"/>
        </w:rPr>
      </w:pPr>
      <w:r w:rsidRPr="00FC21FC">
        <w:rPr>
          <w:rFonts w:cs="Arial"/>
          <w:lang w:val="en-US"/>
        </w:rPr>
        <w:t>Issues with DFFH collaboration agreements with SIL providers</w:t>
      </w:r>
    </w:p>
    <w:p w14:paraId="3D4FA062" w14:textId="77777777" w:rsidR="00FC21FC" w:rsidRPr="00FC21FC" w:rsidRDefault="00FC21FC" w:rsidP="00CE5A9B">
      <w:pPr>
        <w:numPr>
          <w:ilvl w:val="0"/>
          <w:numId w:val="17"/>
        </w:numPr>
        <w:spacing w:after="240" w:line="360" w:lineRule="auto"/>
        <w:ind w:left="0" w:firstLine="0"/>
        <w:rPr>
          <w:rFonts w:cs="Arial"/>
        </w:rPr>
      </w:pPr>
      <w:r w:rsidRPr="00FC21FC">
        <w:rPr>
          <w:rFonts w:cs="Arial"/>
          <w:lang w:val="en-US"/>
        </w:rPr>
        <w:t>Limitations on tenancy options in Victoria</w:t>
      </w:r>
    </w:p>
    <w:p w14:paraId="32C899C8" w14:textId="77777777" w:rsidR="00FC21FC" w:rsidRPr="00FC21FC" w:rsidRDefault="00FC21FC" w:rsidP="00CE5A9B">
      <w:pPr>
        <w:numPr>
          <w:ilvl w:val="0"/>
          <w:numId w:val="17"/>
        </w:numPr>
        <w:spacing w:after="240" w:line="360" w:lineRule="auto"/>
        <w:ind w:left="0" w:firstLine="0"/>
        <w:rPr>
          <w:rFonts w:cs="Arial"/>
        </w:rPr>
      </w:pPr>
      <w:r w:rsidRPr="00FC21FC">
        <w:rPr>
          <w:rFonts w:cs="Arial"/>
          <w:lang w:val="en-US"/>
        </w:rPr>
        <w:t xml:space="preserve">Housing for TAC and other non-NDIS funded </w:t>
      </w:r>
      <w:proofErr w:type="gramStart"/>
      <w:r w:rsidRPr="00FC21FC">
        <w:rPr>
          <w:rFonts w:cs="Arial"/>
          <w:lang w:val="en-US"/>
        </w:rPr>
        <w:t>clients</w:t>
      </w:r>
      <w:proofErr w:type="gramEnd"/>
    </w:p>
    <w:p w14:paraId="54C060C0" w14:textId="77777777" w:rsidR="00FC21FC" w:rsidRPr="00FC21FC" w:rsidRDefault="00FC21FC" w:rsidP="00CE5A9B">
      <w:pPr>
        <w:numPr>
          <w:ilvl w:val="0"/>
          <w:numId w:val="17"/>
        </w:numPr>
        <w:spacing w:after="240" w:line="360" w:lineRule="auto"/>
        <w:ind w:left="0" w:firstLine="0"/>
        <w:rPr>
          <w:rFonts w:cs="Arial"/>
        </w:rPr>
      </w:pPr>
      <w:r w:rsidRPr="00FC21FC">
        <w:rPr>
          <w:rFonts w:cs="Arial"/>
          <w:lang w:val="en-US"/>
        </w:rPr>
        <w:t xml:space="preserve">NDIS cost reduction impacting on SIL pricing and ratio </w:t>
      </w:r>
      <w:proofErr w:type="gramStart"/>
      <w:r w:rsidRPr="00FC21FC">
        <w:rPr>
          <w:rFonts w:cs="Arial"/>
          <w:lang w:val="en-US"/>
        </w:rPr>
        <w:t>allocation</w:t>
      </w:r>
      <w:proofErr w:type="gramEnd"/>
    </w:p>
    <w:p w14:paraId="734C9072" w14:textId="61D39576" w:rsidR="00FC21FC" w:rsidRPr="00FC21FC" w:rsidRDefault="00FC21FC" w:rsidP="00CE5A9B">
      <w:pPr>
        <w:numPr>
          <w:ilvl w:val="0"/>
          <w:numId w:val="17"/>
        </w:numPr>
        <w:spacing w:after="240" w:line="360" w:lineRule="auto"/>
        <w:ind w:left="0" w:firstLine="0"/>
        <w:rPr>
          <w:rFonts w:cs="Arial"/>
        </w:rPr>
      </w:pPr>
      <w:r w:rsidRPr="00FC21FC">
        <w:rPr>
          <w:rFonts w:cs="Arial"/>
          <w:lang w:val="en-US"/>
        </w:rPr>
        <w:t>Planning for potential Covid-19 positive participants in SDA</w:t>
      </w:r>
    </w:p>
    <w:p w14:paraId="7A78356D" w14:textId="1353BA2D" w:rsidR="007448F7" w:rsidRDefault="00C0475D" w:rsidP="00CE5A9B">
      <w:pPr>
        <w:pStyle w:val="Heading1"/>
        <w:spacing w:before="120"/>
      </w:pPr>
      <w:r>
        <w:lastRenderedPageBreak/>
        <w:t xml:space="preserve">Slide </w:t>
      </w:r>
      <w:proofErr w:type="gramStart"/>
      <w:r>
        <w:t>fourteen</w:t>
      </w:r>
      <w:proofErr w:type="gramEnd"/>
    </w:p>
    <w:p w14:paraId="0E1A106A" w14:textId="07280023" w:rsidR="00311194" w:rsidRDefault="00311194" w:rsidP="00CE5A9B">
      <w:pPr>
        <w:pStyle w:val="Heading2"/>
        <w:spacing w:before="120" w:after="240"/>
        <w:rPr>
          <w:lang w:val="en-US"/>
        </w:rPr>
      </w:pPr>
      <w:r w:rsidRPr="00311194">
        <w:rPr>
          <w:lang w:val="en-US"/>
        </w:rPr>
        <w:t>Issue 1. Implications for SIL Providers with gazetted properties, including audits under the DFFH Standards and the NDIS Commission Standards</w:t>
      </w:r>
    </w:p>
    <w:p w14:paraId="6B2F58C7" w14:textId="531585F2" w:rsidR="00D7485B" w:rsidRDefault="00D7485B" w:rsidP="00CE5A9B">
      <w:pPr>
        <w:spacing w:after="240" w:line="360" w:lineRule="auto"/>
        <w:rPr>
          <w:lang w:val="en-US"/>
        </w:rPr>
      </w:pPr>
      <w:r w:rsidRPr="00D7485B">
        <w:rPr>
          <w:lang w:val="en-US"/>
        </w:rPr>
        <w:t>Some SIL providers operating under the DFFH-gazetted properties are subject to the regulatory requirements of the Disability Act 2006 in addition to the requirements of the national Quality and Safeguarding Framework.</w:t>
      </w:r>
    </w:p>
    <w:p w14:paraId="7BC07412" w14:textId="7E6F3134" w:rsidR="00D7485B" w:rsidRDefault="00D7485B" w:rsidP="00CE5A9B">
      <w:pPr>
        <w:pStyle w:val="Heading1"/>
        <w:spacing w:before="120"/>
      </w:pPr>
      <w:r>
        <w:t xml:space="preserve">Slide </w:t>
      </w:r>
      <w:proofErr w:type="gramStart"/>
      <w:r>
        <w:t>fifteen</w:t>
      </w:r>
      <w:proofErr w:type="gramEnd"/>
    </w:p>
    <w:p w14:paraId="0ABFA3B6" w14:textId="52BE7525" w:rsidR="00D7485B" w:rsidRDefault="005D40DD" w:rsidP="00CE5A9B">
      <w:pPr>
        <w:pStyle w:val="Heading2"/>
        <w:spacing w:before="120" w:after="240"/>
        <w:rPr>
          <w:lang w:val="en-US"/>
        </w:rPr>
      </w:pPr>
      <w:r w:rsidRPr="005D40DD">
        <w:rPr>
          <w:lang w:val="en-US"/>
        </w:rPr>
        <w:t>Issue 2. Relationship between SDA Design Standard and Building Code of Australia</w:t>
      </w:r>
    </w:p>
    <w:p w14:paraId="305FC3A9" w14:textId="58DB18F1" w:rsidR="005D40DD" w:rsidRDefault="005D40DD" w:rsidP="00CE5A9B">
      <w:pPr>
        <w:spacing w:after="240" w:line="360" w:lineRule="auto"/>
        <w:rPr>
          <w:lang w:val="en-US"/>
        </w:rPr>
      </w:pPr>
      <w:r w:rsidRPr="005D40DD">
        <w:rPr>
          <w:lang w:val="en-US"/>
        </w:rPr>
        <w:t xml:space="preserve">There is ongoing ambiguity and confusion around classification of buildings under the Building and Construction Code, the SDA Design </w:t>
      </w:r>
      <w:proofErr w:type="gramStart"/>
      <w:r w:rsidRPr="005D40DD">
        <w:rPr>
          <w:lang w:val="en-US"/>
        </w:rPr>
        <w:t>Standard</w:t>
      </w:r>
      <w:proofErr w:type="gramEnd"/>
      <w:r w:rsidRPr="005D40DD">
        <w:rPr>
          <w:lang w:val="en-US"/>
        </w:rPr>
        <w:t xml:space="preserve"> and the AS 1428.1 Australian Disability Standard. These are not well aligned.</w:t>
      </w:r>
    </w:p>
    <w:p w14:paraId="4E307DBF" w14:textId="5121450E" w:rsidR="005D40DD" w:rsidRDefault="005D40DD" w:rsidP="00CE5A9B">
      <w:pPr>
        <w:pStyle w:val="Heading1"/>
        <w:spacing w:before="120"/>
      </w:pPr>
      <w:r>
        <w:t xml:space="preserve">Slide </w:t>
      </w:r>
      <w:proofErr w:type="gramStart"/>
      <w:r>
        <w:t>sixteen</w:t>
      </w:r>
      <w:proofErr w:type="gramEnd"/>
    </w:p>
    <w:p w14:paraId="046304AE" w14:textId="14FCC158" w:rsidR="005D40DD" w:rsidRDefault="002057C2" w:rsidP="00CE5A9B">
      <w:pPr>
        <w:pStyle w:val="Heading2"/>
        <w:spacing w:before="120" w:after="240"/>
        <w:rPr>
          <w:lang w:val="en-US"/>
        </w:rPr>
      </w:pPr>
      <w:r w:rsidRPr="002057C2">
        <w:rPr>
          <w:lang w:val="en-US"/>
        </w:rPr>
        <w:t>Issue 3. Fire Safety Requirements and SDA Rentals for More Than Two Unrelated People</w:t>
      </w:r>
    </w:p>
    <w:p w14:paraId="46A7F64C" w14:textId="14F13F6D" w:rsidR="002057C2" w:rsidRDefault="002057C2" w:rsidP="00CE5A9B">
      <w:pPr>
        <w:spacing w:after="240" w:line="360" w:lineRule="auto"/>
        <w:rPr>
          <w:lang w:val="en-US"/>
        </w:rPr>
      </w:pPr>
      <w:r w:rsidRPr="002057C2">
        <w:rPr>
          <w:lang w:val="en-US"/>
        </w:rPr>
        <w:t>The NDIA SDA Design Standard does not align well with the Building Code of Australia, and it appears different surveyors are interpreting the class of dwelling differently. This has an impact on expected fire safety requirements and SDA rentals.</w:t>
      </w:r>
    </w:p>
    <w:p w14:paraId="7FDC9DF9" w14:textId="317B84CA" w:rsidR="002057C2" w:rsidRDefault="002057C2" w:rsidP="00CE5A9B">
      <w:pPr>
        <w:pStyle w:val="Heading1"/>
        <w:spacing w:before="120"/>
      </w:pPr>
      <w:r>
        <w:lastRenderedPageBreak/>
        <w:t xml:space="preserve">Slide </w:t>
      </w:r>
      <w:proofErr w:type="gramStart"/>
      <w:r>
        <w:t>seventeen</w:t>
      </w:r>
      <w:proofErr w:type="gramEnd"/>
    </w:p>
    <w:p w14:paraId="6AA1F58C" w14:textId="4ECF7B80" w:rsidR="00821E0B" w:rsidRDefault="00821E0B" w:rsidP="00CE5A9B">
      <w:pPr>
        <w:pStyle w:val="Heading2"/>
        <w:spacing w:before="120" w:after="240"/>
        <w:rPr>
          <w:lang w:val="en-US"/>
        </w:rPr>
      </w:pPr>
      <w:r w:rsidRPr="00821E0B">
        <w:rPr>
          <w:lang w:val="en-US"/>
        </w:rPr>
        <w:t xml:space="preserve">Issue 4. Delays in NDIA SDA and SIL Allocation leading to more SDA </w:t>
      </w:r>
      <w:proofErr w:type="gramStart"/>
      <w:r w:rsidRPr="00821E0B">
        <w:rPr>
          <w:lang w:val="en-US"/>
        </w:rPr>
        <w:t>Vacancies</w:t>
      </w:r>
      <w:proofErr w:type="gramEnd"/>
    </w:p>
    <w:p w14:paraId="0E33A605" w14:textId="521F87A4" w:rsidR="00821E0B" w:rsidRPr="00821E0B" w:rsidRDefault="00821E0B" w:rsidP="00CE5A9B">
      <w:pPr>
        <w:spacing w:after="240" w:line="360" w:lineRule="auto"/>
      </w:pPr>
      <w:r w:rsidRPr="00821E0B">
        <w:rPr>
          <w:lang w:val="en-US"/>
        </w:rPr>
        <w:t>Providers report multiple SDA vacancies which are arising in part because many participants requiring SDA accommodation are not receiving SDA in their plans. There are also delays in participants receiving SDA and &amp; SIL allocations from the NDIA, resulting in vacancies. There are inconsistent decisions from the NDIA Housing Panel assessment.</w:t>
      </w:r>
    </w:p>
    <w:p w14:paraId="08C1C2A8" w14:textId="140AE149" w:rsidR="00821E0B" w:rsidRDefault="00821E0B" w:rsidP="00CE5A9B">
      <w:pPr>
        <w:pStyle w:val="Heading1"/>
        <w:spacing w:before="120"/>
      </w:pPr>
      <w:r>
        <w:t xml:space="preserve">Slide </w:t>
      </w:r>
      <w:proofErr w:type="gramStart"/>
      <w:r>
        <w:t>eighteen</w:t>
      </w:r>
      <w:proofErr w:type="gramEnd"/>
    </w:p>
    <w:p w14:paraId="54D98ED9" w14:textId="02C3414D" w:rsidR="00821E0B" w:rsidRDefault="00821E0B" w:rsidP="00CE5A9B">
      <w:pPr>
        <w:pStyle w:val="Heading2"/>
        <w:spacing w:before="120" w:after="240"/>
        <w:rPr>
          <w:lang w:val="en-US"/>
        </w:rPr>
      </w:pPr>
      <w:r w:rsidRPr="00821E0B">
        <w:rPr>
          <w:lang w:val="en-US"/>
        </w:rPr>
        <w:t>Issue 5. Mismatch of What’s Built and What’s Funded under SD</w:t>
      </w:r>
      <w:r>
        <w:rPr>
          <w:lang w:val="en-US"/>
        </w:rPr>
        <w:t>A</w:t>
      </w:r>
    </w:p>
    <w:p w14:paraId="1CED521D" w14:textId="31AF9660" w:rsidR="00827C7C" w:rsidRDefault="00827C7C" w:rsidP="00CE5A9B">
      <w:pPr>
        <w:spacing w:after="240" w:line="360" w:lineRule="auto"/>
        <w:rPr>
          <w:lang w:val="en-US"/>
        </w:rPr>
      </w:pPr>
      <w:r w:rsidRPr="00827C7C">
        <w:rPr>
          <w:lang w:val="en-US"/>
        </w:rPr>
        <w:t xml:space="preserve">There appears to a significant mismatch between demand for disability housing and the type of SDA being built. This is occurring across </w:t>
      </w:r>
      <w:r w:rsidRPr="00827C7C">
        <w:rPr>
          <w:lang w:val="en-US"/>
        </w:rPr>
        <w:t>Australia and</w:t>
      </w:r>
      <w:r w:rsidRPr="00827C7C">
        <w:rPr>
          <w:lang w:val="en-US"/>
        </w:rPr>
        <w:t xml:space="preserve"> appears to relate to the NDIA price drivers for developers being out of kilter with participant demand.</w:t>
      </w:r>
    </w:p>
    <w:p w14:paraId="3828B7CB" w14:textId="46C72DEE" w:rsidR="00827C7C" w:rsidRDefault="00827C7C" w:rsidP="00CE5A9B">
      <w:pPr>
        <w:pStyle w:val="Heading1"/>
        <w:spacing w:before="120"/>
      </w:pPr>
      <w:r>
        <w:t xml:space="preserve">Slide </w:t>
      </w:r>
      <w:proofErr w:type="gramStart"/>
      <w:r>
        <w:t>nineteen</w:t>
      </w:r>
      <w:proofErr w:type="gramEnd"/>
    </w:p>
    <w:p w14:paraId="515C69B1" w14:textId="52082418" w:rsidR="001D33BD" w:rsidRDefault="001D33BD" w:rsidP="00CE5A9B">
      <w:pPr>
        <w:pStyle w:val="Heading2"/>
        <w:spacing w:before="120" w:after="240"/>
        <w:rPr>
          <w:lang w:val="en-US"/>
        </w:rPr>
      </w:pPr>
      <w:r w:rsidRPr="001D33BD">
        <w:rPr>
          <w:lang w:val="en-US"/>
        </w:rPr>
        <w:t>Issue 6. Access to SDA Demand and Supply Data</w:t>
      </w:r>
    </w:p>
    <w:p w14:paraId="387CE824" w14:textId="77777777" w:rsidR="001D33BD" w:rsidRDefault="001D33BD" w:rsidP="00CE5A9B">
      <w:pPr>
        <w:spacing w:after="240" w:line="360" w:lineRule="auto"/>
        <w:rPr>
          <w:lang w:val="en-US"/>
        </w:rPr>
      </w:pPr>
      <w:r w:rsidRPr="001D33BD">
        <w:rPr>
          <w:lang w:val="en-US"/>
        </w:rPr>
        <w:t>The issue of accurate and timely data to inform investors and SDA providers has been a major issue raised on multiple occasions with the NDIA.</w:t>
      </w:r>
    </w:p>
    <w:p w14:paraId="52E5779B" w14:textId="63D6979D" w:rsidR="001D33BD" w:rsidRDefault="001D33BD" w:rsidP="00CE5A9B">
      <w:pPr>
        <w:pStyle w:val="Heading1"/>
        <w:spacing w:before="120"/>
      </w:pPr>
      <w:r>
        <w:t xml:space="preserve">Slide </w:t>
      </w:r>
      <w:proofErr w:type="gramStart"/>
      <w:r>
        <w:t>twenty</w:t>
      </w:r>
      <w:proofErr w:type="gramEnd"/>
    </w:p>
    <w:p w14:paraId="3A834A90" w14:textId="2B7A3A3F" w:rsidR="001D33BD" w:rsidRDefault="009225F2" w:rsidP="00CE5A9B">
      <w:pPr>
        <w:pStyle w:val="Heading2"/>
        <w:spacing w:before="120" w:after="240"/>
        <w:rPr>
          <w:lang w:val="en-US"/>
        </w:rPr>
      </w:pPr>
      <w:r w:rsidRPr="009225F2">
        <w:rPr>
          <w:lang w:val="en-US"/>
        </w:rPr>
        <w:t>Issue 7. Issues with DFFH Collaboration Agreements with SIL Providers</w:t>
      </w:r>
    </w:p>
    <w:p w14:paraId="36E3FC98" w14:textId="788BD153" w:rsidR="00CE15D5" w:rsidRDefault="00CE15D5" w:rsidP="00CE5A9B">
      <w:pPr>
        <w:spacing w:after="240" w:line="360" w:lineRule="auto"/>
        <w:rPr>
          <w:lang w:val="en-US"/>
        </w:rPr>
      </w:pPr>
      <w:r w:rsidRPr="00CE15D5">
        <w:rPr>
          <w:lang w:val="en-US"/>
        </w:rPr>
        <w:t xml:space="preserve">At the SDA Reference Group on </w:t>
      </w:r>
      <w:r w:rsidR="00C864F5">
        <w:rPr>
          <w:lang w:val="en-US"/>
        </w:rPr>
        <w:t>five</w:t>
      </w:r>
      <w:r w:rsidRPr="00CE15D5">
        <w:rPr>
          <w:lang w:val="en-US"/>
        </w:rPr>
        <w:t xml:space="preserve"> May 2021 SDA and SIL Providers raised concerns about the DFFH Collaboration Agreements with SIL Providers. Many </w:t>
      </w:r>
      <w:r w:rsidRPr="00CE15D5">
        <w:rPr>
          <w:lang w:val="en-US"/>
        </w:rPr>
        <w:lastRenderedPageBreak/>
        <w:t xml:space="preserve">providers have not yet signed an agreement due to widespread concerns about certain aspects, as detailed in this NDS news update </w:t>
      </w:r>
      <w:hyperlink r:id="rId11" w:history="1">
        <w:r w:rsidRPr="00CE15D5">
          <w:rPr>
            <w:rStyle w:val="Hyperlink"/>
            <w:lang w:val="en-US"/>
          </w:rPr>
          <w:t>DFFH collaboration agreements with Victorian SIL providers (nds.org.au)</w:t>
        </w:r>
      </w:hyperlink>
    </w:p>
    <w:p w14:paraId="797DECC0" w14:textId="12CF84AF" w:rsidR="004C502D" w:rsidRDefault="004C502D" w:rsidP="00CE5A9B">
      <w:pPr>
        <w:pStyle w:val="Heading1"/>
        <w:spacing w:before="120"/>
      </w:pPr>
      <w:r>
        <w:t xml:space="preserve">Slide twenty </w:t>
      </w:r>
      <w:proofErr w:type="gramStart"/>
      <w:r>
        <w:t>one</w:t>
      </w:r>
      <w:proofErr w:type="gramEnd"/>
    </w:p>
    <w:p w14:paraId="3E21E8FE" w14:textId="2C810BB4" w:rsidR="00186BCE" w:rsidRDefault="00186BCE" w:rsidP="00CE5A9B">
      <w:pPr>
        <w:pStyle w:val="Heading2"/>
        <w:spacing w:before="120" w:after="240"/>
        <w:rPr>
          <w:lang w:val="en-US"/>
        </w:rPr>
      </w:pPr>
      <w:r w:rsidRPr="00186BCE">
        <w:rPr>
          <w:lang w:val="en-US"/>
        </w:rPr>
        <w:t>Issue 8. Limitations on Tenancy Options in Victoria</w:t>
      </w:r>
    </w:p>
    <w:p w14:paraId="710F3BEE" w14:textId="0FB7E412" w:rsidR="00983A24" w:rsidRDefault="00983A24" w:rsidP="00CE5A9B">
      <w:pPr>
        <w:spacing w:after="240" w:line="360" w:lineRule="auto"/>
        <w:rPr>
          <w:lang w:val="en-US"/>
        </w:rPr>
      </w:pPr>
      <w:r w:rsidRPr="00983A24">
        <w:rPr>
          <w:lang w:val="en-US"/>
        </w:rPr>
        <w:t>Current Victorian legislation dictates a dwelling cannot have occupants on both the SDA Residency Agreement and Residential Rental Agreement. Under the RTA, higher level tenancy protections are only available to SDA residents when they live with other SDA residents, under a Part 12A lease. This situation is at odds with contemporary directions which encourage people with disabilities to have choice on who they live with.</w:t>
      </w:r>
    </w:p>
    <w:p w14:paraId="1CB54DA6" w14:textId="2A098527" w:rsidR="00E20495" w:rsidRDefault="00E20495" w:rsidP="00CE5A9B">
      <w:pPr>
        <w:pStyle w:val="Heading1"/>
        <w:spacing w:before="120"/>
      </w:pPr>
      <w:r>
        <w:t xml:space="preserve">Slide twenty </w:t>
      </w:r>
      <w:proofErr w:type="gramStart"/>
      <w:r>
        <w:t>two</w:t>
      </w:r>
      <w:proofErr w:type="gramEnd"/>
    </w:p>
    <w:p w14:paraId="4A45E1E3" w14:textId="36229869" w:rsidR="00E20495" w:rsidRDefault="00E20495" w:rsidP="00CE5A9B">
      <w:pPr>
        <w:pStyle w:val="Heading2"/>
        <w:spacing w:before="120" w:after="240"/>
        <w:rPr>
          <w:lang w:val="en-US"/>
        </w:rPr>
      </w:pPr>
      <w:r w:rsidRPr="00E20495">
        <w:rPr>
          <w:lang w:val="en-US"/>
        </w:rPr>
        <w:t xml:space="preserve">Issue 9. Housing for TAC-Funded Clients or Others without SDA Funding that have a Significant </w:t>
      </w:r>
      <w:proofErr w:type="gramStart"/>
      <w:r w:rsidRPr="00E20495">
        <w:rPr>
          <w:lang w:val="en-US"/>
        </w:rPr>
        <w:t>Disability</w:t>
      </w:r>
      <w:proofErr w:type="gramEnd"/>
    </w:p>
    <w:p w14:paraId="24A18BA0" w14:textId="56716D77" w:rsidR="00E20495" w:rsidRDefault="00E20495" w:rsidP="00CE5A9B">
      <w:pPr>
        <w:spacing w:after="240" w:line="360" w:lineRule="auto"/>
        <w:rPr>
          <w:lang w:val="en-US"/>
        </w:rPr>
      </w:pPr>
      <w:r w:rsidRPr="00E20495">
        <w:rPr>
          <w:lang w:val="en-US"/>
        </w:rPr>
        <w:t>Concerns on properties with TAC funded clients or others without SDA funding able or unable to cease being gazetted under the Disability Act 2006.</w:t>
      </w:r>
    </w:p>
    <w:p w14:paraId="58814F56" w14:textId="28090137" w:rsidR="00E20495" w:rsidRDefault="00C12416" w:rsidP="00CE5A9B">
      <w:pPr>
        <w:pStyle w:val="Heading1"/>
        <w:spacing w:before="120"/>
      </w:pPr>
      <w:r>
        <w:t xml:space="preserve">Slide twenty </w:t>
      </w:r>
      <w:proofErr w:type="gramStart"/>
      <w:r>
        <w:t>three</w:t>
      </w:r>
      <w:proofErr w:type="gramEnd"/>
    </w:p>
    <w:p w14:paraId="7C8060BC" w14:textId="7FEAD711" w:rsidR="00C12416" w:rsidRPr="00C12416" w:rsidRDefault="00C12416" w:rsidP="00CE5A9B">
      <w:pPr>
        <w:pStyle w:val="Heading2"/>
        <w:spacing w:before="120" w:after="240"/>
        <w:rPr>
          <w:lang w:val="en-US"/>
        </w:rPr>
      </w:pPr>
      <w:r w:rsidRPr="00C12416">
        <w:rPr>
          <w:lang w:val="en-US"/>
        </w:rPr>
        <w:t>Issue 10. NDIS Cost Reduction impacting on SIL Pricing and SIL Support Ratio Allocation</w:t>
      </w:r>
    </w:p>
    <w:p w14:paraId="2DD4842E" w14:textId="26EA5C15" w:rsidR="00C12416" w:rsidRDefault="00C12416" w:rsidP="00CE5A9B">
      <w:pPr>
        <w:spacing w:after="240" w:line="360" w:lineRule="auto"/>
        <w:rPr>
          <w:lang w:val="en-US"/>
        </w:rPr>
      </w:pPr>
      <w:r w:rsidRPr="00C12416">
        <w:rPr>
          <w:lang w:val="en-US"/>
        </w:rPr>
        <w:t>SIL providers are concerned about the impact of NDIS cost curbing measures on SIL services and argue that the NDIA does not appreciate shared components for people in SIL. The delays in settling issues in SIL can cause distress for NDIS participants and heighten direct costs for SIL providers.</w:t>
      </w:r>
    </w:p>
    <w:p w14:paraId="37359218" w14:textId="4BFEC813" w:rsidR="00C12416" w:rsidRDefault="003638C1" w:rsidP="00CE5A9B">
      <w:pPr>
        <w:pStyle w:val="Heading1"/>
        <w:spacing w:before="120"/>
      </w:pPr>
      <w:r>
        <w:lastRenderedPageBreak/>
        <w:t xml:space="preserve">Slide twenty </w:t>
      </w:r>
      <w:proofErr w:type="gramStart"/>
      <w:r>
        <w:t>four</w:t>
      </w:r>
      <w:proofErr w:type="gramEnd"/>
    </w:p>
    <w:p w14:paraId="084E56B3" w14:textId="65F05400" w:rsidR="003638C1" w:rsidRDefault="003638C1" w:rsidP="00CE5A9B">
      <w:pPr>
        <w:pStyle w:val="Heading2"/>
        <w:spacing w:before="120" w:after="240"/>
        <w:rPr>
          <w:lang w:val="en-US"/>
        </w:rPr>
      </w:pPr>
      <w:r w:rsidRPr="003638C1">
        <w:rPr>
          <w:lang w:val="en-US"/>
        </w:rPr>
        <w:t>Issue 11. COVID-19 Positive Scenario in SDA</w:t>
      </w:r>
    </w:p>
    <w:p w14:paraId="1C4B21F3" w14:textId="00D026B1" w:rsidR="002071DE" w:rsidRDefault="002071DE" w:rsidP="00CE5A9B">
      <w:pPr>
        <w:spacing w:after="240" w:line="360" w:lineRule="auto"/>
        <w:rPr>
          <w:lang w:val="en-US"/>
        </w:rPr>
      </w:pPr>
      <w:r w:rsidRPr="002071DE">
        <w:rPr>
          <w:lang w:val="en-US"/>
        </w:rPr>
        <w:t>A pressing issue requiring urgent consideration by the sector and government, particularly now that we are aware of aerosol transmission and the Delta strain of the virus.</w:t>
      </w:r>
    </w:p>
    <w:p w14:paraId="4C6901B5" w14:textId="56075B8A" w:rsidR="002071DE" w:rsidRDefault="00E517C8" w:rsidP="00CE5A9B">
      <w:pPr>
        <w:pStyle w:val="Heading1"/>
        <w:spacing w:before="120"/>
      </w:pPr>
      <w:r>
        <w:t xml:space="preserve">Slide twenty </w:t>
      </w:r>
      <w:proofErr w:type="gramStart"/>
      <w:r>
        <w:t>five</w:t>
      </w:r>
      <w:proofErr w:type="gramEnd"/>
    </w:p>
    <w:p w14:paraId="734FA1AF" w14:textId="6BA48AC4" w:rsidR="00AE5851" w:rsidRDefault="00AE5851" w:rsidP="00CE5A9B">
      <w:pPr>
        <w:spacing w:after="240" w:line="360" w:lineRule="auto"/>
        <w:rPr>
          <w:lang w:val="en-US"/>
        </w:rPr>
      </w:pPr>
      <w:r>
        <w:rPr>
          <w:lang w:val="en-US"/>
        </w:rPr>
        <w:t>Other Business</w:t>
      </w:r>
    </w:p>
    <w:p w14:paraId="226C6708" w14:textId="6F499DB6" w:rsidR="00AE5851" w:rsidRDefault="00AE5851" w:rsidP="00CE5A9B">
      <w:pPr>
        <w:pStyle w:val="Heading1"/>
        <w:spacing w:before="120"/>
      </w:pPr>
      <w:r>
        <w:t xml:space="preserve">Slide twenty </w:t>
      </w:r>
      <w:proofErr w:type="gramStart"/>
      <w:r>
        <w:t>six</w:t>
      </w:r>
      <w:proofErr w:type="gramEnd"/>
    </w:p>
    <w:p w14:paraId="65A11B13" w14:textId="41E9A3F3" w:rsidR="00AE5851" w:rsidRDefault="00AE5851" w:rsidP="00CE5A9B">
      <w:pPr>
        <w:spacing w:after="240" w:line="360" w:lineRule="auto"/>
        <w:rPr>
          <w:lang w:val="en-US"/>
        </w:rPr>
      </w:pPr>
      <w:r>
        <w:rPr>
          <w:lang w:val="en-US"/>
        </w:rPr>
        <w:t>Meeting close</w:t>
      </w:r>
    </w:p>
    <w:p w14:paraId="3B4383F5" w14:textId="763436BD" w:rsidR="000B3E0A" w:rsidRDefault="000B3E0A" w:rsidP="00CE5A9B">
      <w:pPr>
        <w:spacing w:after="240" w:line="360" w:lineRule="auto"/>
        <w:rPr>
          <w:lang w:val="en-US"/>
        </w:rPr>
      </w:pPr>
      <w:r>
        <w:rPr>
          <w:lang w:val="en-US"/>
        </w:rPr>
        <w:t>Ne</w:t>
      </w:r>
      <w:r w:rsidR="00CE5A9B">
        <w:rPr>
          <w:lang w:val="en-US"/>
        </w:rPr>
        <w:t>x</w:t>
      </w:r>
      <w:r>
        <w:rPr>
          <w:lang w:val="en-US"/>
        </w:rPr>
        <w:t>t meeting: September eight, 2.00pm – 4.00pm</w:t>
      </w:r>
    </w:p>
    <w:p w14:paraId="2499F112" w14:textId="38CA7DF8" w:rsidR="00D7485B" w:rsidRPr="00D7485B" w:rsidRDefault="00CE5A9B" w:rsidP="00043736">
      <w:pPr>
        <w:spacing w:after="240" w:line="360" w:lineRule="auto"/>
        <w:rPr>
          <w:lang w:val="en-US"/>
        </w:rPr>
      </w:pPr>
      <w:r>
        <w:rPr>
          <w:lang w:val="en-US"/>
        </w:rPr>
        <w:t xml:space="preserve">You can register to attend the next meeting at </w:t>
      </w:r>
      <w:hyperlink r:id="rId12" w:history="1">
        <w:r>
          <w:rPr>
            <w:rStyle w:val="Hyperlink"/>
          </w:rPr>
          <w:t>SDA Reference Group Meeting (nds.org.au)</w:t>
        </w:r>
      </w:hyperlink>
    </w:p>
    <w:sectPr w:rsidR="00D7485B" w:rsidRPr="00D7485B" w:rsidSect="00C25D37">
      <w:footerReference w:type="default" r:id="rId13"/>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86E46" w14:textId="77777777" w:rsidR="00334D42" w:rsidRDefault="00334D42" w:rsidP="00D368C0">
      <w:pPr>
        <w:spacing w:before="0"/>
      </w:pPr>
      <w:r>
        <w:separator/>
      </w:r>
    </w:p>
  </w:endnote>
  <w:endnote w:type="continuationSeparator" w:id="0">
    <w:p w14:paraId="38FE40C7" w14:textId="77777777" w:rsidR="00334D42" w:rsidRDefault="00334D42"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703401"/>
      <w:docPartObj>
        <w:docPartGallery w:val="Page Numbers (Bottom of Page)"/>
        <w:docPartUnique/>
      </w:docPartObj>
    </w:sdtPr>
    <w:sdtEndPr>
      <w:rPr>
        <w:noProof/>
      </w:rPr>
    </w:sdtEndPr>
    <w:sdtContent>
      <w:p w14:paraId="3FDA0794" w14:textId="6F3FB433" w:rsidR="0030383B" w:rsidRDefault="001236C8" w:rsidP="00A84117">
        <w:pPr>
          <w:pStyle w:val="Footer"/>
          <w:jc w:val="right"/>
        </w:pPr>
        <w:r>
          <w:fldChar w:fldCharType="begin"/>
        </w:r>
        <w:r>
          <w:instrText xml:space="preserve"> PAGE   \* MERGEFORMAT </w:instrText>
        </w:r>
        <w:r>
          <w:fldChar w:fldCharType="separate"/>
        </w:r>
        <w:r w:rsidR="0092371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7EF7D" w14:textId="77777777" w:rsidR="00334D42" w:rsidRDefault="00334D42" w:rsidP="00D368C0">
      <w:pPr>
        <w:spacing w:before="0"/>
      </w:pPr>
      <w:r>
        <w:separator/>
      </w:r>
    </w:p>
  </w:footnote>
  <w:footnote w:type="continuationSeparator" w:id="0">
    <w:p w14:paraId="6F46299F" w14:textId="77777777" w:rsidR="00334D42" w:rsidRDefault="00334D42"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9E42C9"/>
    <w:multiLevelType w:val="hybridMultilevel"/>
    <w:tmpl w:val="3872D274"/>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64B4E"/>
    <w:multiLevelType w:val="hybridMultilevel"/>
    <w:tmpl w:val="4BFA2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010C4"/>
    <w:multiLevelType w:val="hybridMultilevel"/>
    <w:tmpl w:val="CCC08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80396A"/>
    <w:multiLevelType w:val="hybridMultilevel"/>
    <w:tmpl w:val="B2E0D752"/>
    <w:lvl w:ilvl="0" w:tplc="E6DE51EA">
      <w:start w:val="1"/>
      <w:numFmt w:val="bullet"/>
      <w:lvlText w:val="•"/>
      <w:lvlJc w:val="left"/>
      <w:pPr>
        <w:tabs>
          <w:tab w:val="num" w:pos="720"/>
        </w:tabs>
        <w:ind w:left="720" w:hanging="360"/>
      </w:pPr>
      <w:rPr>
        <w:rFonts w:ascii="Times New Roman" w:hAnsi="Times New Roman" w:hint="default"/>
      </w:rPr>
    </w:lvl>
    <w:lvl w:ilvl="1" w:tplc="FA206106" w:tentative="1">
      <w:start w:val="1"/>
      <w:numFmt w:val="bullet"/>
      <w:lvlText w:val="•"/>
      <w:lvlJc w:val="left"/>
      <w:pPr>
        <w:tabs>
          <w:tab w:val="num" w:pos="1440"/>
        </w:tabs>
        <w:ind w:left="1440" w:hanging="360"/>
      </w:pPr>
      <w:rPr>
        <w:rFonts w:ascii="Times New Roman" w:hAnsi="Times New Roman" w:hint="default"/>
      </w:rPr>
    </w:lvl>
    <w:lvl w:ilvl="2" w:tplc="BE1A642C" w:tentative="1">
      <w:start w:val="1"/>
      <w:numFmt w:val="bullet"/>
      <w:lvlText w:val="•"/>
      <w:lvlJc w:val="left"/>
      <w:pPr>
        <w:tabs>
          <w:tab w:val="num" w:pos="2160"/>
        </w:tabs>
        <w:ind w:left="2160" w:hanging="360"/>
      </w:pPr>
      <w:rPr>
        <w:rFonts w:ascii="Times New Roman" w:hAnsi="Times New Roman" w:hint="default"/>
      </w:rPr>
    </w:lvl>
    <w:lvl w:ilvl="3" w:tplc="79E253FA" w:tentative="1">
      <w:start w:val="1"/>
      <w:numFmt w:val="bullet"/>
      <w:lvlText w:val="•"/>
      <w:lvlJc w:val="left"/>
      <w:pPr>
        <w:tabs>
          <w:tab w:val="num" w:pos="2880"/>
        </w:tabs>
        <w:ind w:left="2880" w:hanging="360"/>
      </w:pPr>
      <w:rPr>
        <w:rFonts w:ascii="Times New Roman" w:hAnsi="Times New Roman" w:hint="default"/>
      </w:rPr>
    </w:lvl>
    <w:lvl w:ilvl="4" w:tplc="1C72B91E" w:tentative="1">
      <w:start w:val="1"/>
      <w:numFmt w:val="bullet"/>
      <w:lvlText w:val="•"/>
      <w:lvlJc w:val="left"/>
      <w:pPr>
        <w:tabs>
          <w:tab w:val="num" w:pos="3600"/>
        </w:tabs>
        <w:ind w:left="3600" w:hanging="360"/>
      </w:pPr>
      <w:rPr>
        <w:rFonts w:ascii="Times New Roman" w:hAnsi="Times New Roman" w:hint="default"/>
      </w:rPr>
    </w:lvl>
    <w:lvl w:ilvl="5" w:tplc="47CA68A6" w:tentative="1">
      <w:start w:val="1"/>
      <w:numFmt w:val="bullet"/>
      <w:lvlText w:val="•"/>
      <w:lvlJc w:val="left"/>
      <w:pPr>
        <w:tabs>
          <w:tab w:val="num" w:pos="4320"/>
        </w:tabs>
        <w:ind w:left="4320" w:hanging="360"/>
      </w:pPr>
      <w:rPr>
        <w:rFonts w:ascii="Times New Roman" w:hAnsi="Times New Roman" w:hint="default"/>
      </w:rPr>
    </w:lvl>
    <w:lvl w:ilvl="6" w:tplc="065685A4" w:tentative="1">
      <w:start w:val="1"/>
      <w:numFmt w:val="bullet"/>
      <w:lvlText w:val="•"/>
      <w:lvlJc w:val="left"/>
      <w:pPr>
        <w:tabs>
          <w:tab w:val="num" w:pos="5040"/>
        </w:tabs>
        <w:ind w:left="5040" w:hanging="360"/>
      </w:pPr>
      <w:rPr>
        <w:rFonts w:ascii="Times New Roman" w:hAnsi="Times New Roman" w:hint="default"/>
      </w:rPr>
    </w:lvl>
    <w:lvl w:ilvl="7" w:tplc="4C7E02F0" w:tentative="1">
      <w:start w:val="1"/>
      <w:numFmt w:val="bullet"/>
      <w:lvlText w:val="•"/>
      <w:lvlJc w:val="left"/>
      <w:pPr>
        <w:tabs>
          <w:tab w:val="num" w:pos="5760"/>
        </w:tabs>
        <w:ind w:left="5760" w:hanging="360"/>
      </w:pPr>
      <w:rPr>
        <w:rFonts w:ascii="Times New Roman" w:hAnsi="Times New Roman" w:hint="default"/>
      </w:rPr>
    </w:lvl>
    <w:lvl w:ilvl="8" w:tplc="1F24F3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B26289"/>
    <w:multiLevelType w:val="hybridMultilevel"/>
    <w:tmpl w:val="C75E1528"/>
    <w:lvl w:ilvl="0" w:tplc="0D7EE16C">
      <w:start w:val="1"/>
      <w:numFmt w:val="bullet"/>
      <w:lvlText w:val="•"/>
      <w:lvlJc w:val="left"/>
      <w:pPr>
        <w:tabs>
          <w:tab w:val="num" w:pos="720"/>
        </w:tabs>
        <w:ind w:left="720" w:hanging="360"/>
      </w:pPr>
      <w:rPr>
        <w:rFonts w:ascii="Arial" w:hAnsi="Arial" w:hint="default"/>
      </w:rPr>
    </w:lvl>
    <w:lvl w:ilvl="1" w:tplc="6EFAEE26" w:tentative="1">
      <w:start w:val="1"/>
      <w:numFmt w:val="bullet"/>
      <w:lvlText w:val="•"/>
      <w:lvlJc w:val="left"/>
      <w:pPr>
        <w:tabs>
          <w:tab w:val="num" w:pos="1440"/>
        </w:tabs>
        <w:ind w:left="1440" w:hanging="360"/>
      </w:pPr>
      <w:rPr>
        <w:rFonts w:ascii="Arial" w:hAnsi="Arial" w:hint="default"/>
      </w:rPr>
    </w:lvl>
    <w:lvl w:ilvl="2" w:tplc="C03670DE" w:tentative="1">
      <w:start w:val="1"/>
      <w:numFmt w:val="bullet"/>
      <w:lvlText w:val="•"/>
      <w:lvlJc w:val="left"/>
      <w:pPr>
        <w:tabs>
          <w:tab w:val="num" w:pos="2160"/>
        </w:tabs>
        <w:ind w:left="2160" w:hanging="360"/>
      </w:pPr>
      <w:rPr>
        <w:rFonts w:ascii="Arial" w:hAnsi="Arial" w:hint="default"/>
      </w:rPr>
    </w:lvl>
    <w:lvl w:ilvl="3" w:tplc="8F2AADB2" w:tentative="1">
      <w:start w:val="1"/>
      <w:numFmt w:val="bullet"/>
      <w:lvlText w:val="•"/>
      <w:lvlJc w:val="left"/>
      <w:pPr>
        <w:tabs>
          <w:tab w:val="num" w:pos="2880"/>
        </w:tabs>
        <w:ind w:left="2880" w:hanging="360"/>
      </w:pPr>
      <w:rPr>
        <w:rFonts w:ascii="Arial" w:hAnsi="Arial" w:hint="default"/>
      </w:rPr>
    </w:lvl>
    <w:lvl w:ilvl="4" w:tplc="F3C8C43E" w:tentative="1">
      <w:start w:val="1"/>
      <w:numFmt w:val="bullet"/>
      <w:lvlText w:val="•"/>
      <w:lvlJc w:val="left"/>
      <w:pPr>
        <w:tabs>
          <w:tab w:val="num" w:pos="3600"/>
        </w:tabs>
        <w:ind w:left="3600" w:hanging="360"/>
      </w:pPr>
      <w:rPr>
        <w:rFonts w:ascii="Arial" w:hAnsi="Arial" w:hint="default"/>
      </w:rPr>
    </w:lvl>
    <w:lvl w:ilvl="5" w:tplc="F4BEB886" w:tentative="1">
      <w:start w:val="1"/>
      <w:numFmt w:val="bullet"/>
      <w:lvlText w:val="•"/>
      <w:lvlJc w:val="left"/>
      <w:pPr>
        <w:tabs>
          <w:tab w:val="num" w:pos="4320"/>
        </w:tabs>
        <w:ind w:left="4320" w:hanging="360"/>
      </w:pPr>
      <w:rPr>
        <w:rFonts w:ascii="Arial" w:hAnsi="Arial" w:hint="default"/>
      </w:rPr>
    </w:lvl>
    <w:lvl w:ilvl="6" w:tplc="764477FC" w:tentative="1">
      <w:start w:val="1"/>
      <w:numFmt w:val="bullet"/>
      <w:lvlText w:val="•"/>
      <w:lvlJc w:val="left"/>
      <w:pPr>
        <w:tabs>
          <w:tab w:val="num" w:pos="5040"/>
        </w:tabs>
        <w:ind w:left="5040" w:hanging="360"/>
      </w:pPr>
      <w:rPr>
        <w:rFonts w:ascii="Arial" w:hAnsi="Arial" w:hint="default"/>
      </w:rPr>
    </w:lvl>
    <w:lvl w:ilvl="7" w:tplc="7F7C3F64" w:tentative="1">
      <w:start w:val="1"/>
      <w:numFmt w:val="bullet"/>
      <w:lvlText w:val="•"/>
      <w:lvlJc w:val="left"/>
      <w:pPr>
        <w:tabs>
          <w:tab w:val="num" w:pos="5760"/>
        </w:tabs>
        <w:ind w:left="5760" w:hanging="360"/>
      </w:pPr>
      <w:rPr>
        <w:rFonts w:ascii="Arial" w:hAnsi="Arial" w:hint="default"/>
      </w:rPr>
    </w:lvl>
    <w:lvl w:ilvl="8" w:tplc="4D2276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1F50ED"/>
    <w:multiLevelType w:val="hybridMultilevel"/>
    <w:tmpl w:val="79E60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54EA2"/>
    <w:multiLevelType w:val="hybridMultilevel"/>
    <w:tmpl w:val="D5466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226DC7"/>
    <w:multiLevelType w:val="hybridMultilevel"/>
    <w:tmpl w:val="5C686F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0C0289"/>
    <w:multiLevelType w:val="hybridMultilevel"/>
    <w:tmpl w:val="FEE4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8C7D79"/>
    <w:multiLevelType w:val="hybridMultilevel"/>
    <w:tmpl w:val="A18E714A"/>
    <w:lvl w:ilvl="0" w:tplc="820EF2C8">
      <w:start w:val="1"/>
      <w:numFmt w:val="bullet"/>
      <w:lvlText w:val="•"/>
      <w:lvlJc w:val="left"/>
      <w:pPr>
        <w:tabs>
          <w:tab w:val="num" w:pos="720"/>
        </w:tabs>
        <w:ind w:left="720" w:hanging="360"/>
      </w:pPr>
      <w:rPr>
        <w:rFonts w:ascii="Times New Roman" w:hAnsi="Times New Roman" w:hint="default"/>
      </w:rPr>
    </w:lvl>
    <w:lvl w:ilvl="1" w:tplc="774E55DA" w:tentative="1">
      <w:start w:val="1"/>
      <w:numFmt w:val="bullet"/>
      <w:lvlText w:val="•"/>
      <w:lvlJc w:val="left"/>
      <w:pPr>
        <w:tabs>
          <w:tab w:val="num" w:pos="1440"/>
        </w:tabs>
        <w:ind w:left="1440" w:hanging="360"/>
      </w:pPr>
      <w:rPr>
        <w:rFonts w:ascii="Times New Roman" w:hAnsi="Times New Roman" w:hint="default"/>
      </w:rPr>
    </w:lvl>
    <w:lvl w:ilvl="2" w:tplc="00B42FFC" w:tentative="1">
      <w:start w:val="1"/>
      <w:numFmt w:val="bullet"/>
      <w:lvlText w:val="•"/>
      <w:lvlJc w:val="left"/>
      <w:pPr>
        <w:tabs>
          <w:tab w:val="num" w:pos="2160"/>
        </w:tabs>
        <w:ind w:left="2160" w:hanging="360"/>
      </w:pPr>
      <w:rPr>
        <w:rFonts w:ascii="Times New Roman" w:hAnsi="Times New Roman" w:hint="default"/>
      </w:rPr>
    </w:lvl>
    <w:lvl w:ilvl="3" w:tplc="312EFF14" w:tentative="1">
      <w:start w:val="1"/>
      <w:numFmt w:val="bullet"/>
      <w:lvlText w:val="•"/>
      <w:lvlJc w:val="left"/>
      <w:pPr>
        <w:tabs>
          <w:tab w:val="num" w:pos="2880"/>
        </w:tabs>
        <w:ind w:left="2880" w:hanging="360"/>
      </w:pPr>
      <w:rPr>
        <w:rFonts w:ascii="Times New Roman" w:hAnsi="Times New Roman" w:hint="default"/>
      </w:rPr>
    </w:lvl>
    <w:lvl w:ilvl="4" w:tplc="3986350E" w:tentative="1">
      <w:start w:val="1"/>
      <w:numFmt w:val="bullet"/>
      <w:lvlText w:val="•"/>
      <w:lvlJc w:val="left"/>
      <w:pPr>
        <w:tabs>
          <w:tab w:val="num" w:pos="3600"/>
        </w:tabs>
        <w:ind w:left="3600" w:hanging="360"/>
      </w:pPr>
      <w:rPr>
        <w:rFonts w:ascii="Times New Roman" w:hAnsi="Times New Roman" w:hint="default"/>
      </w:rPr>
    </w:lvl>
    <w:lvl w:ilvl="5" w:tplc="C744F012" w:tentative="1">
      <w:start w:val="1"/>
      <w:numFmt w:val="bullet"/>
      <w:lvlText w:val="•"/>
      <w:lvlJc w:val="left"/>
      <w:pPr>
        <w:tabs>
          <w:tab w:val="num" w:pos="4320"/>
        </w:tabs>
        <w:ind w:left="4320" w:hanging="360"/>
      </w:pPr>
      <w:rPr>
        <w:rFonts w:ascii="Times New Roman" w:hAnsi="Times New Roman" w:hint="default"/>
      </w:rPr>
    </w:lvl>
    <w:lvl w:ilvl="6" w:tplc="91169FEA" w:tentative="1">
      <w:start w:val="1"/>
      <w:numFmt w:val="bullet"/>
      <w:lvlText w:val="•"/>
      <w:lvlJc w:val="left"/>
      <w:pPr>
        <w:tabs>
          <w:tab w:val="num" w:pos="5040"/>
        </w:tabs>
        <w:ind w:left="5040" w:hanging="360"/>
      </w:pPr>
      <w:rPr>
        <w:rFonts w:ascii="Times New Roman" w:hAnsi="Times New Roman" w:hint="default"/>
      </w:rPr>
    </w:lvl>
    <w:lvl w:ilvl="7" w:tplc="45F40B02" w:tentative="1">
      <w:start w:val="1"/>
      <w:numFmt w:val="bullet"/>
      <w:lvlText w:val="•"/>
      <w:lvlJc w:val="left"/>
      <w:pPr>
        <w:tabs>
          <w:tab w:val="num" w:pos="5760"/>
        </w:tabs>
        <w:ind w:left="5760" w:hanging="360"/>
      </w:pPr>
      <w:rPr>
        <w:rFonts w:ascii="Times New Roman" w:hAnsi="Times New Roman" w:hint="default"/>
      </w:rPr>
    </w:lvl>
    <w:lvl w:ilvl="8" w:tplc="A5262C4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1555543"/>
    <w:multiLevelType w:val="hybridMultilevel"/>
    <w:tmpl w:val="7B342026"/>
    <w:lvl w:ilvl="0" w:tplc="9ADA36DC">
      <w:start w:val="1"/>
      <w:numFmt w:val="decimal"/>
      <w:lvlText w:val="%1."/>
      <w:lvlJc w:val="left"/>
      <w:pPr>
        <w:tabs>
          <w:tab w:val="num" w:pos="720"/>
        </w:tabs>
        <w:ind w:left="720" w:hanging="360"/>
      </w:pPr>
    </w:lvl>
    <w:lvl w:ilvl="1" w:tplc="15A2275C" w:tentative="1">
      <w:start w:val="1"/>
      <w:numFmt w:val="decimal"/>
      <w:lvlText w:val="%2."/>
      <w:lvlJc w:val="left"/>
      <w:pPr>
        <w:tabs>
          <w:tab w:val="num" w:pos="1440"/>
        </w:tabs>
        <w:ind w:left="1440" w:hanging="360"/>
      </w:pPr>
    </w:lvl>
    <w:lvl w:ilvl="2" w:tplc="7346BDE0" w:tentative="1">
      <w:start w:val="1"/>
      <w:numFmt w:val="decimal"/>
      <w:lvlText w:val="%3."/>
      <w:lvlJc w:val="left"/>
      <w:pPr>
        <w:tabs>
          <w:tab w:val="num" w:pos="2160"/>
        </w:tabs>
        <w:ind w:left="2160" w:hanging="360"/>
      </w:pPr>
    </w:lvl>
    <w:lvl w:ilvl="3" w:tplc="D0B66202" w:tentative="1">
      <w:start w:val="1"/>
      <w:numFmt w:val="decimal"/>
      <w:lvlText w:val="%4."/>
      <w:lvlJc w:val="left"/>
      <w:pPr>
        <w:tabs>
          <w:tab w:val="num" w:pos="2880"/>
        </w:tabs>
        <w:ind w:left="2880" w:hanging="360"/>
      </w:pPr>
    </w:lvl>
    <w:lvl w:ilvl="4" w:tplc="7C8A2E00" w:tentative="1">
      <w:start w:val="1"/>
      <w:numFmt w:val="decimal"/>
      <w:lvlText w:val="%5."/>
      <w:lvlJc w:val="left"/>
      <w:pPr>
        <w:tabs>
          <w:tab w:val="num" w:pos="3600"/>
        </w:tabs>
        <w:ind w:left="3600" w:hanging="360"/>
      </w:pPr>
    </w:lvl>
    <w:lvl w:ilvl="5" w:tplc="469A0D0C" w:tentative="1">
      <w:start w:val="1"/>
      <w:numFmt w:val="decimal"/>
      <w:lvlText w:val="%6."/>
      <w:lvlJc w:val="left"/>
      <w:pPr>
        <w:tabs>
          <w:tab w:val="num" w:pos="4320"/>
        </w:tabs>
        <w:ind w:left="4320" w:hanging="360"/>
      </w:pPr>
    </w:lvl>
    <w:lvl w:ilvl="6" w:tplc="ED021BE0" w:tentative="1">
      <w:start w:val="1"/>
      <w:numFmt w:val="decimal"/>
      <w:lvlText w:val="%7."/>
      <w:lvlJc w:val="left"/>
      <w:pPr>
        <w:tabs>
          <w:tab w:val="num" w:pos="5040"/>
        </w:tabs>
        <w:ind w:left="5040" w:hanging="360"/>
      </w:pPr>
    </w:lvl>
    <w:lvl w:ilvl="7" w:tplc="EA7AEC9A" w:tentative="1">
      <w:start w:val="1"/>
      <w:numFmt w:val="decimal"/>
      <w:lvlText w:val="%8."/>
      <w:lvlJc w:val="left"/>
      <w:pPr>
        <w:tabs>
          <w:tab w:val="num" w:pos="5760"/>
        </w:tabs>
        <w:ind w:left="5760" w:hanging="360"/>
      </w:pPr>
    </w:lvl>
    <w:lvl w:ilvl="8" w:tplc="7B3C2F30" w:tentative="1">
      <w:start w:val="1"/>
      <w:numFmt w:val="decimal"/>
      <w:lvlText w:val="%9."/>
      <w:lvlJc w:val="left"/>
      <w:pPr>
        <w:tabs>
          <w:tab w:val="num" w:pos="6480"/>
        </w:tabs>
        <w:ind w:left="6480" w:hanging="360"/>
      </w:pPr>
    </w:lvl>
  </w:abstractNum>
  <w:abstractNum w:abstractNumId="14"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C52F1A"/>
    <w:multiLevelType w:val="hybridMultilevel"/>
    <w:tmpl w:val="86A4AAB4"/>
    <w:lvl w:ilvl="0" w:tplc="6C927904">
      <w:start w:val="1"/>
      <w:numFmt w:val="bullet"/>
      <w:lvlText w:val="•"/>
      <w:lvlJc w:val="left"/>
      <w:pPr>
        <w:tabs>
          <w:tab w:val="num" w:pos="720"/>
        </w:tabs>
        <w:ind w:left="720" w:hanging="360"/>
      </w:pPr>
      <w:rPr>
        <w:rFonts w:ascii="Arial" w:hAnsi="Arial" w:hint="default"/>
      </w:rPr>
    </w:lvl>
    <w:lvl w:ilvl="1" w:tplc="F8C2E214" w:tentative="1">
      <w:start w:val="1"/>
      <w:numFmt w:val="bullet"/>
      <w:lvlText w:val="•"/>
      <w:lvlJc w:val="left"/>
      <w:pPr>
        <w:tabs>
          <w:tab w:val="num" w:pos="1440"/>
        </w:tabs>
        <w:ind w:left="1440" w:hanging="360"/>
      </w:pPr>
      <w:rPr>
        <w:rFonts w:ascii="Arial" w:hAnsi="Arial" w:hint="default"/>
      </w:rPr>
    </w:lvl>
    <w:lvl w:ilvl="2" w:tplc="CA06E834" w:tentative="1">
      <w:start w:val="1"/>
      <w:numFmt w:val="bullet"/>
      <w:lvlText w:val="•"/>
      <w:lvlJc w:val="left"/>
      <w:pPr>
        <w:tabs>
          <w:tab w:val="num" w:pos="2160"/>
        </w:tabs>
        <w:ind w:left="2160" w:hanging="360"/>
      </w:pPr>
      <w:rPr>
        <w:rFonts w:ascii="Arial" w:hAnsi="Arial" w:hint="default"/>
      </w:rPr>
    </w:lvl>
    <w:lvl w:ilvl="3" w:tplc="C408DA6A" w:tentative="1">
      <w:start w:val="1"/>
      <w:numFmt w:val="bullet"/>
      <w:lvlText w:val="•"/>
      <w:lvlJc w:val="left"/>
      <w:pPr>
        <w:tabs>
          <w:tab w:val="num" w:pos="2880"/>
        </w:tabs>
        <w:ind w:left="2880" w:hanging="360"/>
      </w:pPr>
      <w:rPr>
        <w:rFonts w:ascii="Arial" w:hAnsi="Arial" w:hint="default"/>
      </w:rPr>
    </w:lvl>
    <w:lvl w:ilvl="4" w:tplc="A35A26A8" w:tentative="1">
      <w:start w:val="1"/>
      <w:numFmt w:val="bullet"/>
      <w:lvlText w:val="•"/>
      <w:lvlJc w:val="left"/>
      <w:pPr>
        <w:tabs>
          <w:tab w:val="num" w:pos="3600"/>
        </w:tabs>
        <w:ind w:left="3600" w:hanging="360"/>
      </w:pPr>
      <w:rPr>
        <w:rFonts w:ascii="Arial" w:hAnsi="Arial" w:hint="default"/>
      </w:rPr>
    </w:lvl>
    <w:lvl w:ilvl="5" w:tplc="6DA002A6" w:tentative="1">
      <w:start w:val="1"/>
      <w:numFmt w:val="bullet"/>
      <w:lvlText w:val="•"/>
      <w:lvlJc w:val="left"/>
      <w:pPr>
        <w:tabs>
          <w:tab w:val="num" w:pos="4320"/>
        </w:tabs>
        <w:ind w:left="4320" w:hanging="360"/>
      </w:pPr>
      <w:rPr>
        <w:rFonts w:ascii="Arial" w:hAnsi="Arial" w:hint="default"/>
      </w:rPr>
    </w:lvl>
    <w:lvl w:ilvl="6" w:tplc="FBB2774A" w:tentative="1">
      <w:start w:val="1"/>
      <w:numFmt w:val="bullet"/>
      <w:lvlText w:val="•"/>
      <w:lvlJc w:val="left"/>
      <w:pPr>
        <w:tabs>
          <w:tab w:val="num" w:pos="5040"/>
        </w:tabs>
        <w:ind w:left="5040" w:hanging="360"/>
      </w:pPr>
      <w:rPr>
        <w:rFonts w:ascii="Arial" w:hAnsi="Arial" w:hint="default"/>
      </w:rPr>
    </w:lvl>
    <w:lvl w:ilvl="7" w:tplc="D1EE2884" w:tentative="1">
      <w:start w:val="1"/>
      <w:numFmt w:val="bullet"/>
      <w:lvlText w:val="•"/>
      <w:lvlJc w:val="left"/>
      <w:pPr>
        <w:tabs>
          <w:tab w:val="num" w:pos="5760"/>
        </w:tabs>
        <w:ind w:left="5760" w:hanging="360"/>
      </w:pPr>
      <w:rPr>
        <w:rFonts w:ascii="Arial" w:hAnsi="Arial" w:hint="default"/>
      </w:rPr>
    </w:lvl>
    <w:lvl w:ilvl="8" w:tplc="C1349A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BF76D5"/>
    <w:multiLevelType w:val="hybridMultilevel"/>
    <w:tmpl w:val="216A27CA"/>
    <w:lvl w:ilvl="0" w:tplc="D076D6F6">
      <w:start w:val="1"/>
      <w:numFmt w:val="bullet"/>
      <w:lvlText w:val="•"/>
      <w:lvlJc w:val="left"/>
      <w:pPr>
        <w:tabs>
          <w:tab w:val="num" w:pos="720"/>
        </w:tabs>
        <w:ind w:left="720" w:hanging="360"/>
      </w:pPr>
      <w:rPr>
        <w:rFonts w:ascii="Arial" w:hAnsi="Arial" w:hint="default"/>
      </w:rPr>
    </w:lvl>
    <w:lvl w:ilvl="1" w:tplc="322C46F6" w:tentative="1">
      <w:start w:val="1"/>
      <w:numFmt w:val="bullet"/>
      <w:lvlText w:val="•"/>
      <w:lvlJc w:val="left"/>
      <w:pPr>
        <w:tabs>
          <w:tab w:val="num" w:pos="1440"/>
        </w:tabs>
        <w:ind w:left="1440" w:hanging="360"/>
      </w:pPr>
      <w:rPr>
        <w:rFonts w:ascii="Arial" w:hAnsi="Arial" w:hint="default"/>
      </w:rPr>
    </w:lvl>
    <w:lvl w:ilvl="2" w:tplc="C22C9574" w:tentative="1">
      <w:start w:val="1"/>
      <w:numFmt w:val="bullet"/>
      <w:lvlText w:val="•"/>
      <w:lvlJc w:val="left"/>
      <w:pPr>
        <w:tabs>
          <w:tab w:val="num" w:pos="2160"/>
        </w:tabs>
        <w:ind w:left="2160" w:hanging="360"/>
      </w:pPr>
      <w:rPr>
        <w:rFonts w:ascii="Arial" w:hAnsi="Arial" w:hint="default"/>
      </w:rPr>
    </w:lvl>
    <w:lvl w:ilvl="3" w:tplc="1D4A28E2" w:tentative="1">
      <w:start w:val="1"/>
      <w:numFmt w:val="bullet"/>
      <w:lvlText w:val="•"/>
      <w:lvlJc w:val="left"/>
      <w:pPr>
        <w:tabs>
          <w:tab w:val="num" w:pos="2880"/>
        </w:tabs>
        <w:ind w:left="2880" w:hanging="360"/>
      </w:pPr>
      <w:rPr>
        <w:rFonts w:ascii="Arial" w:hAnsi="Arial" w:hint="default"/>
      </w:rPr>
    </w:lvl>
    <w:lvl w:ilvl="4" w:tplc="C4A0BDC4" w:tentative="1">
      <w:start w:val="1"/>
      <w:numFmt w:val="bullet"/>
      <w:lvlText w:val="•"/>
      <w:lvlJc w:val="left"/>
      <w:pPr>
        <w:tabs>
          <w:tab w:val="num" w:pos="3600"/>
        </w:tabs>
        <w:ind w:left="3600" w:hanging="360"/>
      </w:pPr>
      <w:rPr>
        <w:rFonts w:ascii="Arial" w:hAnsi="Arial" w:hint="default"/>
      </w:rPr>
    </w:lvl>
    <w:lvl w:ilvl="5" w:tplc="852C7642" w:tentative="1">
      <w:start w:val="1"/>
      <w:numFmt w:val="bullet"/>
      <w:lvlText w:val="•"/>
      <w:lvlJc w:val="left"/>
      <w:pPr>
        <w:tabs>
          <w:tab w:val="num" w:pos="4320"/>
        </w:tabs>
        <w:ind w:left="4320" w:hanging="360"/>
      </w:pPr>
      <w:rPr>
        <w:rFonts w:ascii="Arial" w:hAnsi="Arial" w:hint="default"/>
      </w:rPr>
    </w:lvl>
    <w:lvl w:ilvl="6" w:tplc="203AB1AA" w:tentative="1">
      <w:start w:val="1"/>
      <w:numFmt w:val="bullet"/>
      <w:lvlText w:val="•"/>
      <w:lvlJc w:val="left"/>
      <w:pPr>
        <w:tabs>
          <w:tab w:val="num" w:pos="5040"/>
        </w:tabs>
        <w:ind w:left="5040" w:hanging="360"/>
      </w:pPr>
      <w:rPr>
        <w:rFonts w:ascii="Arial" w:hAnsi="Arial" w:hint="default"/>
      </w:rPr>
    </w:lvl>
    <w:lvl w:ilvl="7" w:tplc="414A1AB2" w:tentative="1">
      <w:start w:val="1"/>
      <w:numFmt w:val="bullet"/>
      <w:lvlText w:val="•"/>
      <w:lvlJc w:val="left"/>
      <w:pPr>
        <w:tabs>
          <w:tab w:val="num" w:pos="5760"/>
        </w:tabs>
        <w:ind w:left="5760" w:hanging="360"/>
      </w:pPr>
      <w:rPr>
        <w:rFonts w:ascii="Arial" w:hAnsi="Arial" w:hint="default"/>
      </w:rPr>
    </w:lvl>
    <w:lvl w:ilvl="8" w:tplc="7360C7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14"/>
  </w:num>
  <w:num w:numId="4">
    <w:abstractNumId w:val="4"/>
  </w:num>
  <w:num w:numId="5">
    <w:abstractNumId w:val="0"/>
  </w:num>
  <w:num w:numId="6">
    <w:abstractNumId w:val="7"/>
  </w:num>
  <w:num w:numId="7">
    <w:abstractNumId w:val="15"/>
  </w:num>
  <w:num w:numId="8">
    <w:abstractNumId w:val="2"/>
  </w:num>
  <w:num w:numId="9">
    <w:abstractNumId w:val="11"/>
  </w:num>
  <w:num w:numId="10">
    <w:abstractNumId w:val="16"/>
  </w:num>
  <w:num w:numId="11">
    <w:abstractNumId w:val="6"/>
  </w:num>
  <w:num w:numId="12">
    <w:abstractNumId w:val="9"/>
  </w:num>
  <w:num w:numId="13">
    <w:abstractNumId w:val="8"/>
  </w:num>
  <w:num w:numId="14">
    <w:abstractNumId w:val="5"/>
  </w:num>
  <w:num w:numId="15">
    <w:abstractNumId w:val="12"/>
  </w:num>
  <w:num w:numId="16">
    <w:abstractNumId w:val="3"/>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04AA7"/>
    <w:rsid w:val="0000659D"/>
    <w:rsid w:val="000118F4"/>
    <w:rsid w:val="000327FA"/>
    <w:rsid w:val="0004175B"/>
    <w:rsid w:val="00043736"/>
    <w:rsid w:val="00075C3D"/>
    <w:rsid w:val="000805AE"/>
    <w:rsid w:val="000813FD"/>
    <w:rsid w:val="00093E5D"/>
    <w:rsid w:val="000B3E0A"/>
    <w:rsid w:val="000B4382"/>
    <w:rsid w:val="000B7884"/>
    <w:rsid w:val="000D0262"/>
    <w:rsid w:val="000E1C9D"/>
    <w:rsid w:val="000F07E6"/>
    <w:rsid w:val="001131C4"/>
    <w:rsid w:val="001236C8"/>
    <w:rsid w:val="001617CB"/>
    <w:rsid w:val="00167F39"/>
    <w:rsid w:val="00185565"/>
    <w:rsid w:val="00186BCE"/>
    <w:rsid w:val="00194476"/>
    <w:rsid w:val="001A1B98"/>
    <w:rsid w:val="001A33BC"/>
    <w:rsid w:val="001C0000"/>
    <w:rsid w:val="001C4878"/>
    <w:rsid w:val="001D0508"/>
    <w:rsid w:val="001D33BD"/>
    <w:rsid w:val="002057C2"/>
    <w:rsid w:val="002071DE"/>
    <w:rsid w:val="002334D0"/>
    <w:rsid w:val="00235936"/>
    <w:rsid w:val="002471A6"/>
    <w:rsid w:val="00252723"/>
    <w:rsid w:val="002606A3"/>
    <w:rsid w:val="002B1A0D"/>
    <w:rsid w:val="002B4035"/>
    <w:rsid w:val="002D51BF"/>
    <w:rsid w:val="002E526D"/>
    <w:rsid w:val="002F1659"/>
    <w:rsid w:val="002F24E1"/>
    <w:rsid w:val="0030383B"/>
    <w:rsid w:val="00311194"/>
    <w:rsid w:val="00331329"/>
    <w:rsid w:val="00334D42"/>
    <w:rsid w:val="00362CB2"/>
    <w:rsid w:val="003638C1"/>
    <w:rsid w:val="00372CCD"/>
    <w:rsid w:val="00374762"/>
    <w:rsid w:val="003772FB"/>
    <w:rsid w:val="003A1BFD"/>
    <w:rsid w:val="003B7153"/>
    <w:rsid w:val="003E63DE"/>
    <w:rsid w:val="003F145A"/>
    <w:rsid w:val="0043609D"/>
    <w:rsid w:val="004934CB"/>
    <w:rsid w:val="004976F7"/>
    <w:rsid w:val="004C502D"/>
    <w:rsid w:val="004E30EE"/>
    <w:rsid w:val="00503340"/>
    <w:rsid w:val="0051791C"/>
    <w:rsid w:val="005201FC"/>
    <w:rsid w:val="005276AE"/>
    <w:rsid w:val="00533EA7"/>
    <w:rsid w:val="00570978"/>
    <w:rsid w:val="00573AA8"/>
    <w:rsid w:val="00576112"/>
    <w:rsid w:val="005A156B"/>
    <w:rsid w:val="005B2ED4"/>
    <w:rsid w:val="005D40DD"/>
    <w:rsid w:val="00637FF7"/>
    <w:rsid w:val="00640D79"/>
    <w:rsid w:val="00646253"/>
    <w:rsid w:val="006941F2"/>
    <w:rsid w:val="006A58B1"/>
    <w:rsid w:val="006B63BB"/>
    <w:rsid w:val="006D48A4"/>
    <w:rsid w:val="006E6C10"/>
    <w:rsid w:val="00702C8C"/>
    <w:rsid w:val="007041A0"/>
    <w:rsid w:val="007345DD"/>
    <w:rsid w:val="007374AA"/>
    <w:rsid w:val="00740036"/>
    <w:rsid w:val="007448F7"/>
    <w:rsid w:val="00747052"/>
    <w:rsid w:val="007B1DFB"/>
    <w:rsid w:val="007B29E6"/>
    <w:rsid w:val="007E4A9A"/>
    <w:rsid w:val="007F0FD9"/>
    <w:rsid w:val="00821E0B"/>
    <w:rsid w:val="00827C7C"/>
    <w:rsid w:val="008417C4"/>
    <w:rsid w:val="00876A93"/>
    <w:rsid w:val="008921B5"/>
    <w:rsid w:val="008C1E30"/>
    <w:rsid w:val="008E024C"/>
    <w:rsid w:val="008F0AC5"/>
    <w:rsid w:val="009029F2"/>
    <w:rsid w:val="009225F2"/>
    <w:rsid w:val="0092371B"/>
    <w:rsid w:val="00925B55"/>
    <w:rsid w:val="00930DB7"/>
    <w:rsid w:val="009423FA"/>
    <w:rsid w:val="00953722"/>
    <w:rsid w:val="009808BE"/>
    <w:rsid w:val="00983A24"/>
    <w:rsid w:val="009926B9"/>
    <w:rsid w:val="00995DF2"/>
    <w:rsid w:val="009E35E2"/>
    <w:rsid w:val="009F7850"/>
    <w:rsid w:val="00A0219F"/>
    <w:rsid w:val="00A04B31"/>
    <w:rsid w:val="00A34E63"/>
    <w:rsid w:val="00A5486E"/>
    <w:rsid w:val="00A77193"/>
    <w:rsid w:val="00A84117"/>
    <w:rsid w:val="00A96F49"/>
    <w:rsid w:val="00AA4CAA"/>
    <w:rsid w:val="00AA7095"/>
    <w:rsid w:val="00AA7A13"/>
    <w:rsid w:val="00AC553C"/>
    <w:rsid w:val="00AD3011"/>
    <w:rsid w:val="00AE5851"/>
    <w:rsid w:val="00AE71B7"/>
    <w:rsid w:val="00AE7A9B"/>
    <w:rsid w:val="00AF1EE1"/>
    <w:rsid w:val="00B83103"/>
    <w:rsid w:val="00B86C6A"/>
    <w:rsid w:val="00BB4242"/>
    <w:rsid w:val="00BD1B29"/>
    <w:rsid w:val="00BD6BC9"/>
    <w:rsid w:val="00BE47FA"/>
    <w:rsid w:val="00BF560A"/>
    <w:rsid w:val="00C0475D"/>
    <w:rsid w:val="00C12416"/>
    <w:rsid w:val="00C25D37"/>
    <w:rsid w:val="00C36058"/>
    <w:rsid w:val="00C37D10"/>
    <w:rsid w:val="00C55B22"/>
    <w:rsid w:val="00C772D9"/>
    <w:rsid w:val="00C83884"/>
    <w:rsid w:val="00C864F5"/>
    <w:rsid w:val="00CA468E"/>
    <w:rsid w:val="00CB5929"/>
    <w:rsid w:val="00CC123E"/>
    <w:rsid w:val="00CD18A4"/>
    <w:rsid w:val="00CE15D5"/>
    <w:rsid w:val="00CE5A9B"/>
    <w:rsid w:val="00D011B8"/>
    <w:rsid w:val="00D073FA"/>
    <w:rsid w:val="00D12AE2"/>
    <w:rsid w:val="00D26126"/>
    <w:rsid w:val="00D368C0"/>
    <w:rsid w:val="00D50AC6"/>
    <w:rsid w:val="00D55575"/>
    <w:rsid w:val="00D7485B"/>
    <w:rsid w:val="00D91073"/>
    <w:rsid w:val="00D96205"/>
    <w:rsid w:val="00DB3C34"/>
    <w:rsid w:val="00DB5D27"/>
    <w:rsid w:val="00DC0FA7"/>
    <w:rsid w:val="00DE39E7"/>
    <w:rsid w:val="00DF0059"/>
    <w:rsid w:val="00E0238A"/>
    <w:rsid w:val="00E13573"/>
    <w:rsid w:val="00E20495"/>
    <w:rsid w:val="00E22FD1"/>
    <w:rsid w:val="00E36A54"/>
    <w:rsid w:val="00E46BDB"/>
    <w:rsid w:val="00E517C8"/>
    <w:rsid w:val="00E5198B"/>
    <w:rsid w:val="00E85ED0"/>
    <w:rsid w:val="00E90785"/>
    <w:rsid w:val="00EB28FB"/>
    <w:rsid w:val="00F052C2"/>
    <w:rsid w:val="00F06CE5"/>
    <w:rsid w:val="00F21467"/>
    <w:rsid w:val="00F21904"/>
    <w:rsid w:val="00F27A53"/>
    <w:rsid w:val="00F540A7"/>
    <w:rsid w:val="00F62489"/>
    <w:rsid w:val="00F9090B"/>
    <w:rsid w:val="00F9395A"/>
    <w:rsid w:val="00FA3FAD"/>
    <w:rsid w:val="00FB2EF0"/>
    <w:rsid w:val="00FC21FC"/>
    <w:rsid w:val="00FD44C0"/>
    <w:rsid w:val="00FE32D3"/>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1C0000"/>
    <w:pPr>
      <w:keepNext/>
      <w:spacing w:before="240" w:after="240" w:line="360" w:lineRule="auto"/>
      <w:outlineLvl w:val="0"/>
    </w:pPr>
    <w:rPr>
      <w:rFonts w:eastAsiaTheme="majorEastAsia" w:cstheme="majorBidi"/>
      <w:b/>
      <w:sz w:val="36"/>
      <w:szCs w:val="36"/>
      <w:lang w:val="en-US"/>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000"/>
    <w:rPr>
      <w:rFonts w:eastAsiaTheme="majorEastAsia" w:cstheme="majorBidi"/>
      <w:b/>
      <w:sz w:val="36"/>
      <w:szCs w:val="36"/>
      <w:lang w:val="en-US"/>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UnresolvedMention">
    <w:name w:val="Unresolved Mention"/>
    <w:basedOn w:val="DefaultParagraphFont"/>
    <w:uiPriority w:val="99"/>
    <w:semiHidden/>
    <w:unhideWhenUsed/>
    <w:rsid w:val="00CE15D5"/>
    <w:rPr>
      <w:color w:val="605E5C"/>
      <w:shd w:val="clear" w:color="auto" w:fill="E1DFDD"/>
    </w:rPr>
  </w:style>
  <w:style w:type="character" w:styleId="FollowedHyperlink">
    <w:name w:val="FollowedHyperlink"/>
    <w:basedOn w:val="DefaultParagraphFont"/>
    <w:uiPriority w:val="99"/>
    <w:semiHidden/>
    <w:unhideWhenUsed/>
    <w:rsid w:val="00F21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00005">
      <w:bodyDiv w:val="1"/>
      <w:marLeft w:val="0"/>
      <w:marRight w:val="0"/>
      <w:marTop w:val="0"/>
      <w:marBottom w:val="0"/>
      <w:divBdr>
        <w:top w:val="none" w:sz="0" w:space="0" w:color="auto"/>
        <w:left w:val="none" w:sz="0" w:space="0" w:color="auto"/>
        <w:bottom w:val="none" w:sz="0" w:space="0" w:color="auto"/>
        <w:right w:val="none" w:sz="0" w:space="0" w:color="auto"/>
      </w:divBdr>
    </w:div>
    <w:div w:id="189728169">
      <w:bodyDiv w:val="1"/>
      <w:marLeft w:val="0"/>
      <w:marRight w:val="0"/>
      <w:marTop w:val="0"/>
      <w:marBottom w:val="0"/>
      <w:divBdr>
        <w:top w:val="none" w:sz="0" w:space="0" w:color="auto"/>
        <w:left w:val="none" w:sz="0" w:space="0" w:color="auto"/>
        <w:bottom w:val="none" w:sz="0" w:space="0" w:color="auto"/>
        <w:right w:val="none" w:sz="0" w:space="0" w:color="auto"/>
      </w:divBdr>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429934133">
      <w:bodyDiv w:val="1"/>
      <w:marLeft w:val="0"/>
      <w:marRight w:val="0"/>
      <w:marTop w:val="0"/>
      <w:marBottom w:val="0"/>
      <w:divBdr>
        <w:top w:val="none" w:sz="0" w:space="0" w:color="auto"/>
        <w:left w:val="none" w:sz="0" w:space="0" w:color="auto"/>
        <w:bottom w:val="none" w:sz="0" w:space="0" w:color="auto"/>
        <w:right w:val="none" w:sz="0" w:space="0" w:color="auto"/>
      </w:divBdr>
    </w:div>
    <w:div w:id="493956089">
      <w:bodyDiv w:val="1"/>
      <w:marLeft w:val="0"/>
      <w:marRight w:val="0"/>
      <w:marTop w:val="0"/>
      <w:marBottom w:val="0"/>
      <w:divBdr>
        <w:top w:val="none" w:sz="0" w:space="0" w:color="auto"/>
        <w:left w:val="none" w:sz="0" w:space="0" w:color="auto"/>
        <w:bottom w:val="none" w:sz="0" w:space="0" w:color="auto"/>
        <w:right w:val="none" w:sz="0" w:space="0" w:color="auto"/>
      </w:divBdr>
    </w:div>
    <w:div w:id="525602392">
      <w:bodyDiv w:val="1"/>
      <w:marLeft w:val="0"/>
      <w:marRight w:val="0"/>
      <w:marTop w:val="0"/>
      <w:marBottom w:val="0"/>
      <w:divBdr>
        <w:top w:val="none" w:sz="0" w:space="0" w:color="auto"/>
        <w:left w:val="none" w:sz="0" w:space="0" w:color="auto"/>
        <w:bottom w:val="none" w:sz="0" w:space="0" w:color="auto"/>
        <w:right w:val="none" w:sz="0" w:space="0" w:color="auto"/>
      </w:divBdr>
      <w:divsChild>
        <w:div w:id="1053819942">
          <w:marLeft w:val="360"/>
          <w:marRight w:val="0"/>
          <w:marTop w:val="200"/>
          <w:marBottom w:val="0"/>
          <w:divBdr>
            <w:top w:val="none" w:sz="0" w:space="0" w:color="auto"/>
            <w:left w:val="none" w:sz="0" w:space="0" w:color="auto"/>
            <w:bottom w:val="none" w:sz="0" w:space="0" w:color="auto"/>
            <w:right w:val="none" w:sz="0" w:space="0" w:color="auto"/>
          </w:divBdr>
        </w:div>
        <w:div w:id="1313019525">
          <w:marLeft w:val="360"/>
          <w:marRight w:val="0"/>
          <w:marTop w:val="200"/>
          <w:marBottom w:val="0"/>
          <w:divBdr>
            <w:top w:val="none" w:sz="0" w:space="0" w:color="auto"/>
            <w:left w:val="none" w:sz="0" w:space="0" w:color="auto"/>
            <w:bottom w:val="none" w:sz="0" w:space="0" w:color="auto"/>
            <w:right w:val="none" w:sz="0" w:space="0" w:color="auto"/>
          </w:divBdr>
        </w:div>
        <w:div w:id="970983145">
          <w:marLeft w:val="360"/>
          <w:marRight w:val="0"/>
          <w:marTop w:val="200"/>
          <w:marBottom w:val="0"/>
          <w:divBdr>
            <w:top w:val="none" w:sz="0" w:space="0" w:color="auto"/>
            <w:left w:val="none" w:sz="0" w:space="0" w:color="auto"/>
            <w:bottom w:val="none" w:sz="0" w:space="0" w:color="auto"/>
            <w:right w:val="none" w:sz="0" w:space="0" w:color="auto"/>
          </w:divBdr>
        </w:div>
        <w:div w:id="1123384713">
          <w:marLeft w:val="360"/>
          <w:marRight w:val="0"/>
          <w:marTop w:val="200"/>
          <w:marBottom w:val="0"/>
          <w:divBdr>
            <w:top w:val="none" w:sz="0" w:space="0" w:color="auto"/>
            <w:left w:val="none" w:sz="0" w:space="0" w:color="auto"/>
            <w:bottom w:val="none" w:sz="0" w:space="0" w:color="auto"/>
            <w:right w:val="none" w:sz="0" w:space="0" w:color="auto"/>
          </w:divBdr>
        </w:div>
        <w:div w:id="623344684">
          <w:marLeft w:val="360"/>
          <w:marRight w:val="0"/>
          <w:marTop w:val="200"/>
          <w:marBottom w:val="0"/>
          <w:divBdr>
            <w:top w:val="none" w:sz="0" w:space="0" w:color="auto"/>
            <w:left w:val="none" w:sz="0" w:space="0" w:color="auto"/>
            <w:bottom w:val="none" w:sz="0" w:space="0" w:color="auto"/>
            <w:right w:val="none" w:sz="0" w:space="0" w:color="auto"/>
          </w:divBdr>
        </w:div>
        <w:div w:id="531192217">
          <w:marLeft w:val="360"/>
          <w:marRight w:val="0"/>
          <w:marTop w:val="200"/>
          <w:marBottom w:val="0"/>
          <w:divBdr>
            <w:top w:val="none" w:sz="0" w:space="0" w:color="auto"/>
            <w:left w:val="none" w:sz="0" w:space="0" w:color="auto"/>
            <w:bottom w:val="none" w:sz="0" w:space="0" w:color="auto"/>
            <w:right w:val="none" w:sz="0" w:space="0" w:color="auto"/>
          </w:divBdr>
        </w:div>
        <w:div w:id="78404448">
          <w:marLeft w:val="360"/>
          <w:marRight w:val="0"/>
          <w:marTop w:val="200"/>
          <w:marBottom w:val="0"/>
          <w:divBdr>
            <w:top w:val="none" w:sz="0" w:space="0" w:color="auto"/>
            <w:left w:val="none" w:sz="0" w:space="0" w:color="auto"/>
            <w:bottom w:val="none" w:sz="0" w:space="0" w:color="auto"/>
            <w:right w:val="none" w:sz="0" w:space="0" w:color="auto"/>
          </w:divBdr>
        </w:div>
      </w:divsChild>
    </w:div>
    <w:div w:id="612128075">
      <w:bodyDiv w:val="1"/>
      <w:marLeft w:val="0"/>
      <w:marRight w:val="0"/>
      <w:marTop w:val="0"/>
      <w:marBottom w:val="0"/>
      <w:divBdr>
        <w:top w:val="none" w:sz="0" w:space="0" w:color="auto"/>
        <w:left w:val="none" w:sz="0" w:space="0" w:color="auto"/>
        <w:bottom w:val="none" w:sz="0" w:space="0" w:color="auto"/>
        <w:right w:val="none" w:sz="0" w:space="0" w:color="auto"/>
      </w:divBdr>
      <w:divsChild>
        <w:div w:id="598878756">
          <w:marLeft w:val="547"/>
          <w:marRight w:val="0"/>
          <w:marTop w:val="0"/>
          <w:marBottom w:val="0"/>
          <w:divBdr>
            <w:top w:val="none" w:sz="0" w:space="0" w:color="auto"/>
            <w:left w:val="none" w:sz="0" w:space="0" w:color="auto"/>
            <w:bottom w:val="none" w:sz="0" w:space="0" w:color="auto"/>
            <w:right w:val="none" w:sz="0" w:space="0" w:color="auto"/>
          </w:divBdr>
        </w:div>
        <w:div w:id="2012366634">
          <w:marLeft w:val="547"/>
          <w:marRight w:val="0"/>
          <w:marTop w:val="0"/>
          <w:marBottom w:val="0"/>
          <w:divBdr>
            <w:top w:val="none" w:sz="0" w:space="0" w:color="auto"/>
            <w:left w:val="none" w:sz="0" w:space="0" w:color="auto"/>
            <w:bottom w:val="none" w:sz="0" w:space="0" w:color="auto"/>
            <w:right w:val="none" w:sz="0" w:space="0" w:color="auto"/>
          </w:divBdr>
        </w:div>
      </w:divsChild>
    </w:div>
    <w:div w:id="621544306">
      <w:bodyDiv w:val="1"/>
      <w:marLeft w:val="0"/>
      <w:marRight w:val="0"/>
      <w:marTop w:val="0"/>
      <w:marBottom w:val="0"/>
      <w:divBdr>
        <w:top w:val="none" w:sz="0" w:space="0" w:color="auto"/>
        <w:left w:val="none" w:sz="0" w:space="0" w:color="auto"/>
        <w:bottom w:val="none" w:sz="0" w:space="0" w:color="auto"/>
        <w:right w:val="none" w:sz="0" w:space="0" w:color="auto"/>
      </w:divBdr>
    </w:div>
    <w:div w:id="74287871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62665484">
      <w:bodyDiv w:val="1"/>
      <w:marLeft w:val="0"/>
      <w:marRight w:val="0"/>
      <w:marTop w:val="0"/>
      <w:marBottom w:val="0"/>
      <w:divBdr>
        <w:top w:val="none" w:sz="0" w:space="0" w:color="auto"/>
        <w:left w:val="none" w:sz="0" w:space="0" w:color="auto"/>
        <w:bottom w:val="none" w:sz="0" w:space="0" w:color="auto"/>
        <w:right w:val="none" w:sz="0" w:space="0" w:color="auto"/>
      </w:divBdr>
      <w:divsChild>
        <w:div w:id="1649359629">
          <w:marLeft w:val="806"/>
          <w:marRight w:val="0"/>
          <w:marTop w:val="200"/>
          <w:marBottom w:val="0"/>
          <w:divBdr>
            <w:top w:val="none" w:sz="0" w:space="0" w:color="auto"/>
            <w:left w:val="none" w:sz="0" w:space="0" w:color="auto"/>
            <w:bottom w:val="none" w:sz="0" w:space="0" w:color="auto"/>
            <w:right w:val="none" w:sz="0" w:space="0" w:color="auto"/>
          </w:divBdr>
        </w:div>
        <w:div w:id="1911229019">
          <w:marLeft w:val="806"/>
          <w:marRight w:val="0"/>
          <w:marTop w:val="200"/>
          <w:marBottom w:val="0"/>
          <w:divBdr>
            <w:top w:val="none" w:sz="0" w:space="0" w:color="auto"/>
            <w:left w:val="none" w:sz="0" w:space="0" w:color="auto"/>
            <w:bottom w:val="none" w:sz="0" w:space="0" w:color="auto"/>
            <w:right w:val="none" w:sz="0" w:space="0" w:color="auto"/>
          </w:divBdr>
        </w:div>
        <w:div w:id="460222208">
          <w:marLeft w:val="806"/>
          <w:marRight w:val="0"/>
          <w:marTop w:val="200"/>
          <w:marBottom w:val="0"/>
          <w:divBdr>
            <w:top w:val="none" w:sz="0" w:space="0" w:color="auto"/>
            <w:left w:val="none" w:sz="0" w:space="0" w:color="auto"/>
            <w:bottom w:val="none" w:sz="0" w:space="0" w:color="auto"/>
            <w:right w:val="none" w:sz="0" w:space="0" w:color="auto"/>
          </w:divBdr>
        </w:div>
        <w:div w:id="946232609">
          <w:marLeft w:val="806"/>
          <w:marRight w:val="0"/>
          <w:marTop w:val="200"/>
          <w:marBottom w:val="0"/>
          <w:divBdr>
            <w:top w:val="none" w:sz="0" w:space="0" w:color="auto"/>
            <w:left w:val="none" w:sz="0" w:space="0" w:color="auto"/>
            <w:bottom w:val="none" w:sz="0" w:space="0" w:color="auto"/>
            <w:right w:val="none" w:sz="0" w:space="0" w:color="auto"/>
          </w:divBdr>
        </w:div>
        <w:div w:id="1410007363">
          <w:marLeft w:val="806"/>
          <w:marRight w:val="0"/>
          <w:marTop w:val="200"/>
          <w:marBottom w:val="0"/>
          <w:divBdr>
            <w:top w:val="none" w:sz="0" w:space="0" w:color="auto"/>
            <w:left w:val="none" w:sz="0" w:space="0" w:color="auto"/>
            <w:bottom w:val="none" w:sz="0" w:space="0" w:color="auto"/>
            <w:right w:val="none" w:sz="0" w:space="0" w:color="auto"/>
          </w:divBdr>
        </w:div>
        <w:div w:id="618603891">
          <w:marLeft w:val="806"/>
          <w:marRight w:val="0"/>
          <w:marTop w:val="200"/>
          <w:marBottom w:val="0"/>
          <w:divBdr>
            <w:top w:val="none" w:sz="0" w:space="0" w:color="auto"/>
            <w:left w:val="none" w:sz="0" w:space="0" w:color="auto"/>
            <w:bottom w:val="none" w:sz="0" w:space="0" w:color="auto"/>
            <w:right w:val="none" w:sz="0" w:space="0" w:color="auto"/>
          </w:divBdr>
        </w:div>
        <w:div w:id="2102333651">
          <w:marLeft w:val="806"/>
          <w:marRight w:val="0"/>
          <w:marTop w:val="200"/>
          <w:marBottom w:val="0"/>
          <w:divBdr>
            <w:top w:val="none" w:sz="0" w:space="0" w:color="auto"/>
            <w:left w:val="none" w:sz="0" w:space="0" w:color="auto"/>
            <w:bottom w:val="none" w:sz="0" w:space="0" w:color="auto"/>
            <w:right w:val="none" w:sz="0" w:space="0" w:color="auto"/>
          </w:divBdr>
        </w:div>
        <w:div w:id="201484951">
          <w:marLeft w:val="806"/>
          <w:marRight w:val="0"/>
          <w:marTop w:val="200"/>
          <w:marBottom w:val="0"/>
          <w:divBdr>
            <w:top w:val="none" w:sz="0" w:space="0" w:color="auto"/>
            <w:left w:val="none" w:sz="0" w:space="0" w:color="auto"/>
            <w:bottom w:val="none" w:sz="0" w:space="0" w:color="auto"/>
            <w:right w:val="none" w:sz="0" w:space="0" w:color="auto"/>
          </w:divBdr>
        </w:div>
        <w:div w:id="559634188">
          <w:marLeft w:val="806"/>
          <w:marRight w:val="0"/>
          <w:marTop w:val="200"/>
          <w:marBottom w:val="0"/>
          <w:divBdr>
            <w:top w:val="none" w:sz="0" w:space="0" w:color="auto"/>
            <w:left w:val="none" w:sz="0" w:space="0" w:color="auto"/>
            <w:bottom w:val="none" w:sz="0" w:space="0" w:color="auto"/>
            <w:right w:val="none" w:sz="0" w:space="0" w:color="auto"/>
          </w:divBdr>
        </w:div>
        <w:div w:id="817266467">
          <w:marLeft w:val="806"/>
          <w:marRight w:val="0"/>
          <w:marTop w:val="200"/>
          <w:marBottom w:val="0"/>
          <w:divBdr>
            <w:top w:val="none" w:sz="0" w:space="0" w:color="auto"/>
            <w:left w:val="none" w:sz="0" w:space="0" w:color="auto"/>
            <w:bottom w:val="none" w:sz="0" w:space="0" w:color="auto"/>
            <w:right w:val="none" w:sz="0" w:space="0" w:color="auto"/>
          </w:divBdr>
        </w:div>
        <w:div w:id="64375965">
          <w:marLeft w:val="806"/>
          <w:marRight w:val="0"/>
          <w:marTop w:val="200"/>
          <w:marBottom w:val="0"/>
          <w:divBdr>
            <w:top w:val="none" w:sz="0" w:space="0" w:color="auto"/>
            <w:left w:val="none" w:sz="0" w:space="0" w:color="auto"/>
            <w:bottom w:val="none" w:sz="0" w:space="0" w:color="auto"/>
            <w:right w:val="none" w:sz="0" w:space="0" w:color="auto"/>
          </w:divBdr>
        </w:div>
      </w:divsChild>
    </w:div>
    <w:div w:id="1047948383">
      <w:bodyDiv w:val="1"/>
      <w:marLeft w:val="0"/>
      <w:marRight w:val="0"/>
      <w:marTop w:val="0"/>
      <w:marBottom w:val="0"/>
      <w:divBdr>
        <w:top w:val="none" w:sz="0" w:space="0" w:color="auto"/>
        <w:left w:val="none" w:sz="0" w:space="0" w:color="auto"/>
        <w:bottom w:val="none" w:sz="0" w:space="0" w:color="auto"/>
        <w:right w:val="none" w:sz="0" w:space="0" w:color="auto"/>
      </w:divBdr>
      <w:divsChild>
        <w:div w:id="1349404879">
          <w:marLeft w:val="360"/>
          <w:marRight w:val="0"/>
          <w:marTop w:val="200"/>
          <w:marBottom w:val="0"/>
          <w:divBdr>
            <w:top w:val="none" w:sz="0" w:space="0" w:color="auto"/>
            <w:left w:val="none" w:sz="0" w:space="0" w:color="auto"/>
            <w:bottom w:val="none" w:sz="0" w:space="0" w:color="auto"/>
            <w:right w:val="none" w:sz="0" w:space="0" w:color="auto"/>
          </w:divBdr>
        </w:div>
      </w:divsChild>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097553567">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28703150">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3746067">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464926995">
      <w:bodyDiv w:val="1"/>
      <w:marLeft w:val="0"/>
      <w:marRight w:val="0"/>
      <w:marTop w:val="0"/>
      <w:marBottom w:val="0"/>
      <w:divBdr>
        <w:top w:val="none" w:sz="0" w:space="0" w:color="auto"/>
        <w:left w:val="none" w:sz="0" w:space="0" w:color="auto"/>
        <w:bottom w:val="none" w:sz="0" w:space="0" w:color="auto"/>
        <w:right w:val="none" w:sz="0" w:space="0" w:color="auto"/>
      </w:divBdr>
    </w:div>
    <w:div w:id="1493571386">
      <w:bodyDiv w:val="1"/>
      <w:marLeft w:val="0"/>
      <w:marRight w:val="0"/>
      <w:marTop w:val="0"/>
      <w:marBottom w:val="0"/>
      <w:divBdr>
        <w:top w:val="none" w:sz="0" w:space="0" w:color="auto"/>
        <w:left w:val="none" w:sz="0" w:space="0" w:color="auto"/>
        <w:bottom w:val="none" w:sz="0" w:space="0" w:color="auto"/>
        <w:right w:val="none" w:sz="0" w:space="0" w:color="auto"/>
      </w:divBdr>
      <w:divsChild>
        <w:div w:id="238636357">
          <w:marLeft w:val="547"/>
          <w:marRight w:val="0"/>
          <w:marTop w:val="0"/>
          <w:marBottom w:val="0"/>
          <w:divBdr>
            <w:top w:val="none" w:sz="0" w:space="0" w:color="auto"/>
            <w:left w:val="none" w:sz="0" w:space="0" w:color="auto"/>
            <w:bottom w:val="none" w:sz="0" w:space="0" w:color="auto"/>
            <w:right w:val="none" w:sz="0" w:space="0" w:color="auto"/>
          </w:divBdr>
        </w:div>
        <w:div w:id="925191683">
          <w:marLeft w:val="547"/>
          <w:marRight w:val="0"/>
          <w:marTop w:val="0"/>
          <w:marBottom w:val="0"/>
          <w:divBdr>
            <w:top w:val="none" w:sz="0" w:space="0" w:color="auto"/>
            <w:left w:val="none" w:sz="0" w:space="0" w:color="auto"/>
            <w:bottom w:val="none" w:sz="0" w:space="0" w:color="auto"/>
            <w:right w:val="none" w:sz="0" w:space="0" w:color="auto"/>
          </w:divBdr>
        </w:div>
      </w:divsChild>
    </w:div>
    <w:div w:id="1636905396">
      <w:bodyDiv w:val="1"/>
      <w:marLeft w:val="0"/>
      <w:marRight w:val="0"/>
      <w:marTop w:val="0"/>
      <w:marBottom w:val="0"/>
      <w:divBdr>
        <w:top w:val="none" w:sz="0" w:space="0" w:color="auto"/>
        <w:left w:val="none" w:sz="0" w:space="0" w:color="auto"/>
        <w:bottom w:val="none" w:sz="0" w:space="0" w:color="auto"/>
        <w:right w:val="none" w:sz="0" w:space="0" w:color="auto"/>
      </w:divBdr>
    </w:div>
    <w:div w:id="1720084324">
      <w:bodyDiv w:val="1"/>
      <w:marLeft w:val="0"/>
      <w:marRight w:val="0"/>
      <w:marTop w:val="0"/>
      <w:marBottom w:val="0"/>
      <w:divBdr>
        <w:top w:val="none" w:sz="0" w:space="0" w:color="auto"/>
        <w:left w:val="none" w:sz="0" w:space="0" w:color="auto"/>
        <w:bottom w:val="none" w:sz="0" w:space="0" w:color="auto"/>
        <w:right w:val="none" w:sz="0" w:space="0" w:color="auto"/>
      </w:divBdr>
      <w:divsChild>
        <w:div w:id="1797336210">
          <w:marLeft w:val="547"/>
          <w:marRight w:val="0"/>
          <w:marTop w:val="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935939228">
      <w:bodyDiv w:val="1"/>
      <w:marLeft w:val="0"/>
      <w:marRight w:val="0"/>
      <w:marTop w:val="0"/>
      <w:marBottom w:val="0"/>
      <w:divBdr>
        <w:top w:val="none" w:sz="0" w:space="0" w:color="auto"/>
        <w:left w:val="none" w:sz="0" w:space="0" w:color="auto"/>
        <w:bottom w:val="none" w:sz="0" w:space="0" w:color="auto"/>
        <w:right w:val="none" w:sz="0" w:space="0" w:color="auto"/>
      </w:divBdr>
      <w:divsChild>
        <w:div w:id="165176897">
          <w:marLeft w:val="360"/>
          <w:marRight w:val="0"/>
          <w:marTop w:val="200"/>
          <w:marBottom w:val="0"/>
          <w:divBdr>
            <w:top w:val="none" w:sz="0" w:space="0" w:color="auto"/>
            <w:left w:val="none" w:sz="0" w:space="0" w:color="auto"/>
            <w:bottom w:val="none" w:sz="0" w:space="0" w:color="auto"/>
            <w:right w:val="none" w:sz="0" w:space="0" w:color="auto"/>
          </w:divBdr>
        </w:div>
      </w:divsChild>
    </w:div>
    <w:div w:id="2053916225">
      <w:bodyDiv w:val="1"/>
      <w:marLeft w:val="0"/>
      <w:marRight w:val="0"/>
      <w:marTop w:val="0"/>
      <w:marBottom w:val="0"/>
      <w:divBdr>
        <w:top w:val="none" w:sz="0" w:space="0" w:color="auto"/>
        <w:left w:val="none" w:sz="0" w:space="0" w:color="auto"/>
        <w:bottom w:val="none" w:sz="0" w:space="0" w:color="auto"/>
        <w:right w:val="none" w:sz="0" w:space="0" w:color="auto"/>
      </w:divBdr>
      <w:divsChild>
        <w:div w:id="507523390">
          <w:marLeft w:val="547"/>
          <w:marRight w:val="0"/>
          <w:marTop w:val="0"/>
          <w:marBottom w:val="0"/>
          <w:divBdr>
            <w:top w:val="none" w:sz="0" w:space="0" w:color="auto"/>
            <w:left w:val="none" w:sz="0" w:space="0" w:color="auto"/>
            <w:bottom w:val="none" w:sz="0" w:space="0" w:color="auto"/>
            <w:right w:val="none" w:sz="0" w:space="0" w:color="auto"/>
          </w:divBdr>
        </w:div>
        <w:div w:id="278341388">
          <w:marLeft w:val="547"/>
          <w:marRight w:val="0"/>
          <w:marTop w:val="0"/>
          <w:marBottom w:val="0"/>
          <w:divBdr>
            <w:top w:val="none" w:sz="0" w:space="0" w:color="auto"/>
            <w:left w:val="none" w:sz="0" w:space="0" w:color="auto"/>
            <w:bottom w:val="none" w:sz="0" w:space="0" w:color="auto"/>
            <w:right w:val="none" w:sz="0" w:space="0" w:color="auto"/>
          </w:divBdr>
        </w:div>
        <w:div w:id="1813986295">
          <w:marLeft w:val="547"/>
          <w:marRight w:val="0"/>
          <w:marTop w:val="0"/>
          <w:marBottom w:val="0"/>
          <w:divBdr>
            <w:top w:val="none" w:sz="0" w:space="0" w:color="auto"/>
            <w:left w:val="none" w:sz="0" w:space="0" w:color="auto"/>
            <w:bottom w:val="none" w:sz="0" w:space="0" w:color="auto"/>
            <w:right w:val="none" w:sz="0" w:space="0" w:color="auto"/>
          </w:divBdr>
        </w:div>
        <w:div w:id="905919969">
          <w:marLeft w:val="547"/>
          <w:marRight w:val="0"/>
          <w:marTop w:val="0"/>
          <w:marBottom w:val="0"/>
          <w:divBdr>
            <w:top w:val="none" w:sz="0" w:space="0" w:color="auto"/>
            <w:left w:val="none" w:sz="0" w:space="0" w:color="auto"/>
            <w:bottom w:val="none" w:sz="0" w:space="0" w:color="auto"/>
            <w:right w:val="none" w:sz="0" w:space="0" w:color="auto"/>
          </w:divBdr>
        </w:div>
      </w:divsChild>
    </w:div>
    <w:div w:id="2078891646">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ds.org.au/events-and-training/all-events-and-training/sda-update-meeting-36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s.org.au/news/dffh-collaboration-agreements-with-victorian-sil-provid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zoom.us/meeting/register/tJ0scuyrpzgrHNPuJA_CMDgIpCJw4yjQyjQ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160EF-3EF9-407F-8270-468A063A4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D990FE-BD1D-47F3-B822-4AF2EA7FE052}"/>
</file>

<file path=customXml/itemProps3.xml><?xml version="1.0" encoding="utf-8"?>
<ds:datastoreItem xmlns:ds="http://schemas.openxmlformats.org/officeDocument/2006/customXml" ds:itemID="{29E60D15-A948-4823-9EBF-9E23C26A2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Emma Bloom</cp:lastModifiedBy>
  <cp:revision>86</cp:revision>
  <cp:lastPrinted>2018-10-10T22:15:00Z</cp:lastPrinted>
  <dcterms:created xsi:type="dcterms:W3CDTF">2021-07-08T22:52:00Z</dcterms:created>
  <dcterms:modified xsi:type="dcterms:W3CDTF">2021-07-12T00:43:00Z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