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B547" w14:textId="5676692A" w:rsidR="00356944" w:rsidRPr="004B6CB7" w:rsidRDefault="00FF7B33" w:rsidP="007E1414">
      <w:pPr>
        <w:pStyle w:val="Title"/>
      </w:pPr>
      <w:r w:rsidRPr="004B6CB7">
        <w:t>NDS &amp; DHHS Webinar: Safer and Stronger</w:t>
      </w:r>
      <w:r w:rsidR="00A66D38" w:rsidRPr="004B6CB7">
        <w:t xml:space="preserve"> – accessible slides</w:t>
      </w:r>
    </w:p>
    <w:p w14:paraId="1B8099A1" w14:textId="31B083B1" w:rsidR="00B73E65" w:rsidRDefault="00B73E65" w:rsidP="00924D17">
      <w:pPr>
        <w:pStyle w:val="Heading1"/>
        <w:rPr>
          <w:lang w:val="en-US"/>
        </w:rPr>
      </w:pPr>
      <w:r>
        <w:rPr>
          <w:lang w:val="en-US"/>
        </w:rPr>
        <w:t>Slide 1</w:t>
      </w:r>
      <w:bookmarkStart w:id="0" w:name="_GoBack"/>
      <w:bookmarkEnd w:id="0"/>
    </w:p>
    <w:p w14:paraId="5BB8DA71" w14:textId="623680FB" w:rsidR="00B73E65" w:rsidRDefault="002419B0" w:rsidP="00D25AF6">
      <w:pPr>
        <w:pStyle w:val="Heading2"/>
      </w:pPr>
      <w:r>
        <w:t xml:space="preserve">NDS: Safer and Stronger </w:t>
      </w:r>
      <w:r w:rsidR="008351EE">
        <w:t>–</w:t>
      </w:r>
      <w:r>
        <w:t xml:space="preserve"> Disability Services and </w:t>
      </w:r>
      <w:r w:rsidR="00FF7B33">
        <w:t xml:space="preserve">COVID-19 </w:t>
      </w:r>
      <w:r>
        <w:t>webinar</w:t>
      </w:r>
    </w:p>
    <w:p w14:paraId="340B2740" w14:textId="78B5E7F2" w:rsidR="00B73E65" w:rsidRDefault="00D25AF6" w:rsidP="00C834EC">
      <w:pPr>
        <w:pStyle w:val="Heading3"/>
        <w:spacing w:line="276" w:lineRule="auto"/>
        <w:rPr>
          <w:lang w:val="en-US"/>
        </w:rPr>
      </w:pPr>
      <w:r>
        <w:rPr>
          <w:lang w:val="en-US"/>
        </w:rPr>
        <w:t>Friday 6</w:t>
      </w:r>
      <w:r w:rsidRPr="00D25AF6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  <w:r w:rsidR="00B73E65">
        <w:rPr>
          <w:lang w:val="en-US"/>
        </w:rPr>
        <w:t xml:space="preserve"> 2020, 10:00am – 1</w:t>
      </w:r>
      <w:r w:rsidR="00EA7FD2">
        <w:rPr>
          <w:lang w:val="en-US"/>
        </w:rPr>
        <w:t>1</w:t>
      </w:r>
      <w:r w:rsidR="00B73E65">
        <w:rPr>
          <w:lang w:val="en-US"/>
        </w:rPr>
        <w:t>:00</w:t>
      </w:r>
      <w:r w:rsidR="00EA7FD2">
        <w:rPr>
          <w:lang w:val="en-US"/>
        </w:rPr>
        <w:t>a</w:t>
      </w:r>
      <w:r w:rsidR="00B73E65">
        <w:rPr>
          <w:lang w:val="en-US"/>
        </w:rPr>
        <w:t>m</w:t>
      </w:r>
    </w:p>
    <w:p w14:paraId="409E1FB0" w14:textId="15E91389" w:rsidR="00B73E65" w:rsidRDefault="00EE5DE0" w:rsidP="00C834EC">
      <w:pPr>
        <w:spacing w:line="276" w:lineRule="auto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99F38F3" wp14:editId="694BD8E5">
            <wp:extent cx="1097280" cy="632837"/>
            <wp:effectExtent l="0" t="0" r="7620" b="0"/>
            <wp:docPr id="3" name="Picture 3" descr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S-RGB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24" cy="6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B33" w:rsidRPr="00FF7B33">
        <w:rPr>
          <w:noProof/>
          <w:lang w:eastAsia="en-AU"/>
        </w:rPr>
        <w:drawing>
          <wp:inline distT="0" distB="0" distL="0" distR="0" wp14:anchorId="50609027" wp14:editId="1DCCB7D3">
            <wp:extent cx="2016676" cy="659130"/>
            <wp:effectExtent l="0" t="0" r="3175" b="7620"/>
            <wp:docPr id="4" name="Picture 3" descr="DHH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74" cy="6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FAF3" w14:textId="01EBE151" w:rsidR="00B73E65" w:rsidRDefault="00B73E65" w:rsidP="00924D17">
      <w:pPr>
        <w:pStyle w:val="Heading1"/>
        <w:rPr>
          <w:lang w:val="en-US"/>
        </w:rPr>
      </w:pPr>
      <w:r>
        <w:rPr>
          <w:lang w:val="en-US"/>
        </w:rPr>
        <w:t>Slide 2</w:t>
      </w:r>
    </w:p>
    <w:p w14:paraId="512F8943" w14:textId="7CBED27C" w:rsidR="00B73E65" w:rsidRDefault="00A66D38" w:rsidP="00D25AF6">
      <w:pPr>
        <w:pStyle w:val="Heading2"/>
      </w:pPr>
      <w:r>
        <w:t>Welcome and Introductions</w:t>
      </w:r>
    </w:p>
    <w:p w14:paraId="0B6995F1" w14:textId="161EBDF2" w:rsidR="00B73E65" w:rsidRPr="00B73E65" w:rsidRDefault="00A66D38" w:rsidP="00C834EC">
      <w:pPr>
        <w:spacing w:line="276" w:lineRule="auto"/>
      </w:pPr>
      <w:r>
        <w:t>Sarah Fordyce – Victorian State Manager (Acting), NDS</w:t>
      </w:r>
    </w:p>
    <w:p w14:paraId="1504249C" w14:textId="31E3081A" w:rsidR="00B73E65" w:rsidRPr="00B05A9F" w:rsidRDefault="00B73E65" w:rsidP="00924D17">
      <w:pPr>
        <w:pStyle w:val="Heading1"/>
      </w:pPr>
      <w:r w:rsidRPr="00B05A9F">
        <w:rPr>
          <w:lang w:val="en-US"/>
        </w:rPr>
        <w:t>Slide 3</w:t>
      </w:r>
    </w:p>
    <w:p w14:paraId="72011579" w14:textId="2C2736E3" w:rsidR="00B73E65" w:rsidRDefault="00A66D38" w:rsidP="00D25AF6">
      <w:pPr>
        <w:pStyle w:val="Heading2"/>
      </w:pPr>
      <w:r>
        <w:t>Agenda</w:t>
      </w:r>
    </w:p>
    <w:p w14:paraId="3A6C2944" w14:textId="3E4E732C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DHHS u</w:t>
      </w:r>
      <w:r w:rsidR="009A70CA" w:rsidRPr="00EE5DE0">
        <w:rPr>
          <w:bCs/>
        </w:rPr>
        <w:t>pdate</w:t>
      </w:r>
      <w:r w:rsidR="009A70CA" w:rsidRPr="00EE5DE0">
        <w:t xml:space="preserve"> </w:t>
      </w:r>
      <w:r w:rsidR="0072161B" w:rsidRPr="0072161B">
        <w:rPr>
          <w:bCs/>
          <w:lang w:val="en-AU"/>
        </w:rPr>
        <w:t>–</w:t>
      </w:r>
      <w:r w:rsidR="009A70CA" w:rsidRPr="00EE5DE0">
        <w:t xml:space="preserve"> </w:t>
      </w:r>
      <w:r w:rsidR="009A70CA" w:rsidRPr="00EE5DE0">
        <w:rPr>
          <w:bCs/>
        </w:rPr>
        <w:t>James MacIsaac</w:t>
      </w:r>
      <w:r w:rsidR="009A70CA" w:rsidRPr="00EE5DE0">
        <w:t>,</w:t>
      </w:r>
      <w:r w:rsidR="009A70CA" w:rsidRPr="00A66D38">
        <w:t xml:space="preserve"> </w:t>
      </w:r>
      <w:r>
        <w:t xml:space="preserve">Executive </w:t>
      </w:r>
      <w:r w:rsidR="009A70CA" w:rsidRPr="00A66D38">
        <w:t>Director</w:t>
      </w:r>
      <w:r w:rsidR="00B0423D">
        <w:t xml:space="preserve"> </w:t>
      </w:r>
      <w:r w:rsidR="009A70CA" w:rsidRPr="00A66D38">
        <w:t>Disability, Disability and Communities Branch, DHHS</w:t>
      </w:r>
    </w:p>
    <w:p w14:paraId="6277DCCF" w14:textId="69D102A9" w:rsidR="005C59CD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lastRenderedPageBreak/>
        <w:t>Public Health u</w:t>
      </w:r>
      <w:r w:rsidR="009A70CA" w:rsidRPr="00EE5DE0">
        <w:rPr>
          <w:bCs/>
        </w:rPr>
        <w:t xml:space="preserve">pdate </w:t>
      </w:r>
      <w:r w:rsidR="0072161B">
        <w:rPr>
          <w:bCs/>
        </w:rPr>
        <w:t>–</w:t>
      </w:r>
      <w:r w:rsidR="009A70CA" w:rsidRPr="00EE5DE0">
        <w:t xml:space="preserve"> </w:t>
      </w:r>
      <w:r w:rsidR="009A70CA" w:rsidRPr="00EE5DE0">
        <w:rPr>
          <w:bCs/>
        </w:rPr>
        <w:t xml:space="preserve">Professor John Catford </w:t>
      </w:r>
      <w:r w:rsidR="00F86EDD" w:rsidRPr="0072161B">
        <w:rPr>
          <w:bCs/>
          <w:lang w:val="en-AU"/>
        </w:rPr>
        <w:t>–</w:t>
      </w:r>
      <w:r w:rsidR="00F86EDD" w:rsidRPr="00EE5DE0">
        <w:t xml:space="preserve"> </w:t>
      </w:r>
      <w:r w:rsidR="009A70CA" w:rsidRPr="00EE5DE0">
        <w:t>Senior</w:t>
      </w:r>
      <w:r w:rsidR="009A70CA" w:rsidRPr="00A66D38">
        <w:t xml:space="preserve"> Medical Adviser, DHHS</w:t>
      </w:r>
    </w:p>
    <w:p w14:paraId="30AC740E" w14:textId="126FEEBB" w:rsidR="00B0423D" w:rsidRPr="00A66D38" w:rsidRDefault="00B0423D" w:rsidP="00B0423D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NDIA update –</w:t>
      </w:r>
      <w:r w:rsidRPr="008351EE">
        <w:rPr>
          <w:bCs/>
        </w:rPr>
        <w:t xml:space="preserve"> </w:t>
      </w:r>
      <w:r w:rsidR="00D25AF6">
        <w:rPr>
          <w:bCs/>
        </w:rPr>
        <w:t>Stephen Broadfoot</w:t>
      </w:r>
      <w:r w:rsidRPr="008351EE">
        <w:rPr>
          <w:bCs/>
        </w:rPr>
        <w:t xml:space="preserve">, </w:t>
      </w:r>
      <w:r w:rsidR="00D25AF6">
        <w:rPr>
          <w:bCs/>
        </w:rPr>
        <w:t>Director Branch, Manager Engagement Brach</w:t>
      </w:r>
      <w:r w:rsidR="001F55AF">
        <w:rPr>
          <w:bCs/>
        </w:rPr>
        <w:t>,</w:t>
      </w:r>
      <w:r w:rsidRPr="008351EE">
        <w:rPr>
          <w:bCs/>
        </w:rPr>
        <w:t xml:space="preserve"> </w:t>
      </w:r>
      <w:r w:rsidR="001F55AF">
        <w:rPr>
          <w:bCs/>
        </w:rPr>
        <w:t>NDIA</w:t>
      </w:r>
    </w:p>
    <w:p w14:paraId="55B9C696" w14:textId="41A9ABFA" w:rsidR="0091675B" w:rsidRPr="0091675B" w:rsidRDefault="00D25AF6" w:rsidP="00C834EC">
      <w:pPr>
        <w:pStyle w:val="BodyText"/>
        <w:numPr>
          <w:ilvl w:val="0"/>
          <w:numId w:val="2"/>
        </w:numPr>
        <w:spacing w:line="276" w:lineRule="auto"/>
      </w:pPr>
      <w:r>
        <w:t>DHHS cleaning guidelines</w:t>
      </w:r>
      <w:r w:rsidR="0091675B">
        <w:t xml:space="preserve"> </w:t>
      </w:r>
      <w:r w:rsidR="0091675B">
        <w:rPr>
          <w:bCs/>
        </w:rPr>
        <w:t xml:space="preserve">– </w:t>
      </w:r>
      <w:r>
        <w:rPr>
          <w:bCs/>
        </w:rPr>
        <w:t>Louise Hobbs PhD, Principal adviser, Infection Prevention and Control (IPC), DHHS</w:t>
      </w:r>
    </w:p>
    <w:p w14:paraId="30B42EA0" w14:textId="76DA1C1A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 xml:space="preserve">Provider Perspective – </w:t>
      </w:r>
      <w:r w:rsidR="00D25AF6">
        <w:rPr>
          <w:bCs/>
        </w:rPr>
        <w:t>Cin</w:t>
      </w:r>
      <w:r w:rsidR="00053BDE">
        <w:rPr>
          <w:bCs/>
        </w:rPr>
        <w:t>d</w:t>
      </w:r>
      <w:r w:rsidR="00D25AF6">
        <w:rPr>
          <w:bCs/>
        </w:rPr>
        <w:t>y Thomassen, Chief Executive, Ability Assist</w:t>
      </w:r>
    </w:p>
    <w:p w14:paraId="30B6E14C" w14:textId="0674B9BD" w:rsidR="00A66D38" w:rsidRDefault="0072161B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Q&amp;A –</w:t>
      </w:r>
      <w:r w:rsidR="009A70CA" w:rsidRPr="00EE5DE0">
        <w:rPr>
          <w:bCs/>
        </w:rPr>
        <w:t xml:space="preserve"> Facilitated by Sarah Fordyce,</w:t>
      </w:r>
      <w:r w:rsidR="009A70CA" w:rsidRPr="00A66D38">
        <w:rPr>
          <w:b/>
          <w:bCs/>
        </w:rPr>
        <w:t xml:space="preserve"> </w:t>
      </w:r>
      <w:r w:rsidR="009A70CA" w:rsidRPr="00A66D38">
        <w:t>NDS</w:t>
      </w:r>
    </w:p>
    <w:p w14:paraId="68252089" w14:textId="3DC71856" w:rsidR="00B73E65" w:rsidRDefault="00A57979" w:rsidP="00924D17">
      <w:pPr>
        <w:pStyle w:val="Heading1"/>
        <w:rPr>
          <w:lang w:val="en-US"/>
        </w:rPr>
      </w:pPr>
      <w:r>
        <w:rPr>
          <w:lang w:val="en-US"/>
        </w:rPr>
        <w:t>Slide 4</w:t>
      </w:r>
    </w:p>
    <w:p w14:paraId="19FD8066" w14:textId="4EE30908" w:rsidR="00A57979" w:rsidRDefault="00A66D38" w:rsidP="00D25AF6">
      <w:pPr>
        <w:pStyle w:val="Heading2"/>
      </w:pPr>
      <w:r>
        <w:t>DHHS Update</w:t>
      </w:r>
    </w:p>
    <w:p w14:paraId="459ECD23" w14:textId="773040D9" w:rsidR="00A66D38" w:rsidRPr="007A519C" w:rsidRDefault="009A70CA" w:rsidP="00C834EC">
      <w:pPr>
        <w:pStyle w:val="BodyText"/>
        <w:spacing w:line="276" w:lineRule="auto"/>
        <w:rPr>
          <w:rFonts w:eastAsiaTheme="minorEastAsia"/>
          <w:b/>
        </w:rPr>
      </w:pPr>
      <w:r w:rsidRPr="007A519C">
        <w:rPr>
          <w:b/>
        </w:rPr>
        <w:t>James MacIsaac</w:t>
      </w:r>
    </w:p>
    <w:p w14:paraId="7830918D" w14:textId="117E8A9E" w:rsidR="00A66D38" w:rsidRPr="00A66D38" w:rsidRDefault="006279E4" w:rsidP="00C834EC">
      <w:pPr>
        <w:pStyle w:val="BodyText"/>
        <w:spacing w:line="276" w:lineRule="auto"/>
      </w:pPr>
      <w:r>
        <w:t xml:space="preserve">Executive Director </w:t>
      </w:r>
      <w:r w:rsidR="00A66D38" w:rsidRPr="00A66D38">
        <w:t>Disability, Disability and Communities</w:t>
      </w:r>
      <w:r w:rsidR="00343674">
        <w:t xml:space="preserve"> Branch</w:t>
      </w:r>
    </w:p>
    <w:p w14:paraId="6E5EAB83" w14:textId="6C9A95D1" w:rsidR="00A66D38" w:rsidRPr="00A66D38" w:rsidRDefault="00A66D38" w:rsidP="00C834EC">
      <w:pPr>
        <w:pStyle w:val="BodyText"/>
        <w:spacing w:line="276" w:lineRule="auto"/>
      </w:pPr>
      <w:r w:rsidRPr="00A66D38">
        <w:t>Departmen</w:t>
      </w:r>
      <w:r w:rsidR="009A70CA">
        <w:t>t of Health and Human Services</w:t>
      </w:r>
    </w:p>
    <w:p w14:paraId="0FA74A46" w14:textId="3C7AC8CB" w:rsidR="00A57979" w:rsidRDefault="00E0051F" w:rsidP="00924D17">
      <w:pPr>
        <w:pStyle w:val="Heading1"/>
        <w:rPr>
          <w:lang w:val="en-US"/>
        </w:rPr>
      </w:pPr>
      <w:r>
        <w:rPr>
          <w:lang w:val="en-US"/>
        </w:rPr>
        <w:t>Slide 5</w:t>
      </w:r>
    </w:p>
    <w:p w14:paraId="0035D8B8" w14:textId="63BF7460" w:rsidR="00E0051F" w:rsidRPr="00E0051F" w:rsidRDefault="006279E4" w:rsidP="00D25AF6">
      <w:pPr>
        <w:pStyle w:val="Heading2"/>
      </w:pPr>
      <w:r>
        <w:t>NDSV Safer and Stronger Webinar COVID-19 and Disability</w:t>
      </w:r>
    </w:p>
    <w:p w14:paraId="2A1F14D6" w14:textId="09AC8288" w:rsidR="006279E4" w:rsidRDefault="006279E4" w:rsidP="000A08A7">
      <w:pPr>
        <w:pStyle w:val="BodyText"/>
        <w:spacing w:line="360" w:lineRule="auto"/>
      </w:pPr>
      <w:r>
        <w:t xml:space="preserve">Disability Update </w:t>
      </w:r>
      <w:r w:rsidR="00D25AF6">
        <w:t>6 November</w:t>
      </w:r>
      <w:r>
        <w:t xml:space="preserve"> 2020</w:t>
      </w:r>
    </w:p>
    <w:p w14:paraId="1A015CE6" w14:textId="30916D6D" w:rsidR="00A66D38" w:rsidRPr="006279E4" w:rsidRDefault="009A70CA" w:rsidP="000A08A7">
      <w:pPr>
        <w:pStyle w:val="BodyText"/>
        <w:spacing w:line="360" w:lineRule="auto"/>
        <w:rPr>
          <w:rFonts w:eastAsiaTheme="minorEastAsia"/>
        </w:rPr>
      </w:pPr>
      <w:r>
        <w:t>James MacIsaac</w:t>
      </w:r>
      <w:r w:rsidR="006279E4">
        <w:rPr>
          <w:rFonts w:eastAsiaTheme="minorEastAsia"/>
        </w:rPr>
        <w:t xml:space="preserve">, </w:t>
      </w:r>
      <w:r w:rsidR="006279E4">
        <w:t xml:space="preserve">Executive </w:t>
      </w:r>
      <w:r w:rsidR="00A66D38" w:rsidRPr="00A66D38">
        <w:t>Director,</w:t>
      </w:r>
      <w:r w:rsidR="006279E4">
        <w:t xml:space="preserve"> Disability</w:t>
      </w:r>
    </w:p>
    <w:p w14:paraId="0EE2B94D" w14:textId="561FAFA2" w:rsidR="00A66D38" w:rsidRDefault="00A66D38" w:rsidP="000A08A7">
      <w:pPr>
        <w:pStyle w:val="BodyText"/>
        <w:spacing w:line="360" w:lineRule="auto"/>
      </w:pPr>
      <w:r w:rsidRPr="00A66D38">
        <w:lastRenderedPageBreak/>
        <w:t>Departmen</w:t>
      </w:r>
      <w:r w:rsidR="009A70CA">
        <w:t>t of Health and Human Services</w:t>
      </w:r>
    </w:p>
    <w:p w14:paraId="18A1CD2B" w14:textId="2B794AA6" w:rsidR="006279E4" w:rsidRDefault="006279E4" w:rsidP="000A08A7">
      <w:pPr>
        <w:pStyle w:val="BodyText"/>
        <w:spacing w:line="360" w:lineRule="auto"/>
      </w:pPr>
      <w:r>
        <w:t xml:space="preserve">Visit </w:t>
      </w:r>
      <w:hyperlink r:id="rId13" w:history="1">
        <w:r w:rsidR="00FB5CD1" w:rsidRPr="00FB5CD1">
          <w:rPr>
            <w:rStyle w:val="Hyperlink"/>
          </w:rPr>
          <w:t>DHHS website</w:t>
        </w:r>
      </w:hyperlink>
    </w:p>
    <w:p w14:paraId="0B98D5E4" w14:textId="10C6BE1A" w:rsidR="006279E4" w:rsidRPr="00A66D38" w:rsidRDefault="006279E4" w:rsidP="000A08A7">
      <w:pPr>
        <w:pStyle w:val="BodyText"/>
        <w:spacing w:line="360" w:lineRule="auto"/>
      </w:pPr>
      <w:r>
        <w:t>COVID-19 hotline 1800 675 398</w:t>
      </w:r>
    </w:p>
    <w:p w14:paraId="7EE7286F" w14:textId="1F39BEF0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6</w:t>
      </w:r>
    </w:p>
    <w:p w14:paraId="64411799" w14:textId="6ABED019" w:rsidR="00275F53" w:rsidRDefault="007822EA" w:rsidP="00D25AF6">
      <w:pPr>
        <w:pStyle w:val="Heading2"/>
      </w:pPr>
      <w:r>
        <w:t>Overview</w:t>
      </w:r>
    </w:p>
    <w:p w14:paraId="07E4B252" w14:textId="77777777" w:rsidR="001701FA" w:rsidRDefault="00D25AF6" w:rsidP="001701FA">
      <w:pPr>
        <w:rPr>
          <w:b/>
        </w:rPr>
      </w:pPr>
      <w:r w:rsidRPr="00D25AF6">
        <w:rPr>
          <w:b/>
        </w:rPr>
        <w:t>Key updates</w:t>
      </w:r>
    </w:p>
    <w:p w14:paraId="246A891B" w14:textId="7B8712AF" w:rsidR="00053BDE" w:rsidRPr="00D25AF6" w:rsidRDefault="00D25AF6" w:rsidP="001701FA">
      <w:r w:rsidRPr="00D25AF6">
        <w:t xml:space="preserve">Updated </w:t>
      </w:r>
      <w:hyperlink r:id="rId14" w:history="1">
        <w:r w:rsidRPr="00053BDE">
          <w:rPr>
            <w:rStyle w:val="Hyperlink"/>
          </w:rPr>
          <w:t>Disability COVID Sector plan</w:t>
        </w:r>
      </w:hyperlink>
      <w:r w:rsidRPr="00D25AF6">
        <w:t xml:space="preserve"> (22 October)</w:t>
      </w:r>
    </w:p>
    <w:p w14:paraId="40AAE651" w14:textId="7D4E7A13" w:rsidR="00D25AF6" w:rsidRDefault="00D25AF6" w:rsidP="00D25AF6">
      <w:pPr>
        <w:pStyle w:val="ListParagraph"/>
        <w:numPr>
          <w:ilvl w:val="0"/>
          <w:numId w:val="19"/>
        </w:numPr>
      </w:pPr>
      <w:r w:rsidRPr="00D25AF6">
        <w:t xml:space="preserve">Update on </w:t>
      </w:r>
      <w:hyperlink r:id="rId15" w:history="1">
        <w:r w:rsidRPr="00053BDE">
          <w:rPr>
            <w:rStyle w:val="Hyperlink"/>
          </w:rPr>
          <w:t>roadmap restrictions</w:t>
        </w:r>
      </w:hyperlink>
    </w:p>
    <w:p w14:paraId="77527AC7" w14:textId="77777777" w:rsidR="00D25AF6" w:rsidRPr="00D25AF6" w:rsidRDefault="00D25AF6" w:rsidP="00D25AF6">
      <w:pPr>
        <w:rPr>
          <w:b/>
        </w:rPr>
      </w:pPr>
      <w:r w:rsidRPr="00D25AF6">
        <w:rPr>
          <w:b/>
        </w:rPr>
        <w:t>Key current priorities</w:t>
      </w:r>
    </w:p>
    <w:p w14:paraId="323D1DD4" w14:textId="77777777" w:rsidR="00D25AF6" w:rsidRPr="00D25AF6" w:rsidRDefault="00D25AF6" w:rsidP="001701FA">
      <w:pPr>
        <w:pStyle w:val="ListParagraph"/>
        <w:numPr>
          <w:ilvl w:val="0"/>
          <w:numId w:val="20"/>
        </w:numPr>
        <w:ind w:left="714" w:hanging="357"/>
      </w:pPr>
      <w:r w:rsidRPr="00D25AF6">
        <w:t xml:space="preserve">Strengthening supports for providers to prevent, prepare for and manage outbreaks  </w:t>
      </w:r>
    </w:p>
    <w:p w14:paraId="6DAE1977" w14:textId="77777777" w:rsidR="00D25AF6" w:rsidRPr="00D25AF6" w:rsidRDefault="00D25AF6" w:rsidP="001701FA">
      <w:pPr>
        <w:pStyle w:val="ListParagraph"/>
        <w:numPr>
          <w:ilvl w:val="0"/>
          <w:numId w:val="20"/>
        </w:numPr>
        <w:ind w:left="714" w:hanging="357"/>
      </w:pPr>
      <w:r w:rsidRPr="00D25AF6">
        <w:t>Planning for changes impacting people with disability and providers as restrictions are eased under the roadmap to reopening</w:t>
      </w:r>
    </w:p>
    <w:p w14:paraId="35424219" w14:textId="70C848A6" w:rsidR="00D25AF6" w:rsidRPr="00D25AF6" w:rsidRDefault="00D25AF6" w:rsidP="001701FA">
      <w:pPr>
        <w:pStyle w:val="ListParagraph"/>
        <w:numPr>
          <w:ilvl w:val="0"/>
          <w:numId w:val="20"/>
        </w:numPr>
        <w:ind w:left="714" w:hanging="357"/>
        <w:rPr>
          <w:lang w:val="en-US"/>
        </w:rPr>
      </w:pPr>
      <w:r w:rsidRPr="00D25AF6">
        <w:t>Workplace directions - reducing mobility</w:t>
      </w:r>
    </w:p>
    <w:p w14:paraId="58E8E3D7" w14:textId="57096712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7</w:t>
      </w:r>
    </w:p>
    <w:p w14:paraId="1EC3EFBD" w14:textId="2C327F3B" w:rsidR="00275F53" w:rsidRPr="005A424A" w:rsidRDefault="00D25AF6" w:rsidP="00D25AF6">
      <w:pPr>
        <w:pStyle w:val="Heading2"/>
      </w:pPr>
      <w:r>
        <w:t>Clarification – roadmap restrictions</w:t>
      </w:r>
    </w:p>
    <w:p w14:paraId="63F36B1B" w14:textId="77777777" w:rsidR="00D25AF6" w:rsidRPr="00D25AF6" w:rsidRDefault="00D25AF6" w:rsidP="001701FA">
      <w:pPr>
        <w:spacing w:line="276" w:lineRule="auto"/>
      </w:pPr>
      <w:r w:rsidRPr="00D25AF6">
        <w:t xml:space="preserve">The community sector roadmap specifies that all community services including </w:t>
      </w:r>
      <w:r w:rsidRPr="00D25AF6">
        <w:rPr>
          <w:b/>
        </w:rPr>
        <w:t>disability services remain “restricted” during Step 3 and the last step</w:t>
      </w:r>
      <w:r w:rsidRPr="00D25AF6">
        <w:rPr>
          <w:u w:val="single"/>
        </w:rPr>
        <w:t xml:space="preserve"> </w:t>
      </w:r>
      <w:r w:rsidRPr="00D25AF6">
        <w:t>of the roadmap</w:t>
      </w:r>
    </w:p>
    <w:p w14:paraId="0C60CA32" w14:textId="77777777" w:rsidR="00D25AF6" w:rsidRPr="00D25AF6" w:rsidRDefault="00D25AF6" w:rsidP="001701FA">
      <w:pPr>
        <w:spacing w:line="276" w:lineRule="auto"/>
      </w:pPr>
      <w:r w:rsidRPr="00D25AF6">
        <w:rPr>
          <w:lang w:val="en-US"/>
        </w:rPr>
        <w:lastRenderedPageBreak/>
        <w:t xml:space="preserve">This will continue to mean that only services that are </w:t>
      </w:r>
      <w:r w:rsidRPr="00D25AF6">
        <w:rPr>
          <w:b/>
          <w:lang w:val="en-US"/>
        </w:rPr>
        <w:t xml:space="preserve">essential to a person’s health, safety, behaviour or wellbeing </w:t>
      </w:r>
      <w:r w:rsidRPr="00D25AF6">
        <w:rPr>
          <w:lang w:val="en-US"/>
        </w:rPr>
        <w:t>can operate during this time.  </w:t>
      </w:r>
    </w:p>
    <w:p w14:paraId="78399C67" w14:textId="77777777" w:rsidR="00D25AF6" w:rsidRPr="00D25AF6" w:rsidRDefault="00D25AF6" w:rsidP="001701FA">
      <w:pPr>
        <w:spacing w:line="276" w:lineRule="auto"/>
      </w:pPr>
      <w:r w:rsidRPr="00D25AF6">
        <w:t>What about centre-based disability day services?</w:t>
      </w:r>
    </w:p>
    <w:p w14:paraId="55321D1E" w14:textId="77777777" w:rsidR="00486DA2" w:rsidRPr="00D25AF6" w:rsidRDefault="00E71A40" w:rsidP="001701FA">
      <w:pPr>
        <w:pStyle w:val="ListParagraph"/>
        <w:numPr>
          <w:ilvl w:val="0"/>
          <w:numId w:val="22"/>
        </w:numPr>
      </w:pPr>
      <w:r w:rsidRPr="00D25AF6">
        <w:rPr>
          <w:lang w:val="en-US"/>
        </w:rPr>
        <w:t>Centre-based disability day services provided can be provided if essential for people living in their homes / family homes</w:t>
      </w:r>
    </w:p>
    <w:p w14:paraId="7E93F1EB" w14:textId="413A7116" w:rsidR="00486DA2" w:rsidRPr="00053BDE" w:rsidRDefault="00E71A40" w:rsidP="001701FA">
      <w:pPr>
        <w:pStyle w:val="ListParagraph"/>
        <w:numPr>
          <w:ilvl w:val="0"/>
          <w:numId w:val="22"/>
        </w:numPr>
      </w:pPr>
      <w:r w:rsidRPr="00D25AF6">
        <w:rPr>
          <w:lang w:val="en-US"/>
        </w:rPr>
        <w:t>Centre-based disability day services provided are not considered essential for people living in disability residential services.</w:t>
      </w:r>
    </w:p>
    <w:p w14:paraId="7A1125F1" w14:textId="4CD55A73" w:rsidR="00053BDE" w:rsidRPr="00D25AF6" w:rsidRDefault="00B91FF2" w:rsidP="001701FA">
      <w:pPr>
        <w:spacing w:line="276" w:lineRule="auto"/>
      </w:pPr>
      <w:hyperlink r:id="rId16" w:history="1">
        <w:r w:rsidR="00053BDE" w:rsidRPr="00053BDE">
          <w:rPr>
            <w:rStyle w:val="Hyperlink"/>
          </w:rPr>
          <w:t>Industry Restriction Levels Community Services</w:t>
        </w:r>
      </w:hyperlink>
    </w:p>
    <w:p w14:paraId="15433DE4" w14:textId="16A1069B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8</w:t>
      </w:r>
    </w:p>
    <w:p w14:paraId="3D22F36A" w14:textId="4A88D099" w:rsidR="00275F53" w:rsidRDefault="00D25AF6" w:rsidP="00D25AF6">
      <w:pPr>
        <w:pStyle w:val="Heading2"/>
      </w:pPr>
      <w:r>
        <w:t>Clarification – roadmap restrictions – cont.</w:t>
      </w:r>
    </w:p>
    <w:p w14:paraId="3D2A2360" w14:textId="77777777" w:rsidR="00D25AF6" w:rsidRPr="00D25AF6" w:rsidRDefault="00D25AF6" w:rsidP="00D25AF6">
      <w:pPr>
        <w:rPr>
          <w:b/>
        </w:rPr>
      </w:pPr>
      <w:r w:rsidRPr="00D25AF6">
        <w:rPr>
          <w:b/>
          <w:lang w:val="en-US"/>
        </w:rPr>
        <w:t>Why are centre-based disability day services restricted?</w:t>
      </w:r>
    </w:p>
    <w:p w14:paraId="149BF045" w14:textId="77777777" w:rsidR="00486DA2" w:rsidRPr="00D25AF6" w:rsidRDefault="00E71A40" w:rsidP="001701FA">
      <w:pPr>
        <w:pStyle w:val="ListParagraph"/>
        <w:numPr>
          <w:ilvl w:val="0"/>
          <w:numId w:val="25"/>
        </w:numPr>
      </w:pPr>
      <w:r w:rsidRPr="00D25AF6">
        <w:rPr>
          <w:lang w:val="en-US"/>
        </w:rPr>
        <w:t>All indoor services, including centre-based disability day services, are considered high risk environments for people with disability due to difficulties with physical distancing in these largely indoor settings. </w:t>
      </w:r>
    </w:p>
    <w:p w14:paraId="3D5D4B1A" w14:textId="77777777" w:rsidR="00486DA2" w:rsidRPr="00D25AF6" w:rsidRDefault="00E71A40" w:rsidP="001701FA">
      <w:pPr>
        <w:pStyle w:val="ListParagraph"/>
        <w:numPr>
          <w:ilvl w:val="0"/>
          <w:numId w:val="25"/>
        </w:numPr>
      </w:pPr>
      <w:r w:rsidRPr="00D25AF6">
        <w:rPr>
          <w:lang w:val="en-US"/>
        </w:rPr>
        <w:t>Such settings also have less ventilation than outdoor spaces and therefore pose a greater risk of coronavirus spreading through droplets in the air. </w:t>
      </w:r>
    </w:p>
    <w:p w14:paraId="3F16FB96" w14:textId="77777777" w:rsidR="00486DA2" w:rsidRPr="00D25AF6" w:rsidRDefault="00E71A40" w:rsidP="001701FA">
      <w:pPr>
        <w:pStyle w:val="ListParagraph"/>
        <w:numPr>
          <w:ilvl w:val="0"/>
          <w:numId w:val="25"/>
        </w:numPr>
      </w:pPr>
      <w:r w:rsidRPr="00D25AF6">
        <w:rPr>
          <w:lang w:val="en-US"/>
        </w:rPr>
        <w:t>Disability service providers are encouraged to facilitate outdoor activities for people with disability that can be safely provided to smaller numbers of people at a time (within applicable gathering limits), and via non-contact and remote technologies where available. </w:t>
      </w:r>
    </w:p>
    <w:p w14:paraId="6FBE8CD8" w14:textId="77777777" w:rsidR="00D25AF6" w:rsidRPr="00D25AF6" w:rsidRDefault="00D25AF6" w:rsidP="001701FA">
      <w:pPr>
        <w:spacing w:line="276" w:lineRule="auto"/>
        <w:rPr>
          <w:b/>
        </w:rPr>
      </w:pPr>
      <w:r w:rsidRPr="00D25AF6">
        <w:rPr>
          <w:b/>
          <w:lang w:val="en-US"/>
        </w:rPr>
        <w:lastRenderedPageBreak/>
        <w:t>What are the rules for outdoor group activities?</w:t>
      </w:r>
    </w:p>
    <w:p w14:paraId="7C2E351F" w14:textId="13149EDC" w:rsidR="00486DA2" w:rsidRPr="00D25AF6" w:rsidRDefault="00E71A40" w:rsidP="001701FA">
      <w:pPr>
        <w:pStyle w:val="ListParagraph"/>
        <w:numPr>
          <w:ilvl w:val="0"/>
          <w:numId w:val="26"/>
        </w:numPr>
      </w:pPr>
      <w:r w:rsidRPr="00D25AF6">
        <w:rPr>
          <w:lang w:val="en-US"/>
        </w:rPr>
        <w:t>Outdoor group activities or classes can take place with up to 10 peo</w:t>
      </w:r>
      <w:r w:rsidR="00053BDE">
        <w:rPr>
          <w:lang w:val="en-US"/>
        </w:rPr>
        <w:t xml:space="preserve">ple and the disability workers </w:t>
      </w:r>
      <w:r w:rsidRPr="00D25AF6">
        <w:rPr>
          <w:lang w:val="en-US"/>
        </w:rPr>
        <w:t xml:space="preserve">to run these sessions. </w:t>
      </w:r>
    </w:p>
    <w:p w14:paraId="13B8F3CE" w14:textId="77777777" w:rsidR="00486DA2" w:rsidRPr="00D25AF6" w:rsidRDefault="00E71A40" w:rsidP="001701FA">
      <w:pPr>
        <w:pStyle w:val="ListParagraph"/>
        <w:numPr>
          <w:ilvl w:val="0"/>
          <w:numId w:val="26"/>
        </w:numPr>
      </w:pPr>
      <w:r w:rsidRPr="00D25AF6">
        <w:rPr>
          <w:lang w:val="en-US"/>
        </w:rPr>
        <w:t>Participants must keep at least 1.5 metres distance between themselves and others, and must wear a face mask, unless people have a lawful reason for not doing so.</w:t>
      </w:r>
    </w:p>
    <w:p w14:paraId="61F07EB9" w14:textId="4970B034" w:rsidR="00275F53" w:rsidRDefault="00275F53" w:rsidP="00924D17">
      <w:pPr>
        <w:pStyle w:val="Heading1"/>
        <w:rPr>
          <w:lang w:val="en-US"/>
        </w:rPr>
      </w:pPr>
      <w:r>
        <w:rPr>
          <w:lang w:val="en-US"/>
        </w:rPr>
        <w:t>Slide 9</w:t>
      </w:r>
    </w:p>
    <w:p w14:paraId="29F6B31A" w14:textId="3FBECFF7" w:rsidR="00D25AF6" w:rsidRDefault="00D25AF6" w:rsidP="00D25AF6">
      <w:pPr>
        <w:pStyle w:val="Heading2"/>
      </w:pPr>
      <w:r>
        <w:t>Clarification – roadmap restrictions contiued</w:t>
      </w:r>
    </w:p>
    <w:p w14:paraId="03250AD5" w14:textId="0FA0E17A" w:rsidR="00D25AF6" w:rsidRPr="00D25AF6" w:rsidRDefault="00D25AF6" w:rsidP="00D25AF6">
      <w:pPr>
        <w:rPr>
          <w:rFonts w:eastAsiaTheme="majorEastAsia"/>
          <w:b/>
        </w:rPr>
      </w:pPr>
      <w:r w:rsidRPr="00D25AF6">
        <w:rPr>
          <w:rFonts w:eastAsiaTheme="majorEastAsia"/>
          <w:b/>
        </w:rPr>
        <w:t>What about Australian Disability Enterprises (ADE)?</w:t>
      </w:r>
    </w:p>
    <w:p w14:paraId="3F1D43ED" w14:textId="77777777" w:rsidR="00486DA2" w:rsidRPr="00D25AF6" w:rsidRDefault="00E71A40" w:rsidP="001701FA">
      <w:pPr>
        <w:pStyle w:val="ListParagraph"/>
        <w:numPr>
          <w:ilvl w:val="0"/>
          <w:numId w:val="29"/>
        </w:numPr>
        <w:rPr>
          <w:rFonts w:eastAsiaTheme="majorEastAsia"/>
        </w:rPr>
      </w:pPr>
      <w:r w:rsidRPr="00D25AF6">
        <w:rPr>
          <w:rFonts w:eastAsiaTheme="majorEastAsia"/>
        </w:rPr>
        <w:t>ADE operate across a vast range of industries</w:t>
      </w:r>
    </w:p>
    <w:p w14:paraId="60C3BDEE" w14:textId="330ADE10" w:rsidR="00486DA2" w:rsidRPr="00D25AF6" w:rsidRDefault="00E71A40" w:rsidP="001701FA">
      <w:pPr>
        <w:pStyle w:val="ListParagraph"/>
        <w:numPr>
          <w:ilvl w:val="0"/>
          <w:numId w:val="29"/>
        </w:numPr>
        <w:rPr>
          <w:rFonts w:eastAsiaTheme="majorEastAsia"/>
        </w:rPr>
      </w:pPr>
      <w:r w:rsidRPr="00D25AF6">
        <w:rPr>
          <w:rFonts w:eastAsiaTheme="majorEastAsia"/>
        </w:rPr>
        <w:t>ADE can currently operate in line with the applicable Step 3 industry roadmap steps and associated industry roadmap requirements which c</w:t>
      </w:r>
      <w:r w:rsidR="004452B3">
        <w:rPr>
          <w:rFonts w:eastAsiaTheme="majorEastAsia"/>
        </w:rPr>
        <w:t xml:space="preserve">an be accessed at </w:t>
      </w:r>
      <w:hyperlink r:id="rId17" w:history="1">
        <w:r w:rsidR="004452B3" w:rsidRPr="004452B3">
          <w:rPr>
            <w:rStyle w:val="Hyperlink"/>
            <w:rFonts w:eastAsiaTheme="majorEastAsia"/>
          </w:rPr>
          <w:t>DHHS Business Sector</w:t>
        </w:r>
      </w:hyperlink>
      <w:r w:rsidR="004452B3">
        <w:rPr>
          <w:rFonts w:eastAsiaTheme="majorEastAsia"/>
        </w:rPr>
        <w:t xml:space="preserve"> </w:t>
      </w:r>
    </w:p>
    <w:p w14:paraId="505A3458" w14:textId="77777777" w:rsidR="00D25AF6" w:rsidRPr="00D25AF6" w:rsidRDefault="00D25AF6" w:rsidP="001701FA">
      <w:pPr>
        <w:spacing w:line="276" w:lineRule="auto"/>
        <w:rPr>
          <w:rFonts w:eastAsiaTheme="majorEastAsia"/>
          <w:b/>
        </w:rPr>
      </w:pPr>
      <w:r w:rsidRPr="00D25AF6">
        <w:rPr>
          <w:rFonts w:eastAsiaTheme="majorEastAsia"/>
          <w:b/>
        </w:rPr>
        <w:t>What about further easing of restrictions?</w:t>
      </w:r>
    </w:p>
    <w:p w14:paraId="2F96E87D" w14:textId="77777777" w:rsidR="00486DA2" w:rsidRPr="00D25AF6" w:rsidRDefault="00E71A40" w:rsidP="001701FA">
      <w:pPr>
        <w:pStyle w:val="ListParagraph"/>
        <w:numPr>
          <w:ilvl w:val="0"/>
          <w:numId w:val="30"/>
        </w:numPr>
        <w:ind w:left="714" w:hanging="357"/>
        <w:rPr>
          <w:rFonts w:eastAsiaTheme="majorEastAsia"/>
        </w:rPr>
      </w:pPr>
      <w:r w:rsidRPr="00D25AF6">
        <w:rPr>
          <w:rFonts w:eastAsiaTheme="majorEastAsia"/>
        </w:rPr>
        <w:t>It is expected that restrictions for the community will be eased again from 8 November 2020</w:t>
      </w:r>
    </w:p>
    <w:p w14:paraId="4F0D9F31" w14:textId="200C36D9" w:rsidR="00D25AF6" w:rsidRPr="00D25AF6" w:rsidRDefault="00E71A40" w:rsidP="001701FA">
      <w:pPr>
        <w:pStyle w:val="ListParagraph"/>
        <w:numPr>
          <w:ilvl w:val="0"/>
          <w:numId w:val="30"/>
        </w:numPr>
        <w:ind w:left="714" w:hanging="357"/>
        <w:rPr>
          <w:rFonts w:eastAsiaTheme="majorEastAsia"/>
        </w:rPr>
      </w:pPr>
      <w:r w:rsidRPr="00D25AF6">
        <w:rPr>
          <w:rFonts w:eastAsiaTheme="majorEastAsia"/>
        </w:rPr>
        <w:t>Updated advice will be provided re: any changes for people with disability or disability service providers next week.</w:t>
      </w:r>
    </w:p>
    <w:p w14:paraId="7F58D516" w14:textId="77777777" w:rsidR="00D25AF6" w:rsidRDefault="00D25AF6" w:rsidP="00D25AF6">
      <w:pPr>
        <w:pStyle w:val="Heading1"/>
        <w:rPr>
          <w:lang w:val="en-US"/>
        </w:rPr>
      </w:pPr>
      <w:r>
        <w:rPr>
          <w:lang w:val="en-US"/>
        </w:rPr>
        <w:t>Slide 10</w:t>
      </w:r>
    </w:p>
    <w:p w14:paraId="7A8D615C" w14:textId="24EA6411" w:rsidR="005C7D52" w:rsidRDefault="00911F42" w:rsidP="00D25AF6">
      <w:pPr>
        <w:pStyle w:val="Heading2"/>
      </w:pPr>
      <w:r>
        <w:lastRenderedPageBreak/>
        <w:t>Workplace (Additional Industry Obligations) directions-cont.</w:t>
      </w:r>
    </w:p>
    <w:p w14:paraId="0682E543" w14:textId="77777777" w:rsidR="00911F42" w:rsidRPr="00911F42" w:rsidRDefault="00911F42" w:rsidP="00911F42">
      <w:pPr>
        <w:spacing w:line="360" w:lineRule="auto"/>
      </w:pPr>
      <w:r w:rsidRPr="00911F42">
        <w:rPr>
          <w:b/>
          <w:bCs/>
        </w:rPr>
        <w:t>Mobility – residential service workers in outbreak settings, and from metro to regional Victoria</w:t>
      </w:r>
    </w:p>
    <w:p w14:paraId="66A1E167" w14:textId="77777777" w:rsidR="00911F42" w:rsidRPr="00911F42" w:rsidRDefault="00911F42" w:rsidP="00911F42">
      <w:pPr>
        <w:spacing w:line="360" w:lineRule="auto"/>
      </w:pPr>
      <w:r w:rsidRPr="00911F42">
        <w:t>Metropolitan Melbourne (restricted area)</w:t>
      </w:r>
    </w:p>
    <w:p w14:paraId="6B5110BF" w14:textId="77777777" w:rsidR="00911F42" w:rsidRPr="00911F42" w:rsidRDefault="00911F42" w:rsidP="00911F42">
      <w:pPr>
        <w:spacing w:line="360" w:lineRule="auto"/>
      </w:pPr>
      <w:r w:rsidRPr="00911F42">
        <w:t>New requirements mean a staff member (or contractor) who has worked at a care facility where there has been an outbreak of coronavirus (COVID-19) can’t immediately work at another care facility.  Staff in these situations must wait a minimum of 14 days and test negative for coronavirus (COVID-19) before working at a different care facility.</w:t>
      </w:r>
    </w:p>
    <w:p w14:paraId="1FFC518C" w14:textId="77777777" w:rsidR="00911F42" w:rsidRPr="00911F42" w:rsidRDefault="00911F42" w:rsidP="00911F42">
      <w:pPr>
        <w:spacing w:line="360" w:lineRule="auto"/>
      </w:pPr>
      <w:r w:rsidRPr="00911F42">
        <w:t>Regional Victoria (relevant area)</w:t>
      </w:r>
    </w:p>
    <w:p w14:paraId="2DD1198A" w14:textId="77777777" w:rsidR="00911F42" w:rsidRPr="00911F42" w:rsidRDefault="00911F42" w:rsidP="00911F42">
      <w:pPr>
        <w:spacing w:line="360" w:lineRule="auto"/>
      </w:pPr>
      <w:r w:rsidRPr="00911F42">
        <w:t>New requirements mean a disability residential service provider in regional Victoria must not let a staff member (or contractor) work where the staff member (or contractor):</w:t>
      </w:r>
    </w:p>
    <w:p w14:paraId="49CD8704" w14:textId="77777777" w:rsidR="005362F8" w:rsidRPr="00911F42" w:rsidRDefault="003A6722" w:rsidP="003A6722">
      <w:pPr>
        <w:numPr>
          <w:ilvl w:val="0"/>
          <w:numId w:val="8"/>
        </w:numPr>
        <w:spacing w:line="360" w:lineRule="auto"/>
      </w:pPr>
      <w:r w:rsidRPr="00911F42">
        <w:t>has worked at a care facility in metropolitan Melbourne; or</w:t>
      </w:r>
    </w:p>
    <w:p w14:paraId="6CC19405" w14:textId="77777777" w:rsidR="005362F8" w:rsidRPr="00911F42" w:rsidRDefault="003A6722" w:rsidP="003A6722">
      <w:pPr>
        <w:numPr>
          <w:ilvl w:val="0"/>
          <w:numId w:val="8"/>
        </w:numPr>
        <w:spacing w:line="360" w:lineRule="auto"/>
      </w:pPr>
      <w:r w:rsidRPr="00911F42">
        <w:t>worked at another care facility in regional Victoria at the time a confirmed case was present at the other facility; </w:t>
      </w:r>
    </w:p>
    <w:p w14:paraId="59586F6A" w14:textId="67ACEFB6" w:rsidR="005362F8" w:rsidRPr="00911F42" w:rsidRDefault="003A6722" w:rsidP="003A6722">
      <w:pPr>
        <w:numPr>
          <w:ilvl w:val="0"/>
          <w:numId w:val="8"/>
        </w:numPr>
        <w:spacing w:line="360" w:lineRule="auto"/>
      </w:pPr>
      <w:r w:rsidRPr="00911F42">
        <w:t xml:space="preserve">Unless the person has tested negative for </w:t>
      </w:r>
      <w:r w:rsidR="00B91FF2" w:rsidRPr="00911F42">
        <w:t>coronavirus (</w:t>
      </w:r>
      <w:r w:rsidRPr="00911F42">
        <w:t>COVID-19).</w:t>
      </w:r>
    </w:p>
    <w:p w14:paraId="69024387" w14:textId="4E2DE193" w:rsidR="006F0813" w:rsidRDefault="006F0813" w:rsidP="00924D17">
      <w:pPr>
        <w:pStyle w:val="Heading1"/>
        <w:rPr>
          <w:lang w:val="en-US"/>
        </w:rPr>
      </w:pPr>
      <w:r>
        <w:rPr>
          <w:lang w:val="en-US"/>
        </w:rPr>
        <w:lastRenderedPageBreak/>
        <w:t>Slide 11</w:t>
      </w:r>
    </w:p>
    <w:p w14:paraId="16E58057" w14:textId="1C129C93" w:rsidR="006F0813" w:rsidRDefault="00D25AF6" w:rsidP="00D25AF6">
      <w:pPr>
        <w:pStyle w:val="Heading2"/>
      </w:pPr>
      <w:r>
        <w:t>Workforce update</w:t>
      </w:r>
    </w:p>
    <w:p w14:paraId="035FA668" w14:textId="77777777" w:rsidR="00D25AF6" w:rsidRPr="00D25AF6" w:rsidRDefault="00D25AF6" w:rsidP="0065195D">
      <w:pPr>
        <w:pStyle w:val="ListParagraph"/>
        <w:numPr>
          <w:ilvl w:val="0"/>
          <w:numId w:val="33"/>
        </w:numPr>
        <w:ind w:left="714" w:hanging="357"/>
        <w:rPr>
          <w:rFonts w:ascii="Times New Roman" w:eastAsia="Times New Roman" w:hAnsi="Times New Roman" w:cs="Times New Roman"/>
          <w:lang w:eastAsia="en-AU"/>
        </w:rPr>
      </w:pPr>
      <w:r w:rsidRPr="00D25AF6">
        <w:rPr>
          <w:rFonts w:eastAsia="Arial"/>
          <w:lang w:val="en-US" w:eastAsia="en-AU"/>
        </w:rPr>
        <w:t>The $15m Disability Worker Mobility Reduction Payment initiative was introduced on 1 September 2020 to assist service providers and workers to meet financial costs associated with restricting workers to a maximum of two sites. This built on the efforts of providers to restructure rosters and cohort workers. </w:t>
      </w:r>
    </w:p>
    <w:p w14:paraId="077F8FC5" w14:textId="77777777" w:rsidR="00D25AF6" w:rsidRPr="00D25AF6" w:rsidRDefault="00D25AF6" w:rsidP="0065195D">
      <w:pPr>
        <w:pStyle w:val="ListParagraph"/>
        <w:numPr>
          <w:ilvl w:val="0"/>
          <w:numId w:val="33"/>
        </w:numPr>
        <w:ind w:left="714" w:hanging="357"/>
        <w:rPr>
          <w:rFonts w:ascii="Times New Roman" w:eastAsia="Times New Roman" w:hAnsi="Times New Roman" w:cs="Times New Roman"/>
          <w:lang w:eastAsia="en-AU"/>
        </w:rPr>
      </w:pPr>
      <w:r w:rsidRPr="00D25AF6">
        <w:rPr>
          <w:rFonts w:eastAsia="Arial"/>
          <w:lang w:val="en-US" w:eastAsia="en-AU"/>
        </w:rPr>
        <w:t>We are seeing positive trends from Victoria’s ‘transfer’ accommodation providers who have reduced the proportion of workers at more than two sites from 12.4% in July 2020 to 2.1% in October 2020. </w:t>
      </w:r>
    </w:p>
    <w:p w14:paraId="43BB1D95" w14:textId="77777777" w:rsidR="00D25AF6" w:rsidRPr="00D25AF6" w:rsidRDefault="00D25AF6" w:rsidP="0065195D">
      <w:pPr>
        <w:pStyle w:val="ListParagraph"/>
        <w:numPr>
          <w:ilvl w:val="0"/>
          <w:numId w:val="33"/>
        </w:numPr>
        <w:ind w:left="714" w:hanging="357"/>
        <w:rPr>
          <w:rFonts w:ascii="Times New Roman" w:eastAsia="Times New Roman" w:hAnsi="Times New Roman" w:cs="Times New Roman"/>
          <w:lang w:eastAsia="en-AU"/>
        </w:rPr>
      </w:pPr>
      <w:r w:rsidRPr="00D25AF6">
        <w:rPr>
          <w:rFonts w:eastAsia="Arial"/>
          <w:lang w:val="en-US" w:eastAsia="en-AU"/>
        </w:rPr>
        <w:t>Epidemiological analysis is underway to give better insight to the effect of worker mobility on COVID-19 cases in disability settings. </w:t>
      </w:r>
    </w:p>
    <w:p w14:paraId="7C6AACA0" w14:textId="223CF03F" w:rsidR="00D25AF6" w:rsidRPr="00D25AF6" w:rsidRDefault="00D25AF6" w:rsidP="0065195D">
      <w:pPr>
        <w:pStyle w:val="ListParagraph"/>
        <w:numPr>
          <w:ilvl w:val="0"/>
          <w:numId w:val="32"/>
        </w:numPr>
        <w:ind w:left="714" w:hanging="357"/>
        <w:rPr>
          <w:rFonts w:ascii="Times New Roman" w:eastAsia="Times New Roman" w:hAnsi="Times New Roman" w:cs="Times New Roman"/>
          <w:lang w:eastAsia="en-AU"/>
        </w:rPr>
      </w:pPr>
      <w:r w:rsidRPr="00D25AF6">
        <w:rPr>
          <w:rFonts w:eastAsia="Arial"/>
          <w:lang w:val="en-US" w:eastAsia="en-AU"/>
        </w:rPr>
        <w:t>More information</w:t>
      </w:r>
      <w:r w:rsidR="007A519C">
        <w:rPr>
          <w:rFonts w:eastAsia="Arial"/>
          <w:lang w:val="en-US" w:eastAsia="en-AU"/>
        </w:rPr>
        <w:t xml:space="preserve"> on </w:t>
      </w:r>
      <w:hyperlink r:id="rId18" w:history="1">
        <w:r w:rsidR="007A519C" w:rsidRPr="007A519C">
          <w:rPr>
            <w:rStyle w:val="Hyperlink"/>
            <w:rFonts w:eastAsia="Arial"/>
            <w:lang w:val="en-US" w:eastAsia="en-AU"/>
          </w:rPr>
          <w:t>worker mobility reduction payment factsheet</w:t>
        </w:r>
      </w:hyperlink>
    </w:p>
    <w:p w14:paraId="611172F0" w14:textId="24A581B5" w:rsidR="009101EC" w:rsidRDefault="009101EC" w:rsidP="009101EC">
      <w:pPr>
        <w:pStyle w:val="Heading1"/>
        <w:rPr>
          <w:lang w:val="en-US"/>
        </w:rPr>
      </w:pPr>
      <w:r>
        <w:rPr>
          <w:lang w:val="en-US"/>
        </w:rPr>
        <w:t>Slide 12</w:t>
      </w:r>
    </w:p>
    <w:p w14:paraId="3C05BBE4" w14:textId="47B108B9" w:rsidR="006F0813" w:rsidRDefault="007A519C" w:rsidP="00D25AF6">
      <w:pPr>
        <w:pStyle w:val="Heading2"/>
      </w:pPr>
      <w:r>
        <w:t>Accessibility statement and publishing information</w:t>
      </w:r>
    </w:p>
    <w:p w14:paraId="30892FE1" w14:textId="41E0197C" w:rsidR="007A519C" w:rsidRPr="007A519C" w:rsidRDefault="007A519C" w:rsidP="0065195D">
      <w:pPr>
        <w:spacing w:line="276" w:lineRule="auto"/>
        <w:rPr>
          <w:rFonts w:eastAsia="Calibri"/>
        </w:rPr>
      </w:pPr>
      <w:r w:rsidRPr="007A519C">
        <w:rPr>
          <w:rFonts w:eastAsia="Calibri"/>
        </w:rPr>
        <w:t>To find out more information about coronavirus and how to stay safe visit</w:t>
      </w:r>
      <w:r w:rsidR="004452B3">
        <w:rPr>
          <w:rFonts w:eastAsia="Calibri"/>
        </w:rPr>
        <w:t xml:space="preserve"> </w:t>
      </w:r>
      <w:hyperlink r:id="rId19" w:history="1">
        <w:r w:rsidRPr="007A519C">
          <w:rPr>
            <w:rStyle w:val="Hyperlink"/>
            <w:rFonts w:eastAsia="Calibri"/>
            <w:bCs/>
          </w:rPr>
          <w:t>DHHS.vic</w:t>
        </w:r>
      </w:hyperlink>
      <w:hyperlink r:id="rId20" w:history="1">
        <w:r w:rsidRPr="007A519C">
          <w:rPr>
            <w:rStyle w:val="Hyperlink"/>
            <w:rFonts w:eastAsia="Calibri"/>
            <w:bCs/>
          </w:rPr>
          <w:t xml:space="preserve"> – coronavirus disease (COVID-19)</w:t>
        </w:r>
      </w:hyperlink>
      <w:r w:rsidR="004452B3">
        <w:rPr>
          <w:rFonts w:eastAsia="Calibri"/>
        </w:rPr>
        <w:t xml:space="preserve"> </w:t>
      </w:r>
    </w:p>
    <w:p w14:paraId="19FE9EE3" w14:textId="77777777" w:rsidR="007A519C" w:rsidRPr="007A519C" w:rsidRDefault="007A519C" w:rsidP="0065195D">
      <w:pPr>
        <w:spacing w:line="276" w:lineRule="auto"/>
        <w:rPr>
          <w:rFonts w:eastAsia="Calibri"/>
        </w:rPr>
      </w:pPr>
      <w:r w:rsidRPr="007A519C">
        <w:rPr>
          <w:rFonts w:eastAsia="Calibri"/>
        </w:rPr>
        <w:t>If you need an interpreter, call TIS National on 131 450</w:t>
      </w:r>
    </w:p>
    <w:p w14:paraId="2FC99963" w14:textId="5C004573" w:rsidR="007A519C" w:rsidRPr="007A519C" w:rsidRDefault="007A519C" w:rsidP="0065195D">
      <w:pPr>
        <w:spacing w:line="276" w:lineRule="auto"/>
        <w:rPr>
          <w:rFonts w:eastAsia="Calibri"/>
        </w:rPr>
      </w:pPr>
      <w:r w:rsidRPr="007A519C">
        <w:rPr>
          <w:rFonts w:eastAsia="Calibri"/>
        </w:rPr>
        <w:t xml:space="preserve">For information in other languages, scan the QR code or visit </w:t>
      </w:r>
      <w:r w:rsidRPr="007A519C">
        <w:rPr>
          <w:rFonts w:eastAsia="Calibri"/>
          <w:b/>
        </w:rPr>
        <w:br/>
      </w:r>
      <w:hyperlink r:id="rId21" w:history="1">
        <w:r w:rsidRPr="007A519C">
          <w:rPr>
            <w:rStyle w:val="Hyperlink"/>
            <w:rFonts w:eastAsia="Calibri"/>
            <w:bCs/>
          </w:rPr>
          <w:t>DHHS.vic</w:t>
        </w:r>
      </w:hyperlink>
      <w:hyperlink r:id="rId22" w:history="1">
        <w:r w:rsidRPr="007A519C">
          <w:rPr>
            <w:rStyle w:val="Hyperlink"/>
            <w:rFonts w:eastAsia="Calibri"/>
            <w:bCs/>
          </w:rPr>
          <w:t xml:space="preserve"> –Translated resources - coronavirus (COVID-19) </w:t>
        </w:r>
      </w:hyperlink>
      <w:r w:rsidRPr="007A519C">
        <w:rPr>
          <w:rFonts w:eastAsia="Calibri"/>
          <w:b/>
        </w:rPr>
        <w:br/>
      </w:r>
      <w:r w:rsidRPr="007A519C">
        <w:rPr>
          <w:rFonts w:eastAsia="Calibri"/>
        </w:rPr>
        <w:t xml:space="preserve">For any questions call the Coronavirus hotline 1800 675 398 (24 hours). </w:t>
      </w:r>
      <w:r w:rsidRPr="007A519C">
        <w:rPr>
          <w:rFonts w:eastAsia="Calibri"/>
        </w:rPr>
        <w:br/>
        <w:t>Please keep Triple Zero (000) for emergencies only.</w:t>
      </w:r>
    </w:p>
    <w:p w14:paraId="640E4314" w14:textId="0CBEE867" w:rsidR="007A519C" w:rsidRPr="007A519C" w:rsidRDefault="007A519C" w:rsidP="0065195D">
      <w:pPr>
        <w:spacing w:line="276" w:lineRule="auto"/>
        <w:rPr>
          <w:rFonts w:eastAsia="Calibri"/>
        </w:rPr>
      </w:pPr>
      <w:r w:rsidRPr="007A519C">
        <w:rPr>
          <w:rFonts w:eastAsia="Calibri"/>
        </w:rPr>
        <w:t xml:space="preserve">To receive this </w:t>
      </w:r>
      <w:r w:rsidR="00670234">
        <w:rPr>
          <w:rFonts w:eastAsia="Calibri"/>
        </w:rPr>
        <w:t>presentation in another format</w:t>
      </w:r>
      <w:r w:rsidR="00B91FF2">
        <w:rPr>
          <w:rFonts w:eastAsia="Calibri"/>
        </w:rPr>
        <w:t xml:space="preserve"> email</w:t>
      </w:r>
      <w:r w:rsidR="004452B3">
        <w:rPr>
          <w:rFonts w:eastAsia="Calibri"/>
        </w:rPr>
        <w:t> </w:t>
      </w:r>
      <w:hyperlink r:id="rId23" w:history="1">
        <w:r w:rsidR="00B91FF2" w:rsidRPr="00E544AF">
          <w:rPr>
            <w:rStyle w:val="Hyperlink"/>
            <w:rFonts w:eastAsia="Calibri"/>
          </w:rPr>
          <w:t>disabilityf@dhhs.vic.gov.au</w:t>
        </w:r>
      </w:hyperlink>
      <w:r w:rsidR="00B91FF2">
        <w:rPr>
          <w:rFonts w:eastAsia="Calibri"/>
        </w:rPr>
        <w:t xml:space="preserve"> </w:t>
      </w:r>
    </w:p>
    <w:p w14:paraId="1230477C" w14:textId="77777777" w:rsidR="007A519C" w:rsidRPr="007A519C" w:rsidRDefault="007A519C" w:rsidP="0065195D">
      <w:pPr>
        <w:spacing w:line="276" w:lineRule="auto"/>
        <w:rPr>
          <w:rFonts w:eastAsia="Calibri"/>
        </w:rPr>
      </w:pPr>
      <w:r w:rsidRPr="007A519C">
        <w:rPr>
          <w:rFonts w:eastAsia="Calibri"/>
        </w:rPr>
        <w:t>Authorised and published by the Victorian Government, 1 Treasury Place, Melbourne.</w:t>
      </w:r>
      <w:r w:rsidRPr="007A519C">
        <w:rPr>
          <w:rFonts w:eastAsia="Calibri"/>
        </w:rPr>
        <w:br/>
        <w:t>© State of Victoria, Australia, Department of Health and Human Services, 6 November 2020 </w:t>
      </w:r>
    </w:p>
    <w:p w14:paraId="52C9E22D" w14:textId="53F69F40" w:rsidR="006F0813" w:rsidRDefault="006F0813" w:rsidP="000D3A70">
      <w:pPr>
        <w:pStyle w:val="Heading1"/>
        <w:rPr>
          <w:lang w:val="en-US"/>
        </w:rPr>
      </w:pPr>
      <w:r>
        <w:rPr>
          <w:lang w:val="en-US"/>
        </w:rPr>
        <w:t>Slide 13</w:t>
      </w:r>
    </w:p>
    <w:p w14:paraId="12E4BDC4" w14:textId="77777777" w:rsidR="007A519C" w:rsidRDefault="007A519C" w:rsidP="007A519C">
      <w:pPr>
        <w:pStyle w:val="Heading2"/>
      </w:pPr>
      <w:r>
        <w:t>Public Health Update</w:t>
      </w:r>
    </w:p>
    <w:p w14:paraId="58FFCB0A" w14:textId="77777777" w:rsidR="007A519C" w:rsidRPr="007A519C" w:rsidRDefault="007A519C" w:rsidP="007A519C">
      <w:pPr>
        <w:rPr>
          <w:rFonts w:eastAsiaTheme="majorEastAsia"/>
          <w:b/>
        </w:rPr>
      </w:pPr>
      <w:r w:rsidRPr="007A519C">
        <w:rPr>
          <w:rFonts w:eastAsiaTheme="majorEastAsia"/>
          <w:b/>
        </w:rPr>
        <w:t>Professor John Catford</w:t>
      </w:r>
    </w:p>
    <w:p w14:paraId="681D1D91" w14:textId="77777777" w:rsidR="007A519C" w:rsidRPr="007A519C" w:rsidRDefault="007A519C" w:rsidP="007A519C">
      <w:pPr>
        <w:rPr>
          <w:rFonts w:eastAsiaTheme="majorEastAsia"/>
        </w:rPr>
      </w:pPr>
      <w:r w:rsidRPr="007A519C">
        <w:rPr>
          <w:rFonts w:eastAsiaTheme="majorEastAsia"/>
        </w:rPr>
        <w:t>Senior Medical Adviser</w:t>
      </w:r>
    </w:p>
    <w:p w14:paraId="083F4CE9" w14:textId="3203F7E8" w:rsidR="007A519C" w:rsidRDefault="007A519C" w:rsidP="007A519C">
      <w:pPr>
        <w:rPr>
          <w:rFonts w:eastAsiaTheme="majorEastAsia"/>
        </w:rPr>
      </w:pPr>
      <w:r w:rsidRPr="007A519C">
        <w:rPr>
          <w:rFonts w:eastAsiaTheme="majorEastAsia"/>
        </w:rPr>
        <w:t>DHHS</w:t>
      </w:r>
    </w:p>
    <w:p w14:paraId="2064DEBB" w14:textId="77777777" w:rsidR="007A519C" w:rsidRPr="007A519C" w:rsidRDefault="007A519C" w:rsidP="007A519C">
      <w:pPr>
        <w:pStyle w:val="Heading1"/>
      </w:pPr>
      <w:r w:rsidRPr="007A519C">
        <w:t>Slide 14</w:t>
      </w:r>
    </w:p>
    <w:p w14:paraId="24C3C1EA" w14:textId="77777777" w:rsidR="007A519C" w:rsidRPr="007A519C" w:rsidRDefault="007A519C" w:rsidP="007A519C">
      <w:pPr>
        <w:rPr>
          <w:rFonts w:eastAsiaTheme="majorEastAsia"/>
          <w:b/>
        </w:rPr>
      </w:pPr>
      <w:r w:rsidRPr="007A519C">
        <w:rPr>
          <w:rFonts w:eastAsiaTheme="majorEastAsia"/>
          <w:b/>
        </w:rPr>
        <w:t>NDIA update</w:t>
      </w:r>
    </w:p>
    <w:p w14:paraId="5CC90D37" w14:textId="08118FBC" w:rsidR="007A519C" w:rsidRPr="007A519C" w:rsidRDefault="007A519C" w:rsidP="007A519C">
      <w:pPr>
        <w:rPr>
          <w:rFonts w:eastAsiaTheme="majorEastAsia"/>
        </w:rPr>
      </w:pPr>
      <w:r w:rsidRPr="007A519C">
        <w:rPr>
          <w:rFonts w:eastAsiaTheme="majorEastAsia"/>
        </w:rPr>
        <w:t>Stephen Broadfoot</w:t>
      </w:r>
    </w:p>
    <w:p w14:paraId="280CDAA3" w14:textId="77777777" w:rsidR="007A519C" w:rsidRPr="007A519C" w:rsidRDefault="007A519C" w:rsidP="007A519C">
      <w:pPr>
        <w:rPr>
          <w:rFonts w:eastAsiaTheme="majorEastAsia"/>
        </w:rPr>
      </w:pPr>
      <w:r w:rsidRPr="007A519C">
        <w:rPr>
          <w:rFonts w:eastAsiaTheme="majorEastAsia"/>
        </w:rPr>
        <w:t>Director, Branch Manager, Provider Engagement Branch</w:t>
      </w:r>
    </w:p>
    <w:p w14:paraId="5D4A4BC8" w14:textId="7EB84D3B" w:rsidR="007A519C" w:rsidRPr="007A519C" w:rsidRDefault="007A519C" w:rsidP="007A519C">
      <w:pPr>
        <w:rPr>
          <w:rFonts w:eastAsiaTheme="majorEastAsia"/>
        </w:rPr>
      </w:pPr>
      <w:r w:rsidRPr="007A519C">
        <w:rPr>
          <w:rFonts w:eastAsiaTheme="majorEastAsia"/>
        </w:rPr>
        <w:t>NDIA</w:t>
      </w:r>
    </w:p>
    <w:p w14:paraId="20906307" w14:textId="1886D8FE" w:rsidR="00A45DC7" w:rsidRDefault="00A45DC7" w:rsidP="00A45DC7">
      <w:pPr>
        <w:pStyle w:val="Heading1"/>
        <w:rPr>
          <w:lang w:val="en-US"/>
        </w:rPr>
      </w:pPr>
      <w:r>
        <w:rPr>
          <w:lang w:val="en-US"/>
        </w:rPr>
        <w:t>Slide 15</w:t>
      </w:r>
    </w:p>
    <w:p w14:paraId="5E33BD89" w14:textId="3B4DD1D3" w:rsidR="00A45DC7" w:rsidRDefault="007F7512" w:rsidP="00D25AF6">
      <w:pPr>
        <w:pStyle w:val="Heading2"/>
      </w:pPr>
      <w:r>
        <w:lastRenderedPageBreak/>
        <w:t>Clean Start</w:t>
      </w:r>
    </w:p>
    <w:p w14:paraId="5CB286D2" w14:textId="26681045" w:rsidR="00A45DC7" w:rsidRDefault="007F7512" w:rsidP="007F7512">
      <w:pPr>
        <w:rPr>
          <w:lang w:val="en-US"/>
        </w:rPr>
      </w:pPr>
      <w:r>
        <w:rPr>
          <w:lang w:val="en-US"/>
        </w:rPr>
        <w:t>Louise Hobbs</w:t>
      </w:r>
    </w:p>
    <w:p w14:paraId="0144E8A2" w14:textId="3928F6CE" w:rsidR="007F7512" w:rsidRDefault="007F7512" w:rsidP="007F7512">
      <w:pPr>
        <w:rPr>
          <w:lang w:val="en-US"/>
        </w:rPr>
      </w:pPr>
      <w:r>
        <w:rPr>
          <w:lang w:val="en-US"/>
        </w:rPr>
        <w:t>Principal advisor</w:t>
      </w:r>
    </w:p>
    <w:p w14:paraId="73911194" w14:textId="658D1385" w:rsidR="007F7512" w:rsidRPr="00A45DC7" w:rsidRDefault="007F7512" w:rsidP="007F7512">
      <w:r>
        <w:rPr>
          <w:lang w:val="en-US"/>
        </w:rPr>
        <w:t>Infection prevention and control advice cell</w:t>
      </w:r>
    </w:p>
    <w:p w14:paraId="2D217EF8" w14:textId="25A74108" w:rsidR="00A45DC7" w:rsidRDefault="00A45DC7" w:rsidP="00A45DC7">
      <w:pPr>
        <w:pStyle w:val="Heading1"/>
        <w:rPr>
          <w:lang w:val="en-US"/>
        </w:rPr>
      </w:pPr>
      <w:r>
        <w:rPr>
          <w:lang w:val="en-US"/>
        </w:rPr>
        <w:t>Slide 16</w:t>
      </w:r>
    </w:p>
    <w:p w14:paraId="1C7687E1" w14:textId="40918005" w:rsidR="00A45DC7" w:rsidRDefault="007F7512" w:rsidP="00D25AF6">
      <w:pPr>
        <w:pStyle w:val="Heading2"/>
      </w:pPr>
      <w:r>
        <w:t>COVID-19 Transmission</w:t>
      </w:r>
    </w:p>
    <w:p w14:paraId="7FA5B137" w14:textId="4A346F01" w:rsidR="007F7512" w:rsidRPr="007F7512" w:rsidRDefault="007F7512" w:rsidP="007F7512">
      <w:r w:rsidRPr="007F7512">
        <w:rPr>
          <w:noProof/>
          <w:lang w:eastAsia="en-AU"/>
        </w:rPr>
        <w:drawing>
          <wp:inline distT="0" distB="0" distL="0" distR="0" wp14:anchorId="32E32337" wp14:editId="745D85AF">
            <wp:extent cx="5734050" cy="2694940"/>
            <wp:effectExtent l="0" t="0" r="0" b="0"/>
            <wp:docPr id="5" name="Picture 4" descr="Traces of droplets from an infected person">
              <a:extLst xmlns:a="http://schemas.openxmlformats.org/drawingml/2006/main">
                <a:ext uri="{FF2B5EF4-FFF2-40B4-BE49-F238E27FC236}">
                  <a16:creationId xmlns:a16="http://schemas.microsoft.com/office/drawing/2014/main" id="{1D0FFA62-0420-41CD-8FE7-DAD82C532E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D0FFA62-0420-41CD-8FE7-DAD82C532E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512">
        <w:t>Guo M, Xu P, Xiao T, He R, Dai M, Miller SL. Review and comparison of HVAC operation guidelines in different countries during the COVID-19 pandemic. Building and Environment. 2021;187:107368.</w:t>
      </w:r>
    </w:p>
    <w:p w14:paraId="21113B6D" w14:textId="261F6530" w:rsidR="00A45DC7" w:rsidRDefault="00A45DC7" w:rsidP="00A45DC7">
      <w:pPr>
        <w:pStyle w:val="Heading1"/>
        <w:rPr>
          <w:lang w:val="en-US"/>
        </w:rPr>
      </w:pPr>
      <w:r>
        <w:rPr>
          <w:lang w:val="en-US"/>
        </w:rPr>
        <w:t>Slide 17</w:t>
      </w:r>
    </w:p>
    <w:p w14:paraId="74102927" w14:textId="153C97A4" w:rsidR="00796932" w:rsidRDefault="007F7512" w:rsidP="00D25AF6">
      <w:pPr>
        <w:pStyle w:val="Heading2"/>
      </w:pPr>
      <w:r>
        <w:t>Persistence of SARS-CoV-2 virus on surfaces</w:t>
      </w:r>
    </w:p>
    <w:tbl>
      <w:tblPr>
        <w:tblW w:w="8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 Days or hours of virus on surafaces"/>
      </w:tblPr>
      <w:tblGrid>
        <w:gridCol w:w="2104"/>
        <w:gridCol w:w="4625"/>
        <w:gridCol w:w="2193"/>
      </w:tblGrid>
      <w:tr w:rsidR="00BB7BF8" w:rsidRPr="000D2B18" w14:paraId="659B9A7A" w14:textId="77777777" w:rsidTr="00940BE2">
        <w:trPr>
          <w:trHeight w:val="295"/>
        </w:trPr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CBFAB5" w14:textId="57EB9786" w:rsidR="00BB7BF8" w:rsidRPr="000D2B18" w:rsidRDefault="00BB7BF8" w:rsidP="000D2B18">
            <w:pPr>
              <w:spacing w:before="0" w:line="270" w:lineRule="exact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 xml:space="preserve">Surface  </w:t>
            </w:r>
          </w:p>
        </w:tc>
        <w:tc>
          <w:tcPr>
            <w:tcW w:w="4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5DE4C6" w14:textId="0420CDF2" w:rsidR="00BB7BF8" w:rsidRPr="000D2B18" w:rsidRDefault="00BB7BF8" w:rsidP="000D2B18">
            <w:pPr>
              <w:spacing w:before="0" w:line="270" w:lineRule="exact"/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 xml:space="preserve">Example </w:t>
            </w: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1E2C71" w14:textId="79895D5B" w:rsidR="00BB7BF8" w:rsidRPr="000D2B18" w:rsidRDefault="00BB7BF8" w:rsidP="000D2B18">
            <w:pPr>
              <w:spacing w:before="0" w:line="270" w:lineRule="exact"/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Days or Hours</w:t>
            </w:r>
          </w:p>
        </w:tc>
      </w:tr>
      <w:tr w:rsidR="00BB7BF8" w:rsidRPr="000D2B18" w14:paraId="2B9912FD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4BC76" w14:textId="1F768F2A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Metal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EB89B" w14:textId="30AB9C9D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Doorknob, Jewellery, Silver wear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D05EC" w14:textId="2AED9AC8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Up to 7.5 days</w:t>
            </w:r>
          </w:p>
        </w:tc>
      </w:tr>
      <w:tr w:rsidR="00BB7BF8" w:rsidRPr="000D2B18" w14:paraId="07EC6401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A4F19" w14:textId="56E6D2AA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Glass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94E18" w14:textId="7E21E029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Drinking glasses, Mirrors Windows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5CAA7" w14:textId="71AFF685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2 to 28 days</w:t>
            </w:r>
          </w:p>
        </w:tc>
      </w:tr>
      <w:tr w:rsidR="00BB7BF8" w:rsidRPr="000D2B18" w14:paraId="01A9972E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52D3E" w14:textId="0B82867C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Ceramics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6563D0" w14:textId="7CEA499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Dishes, Pottery Musa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2F68F" w14:textId="31129631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5 days</w:t>
            </w:r>
          </w:p>
        </w:tc>
      </w:tr>
      <w:tr w:rsidR="00BB7BF8" w:rsidRPr="000D2B18" w14:paraId="40FCADDF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98145" w14:textId="18F7B0B2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Paper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131CD" w14:textId="19B5937C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Newspaper, Magazines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03C79" w14:textId="042E7A6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Up to 5 days</w:t>
            </w:r>
          </w:p>
        </w:tc>
      </w:tr>
      <w:tr w:rsidR="00BB7BF8" w:rsidRPr="000D2B18" w14:paraId="2BA46715" w14:textId="77777777" w:rsidTr="00C81240">
        <w:trPr>
          <w:trHeight w:val="272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71B88" w14:textId="2DE3D799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 xml:space="preserve">Wood 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800E0" w14:textId="69A1C4CE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Furniture, Decking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694B9" w14:textId="159E860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1 day</w:t>
            </w:r>
          </w:p>
        </w:tc>
      </w:tr>
      <w:tr w:rsidR="00BB7BF8" w:rsidRPr="000D2B18" w14:paraId="72793C75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35D5B" w14:textId="66DA354D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Plastic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F145E6" w14:textId="794AF8EB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Milk bottles, Bus seats, and Elevator Buttons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135A3A" w14:textId="3F94D9DC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3 to 28 days</w:t>
            </w:r>
          </w:p>
        </w:tc>
      </w:tr>
      <w:tr w:rsidR="00BB7BF8" w:rsidRPr="000D2B18" w14:paraId="1EABBBB5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14918" w14:textId="7C5BD5DE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Stainless Steel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DE979" w14:textId="30D4B788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Refrigerator, Pots/Pans, Sink, Water bottles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292EF" w14:textId="4F150B8D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2 – 28 days</w:t>
            </w:r>
          </w:p>
        </w:tc>
      </w:tr>
      <w:tr w:rsidR="00BB7BF8" w:rsidRPr="000D2B18" w14:paraId="0982482D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4CE346" w14:textId="58004177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Cardboard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B7CA13" w14:textId="4C420A7C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Cardboard, Shipping boxes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D005FB" w14:textId="36D36A0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1 days</w:t>
            </w:r>
          </w:p>
        </w:tc>
      </w:tr>
      <w:tr w:rsidR="00BB7BF8" w:rsidRPr="000D2B18" w14:paraId="6FAD3455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179F97" w14:textId="268381F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Aluminium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25B5E" w14:textId="60C573F6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Soda cans, Tin foil, Water bottles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7F41F" w14:textId="6F5E5955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2 – 8 hours</w:t>
            </w:r>
          </w:p>
        </w:tc>
      </w:tr>
      <w:tr w:rsidR="00BB7BF8" w:rsidRPr="000D2B18" w14:paraId="3C21A5E3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D9072" w14:textId="42216554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Cooper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B5117" w14:textId="28F24F89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Pennies, Tea Kettle, Cookware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429381" w14:textId="616C4DD3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Up to 4 hours</w:t>
            </w:r>
          </w:p>
        </w:tc>
      </w:tr>
      <w:tr w:rsidR="00BB7BF8" w:rsidRPr="000D2B18" w14:paraId="43338A3A" w14:textId="77777777" w:rsidTr="00C81240">
        <w:trPr>
          <w:trHeight w:val="295"/>
        </w:trPr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5D020" w14:textId="7A65FB87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2"/>
                <w:szCs w:val="22"/>
                <w:lang w:eastAsia="en-AU"/>
              </w:rPr>
              <w:t>Food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6E5397" w14:textId="0DC1CAD8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Chicken, salmon, pork (refrigerated and frozen food)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973FD" w14:textId="423FE6FD" w:rsidR="00BB7BF8" w:rsidRPr="000D2B18" w:rsidRDefault="00BB7BF8" w:rsidP="000D2B18">
            <w:pPr>
              <w:spacing w:before="0" w:line="270" w:lineRule="exact"/>
              <w:rPr>
                <w:rFonts w:eastAsia="Times New Roman" w:cs="Arial"/>
                <w:sz w:val="36"/>
                <w:szCs w:val="36"/>
                <w:lang w:eastAsia="en-AU"/>
              </w:rPr>
            </w:pPr>
            <w:r w:rsidRPr="000D2B18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  <w:lang w:eastAsia="en-AU"/>
              </w:rPr>
              <w:t>Up to 21 days</w:t>
            </w:r>
          </w:p>
        </w:tc>
      </w:tr>
    </w:tbl>
    <w:p w14:paraId="7C6E9675" w14:textId="03A04A8D" w:rsidR="004A3A1C" w:rsidRPr="008636A3" w:rsidRDefault="008636A3" w:rsidP="008636A3">
      <w:pPr>
        <w:rPr>
          <w:rFonts w:eastAsiaTheme="majorEastAsia"/>
        </w:rPr>
      </w:pPr>
      <w:r w:rsidRPr="008636A3">
        <w:rPr>
          <w:rFonts w:eastAsiaTheme="majorEastAsia"/>
        </w:rPr>
        <w:t>SARS-CoV-2 solid surface persistence; rapid review. 2020. Infection prevention and control advice cell. Unpublished.</w:t>
      </w:r>
    </w:p>
    <w:p w14:paraId="0E1C9C67" w14:textId="7D889950" w:rsidR="00796932" w:rsidRDefault="00A45DC7" w:rsidP="00924D17">
      <w:pPr>
        <w:pStyle w:val="Heading1"/>
        <w:rPr>
          <w:lang w:val="en-US"/>
        </w:rPr>
      </w:pPr>
      <w:r>
        <w:rPr>
          <w:lang w:val="en-US"/>
        </w:rPr>
        <w:t>Slide 18</w:t>
      </w:r>
    </w:p>
    <w:p w14:paraId="7AA8E49F" w14:textId="28D5CAD2" w:rsidR="00796932" w:rsidRDefault="008636A3" w:rsidP="00D25AF6">
      <w:pPr>
        <w:pStyle w:val="Heading2"/>
      </w:pPr>
      <w:r>
        <w:t>Role of the environment – temperature</w:t>
      </w:r>
    </w:p>
    <w:p w14:paraId="61923CF1" w14:textId="1F3B8A46" w:rsidR="008636A3" w:rsidRPr="009B54F8" w:rsidRDefault="008636A3" w:rsidP="009B54F8">
      <w:pPr>
        <w:rPr>
          <w:rFonts w:ascii="Times New Roman" w:eastAsia="Times New Roman" w:hAnsi="Times New Roman" w:cs="Times New Roman"/>
          <w:lang w:eastAsia="en-AU"/>
        </w:rPr>
      </w:pPr>
      <w:r>
        <w:rPr>
          <w:noProof/>
          <w:lang w:eastAsia="en-AU"/>
        </w:rPr>
        <w:drawing>
          <wp:inline distT="0" distB="0" distL="0" distR="0" wp14:anchorId="2A781591" wp14:editId="23D99F5C">
            <wp:extent cx="5734050" cy="1976120"/>
            <wp:effectExtent l="0" t="0" r="0" b="5080"/>
            <wp:docPr id="6" name="Picture 2" descr="Three graphs showing the amount of time the virus can live on different surfaces at different temperatures">
              <a:extLst xmlns:a="http://schemas.openxmlformats.org/drawingml/2006/main">
                <a:ext uri="{FF2B5EF4-FFF2-40B4-BE49-F238E27FC236}">
                  <a16:creationId xmlns:a16="http://schemas.microsoft.com/office/drawing/2014/main" id="{B69C21FA-6753-45C7-85C7-05EA875510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69C21FA-6753-45C7-85C7-05EA875510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6A3">
        <w:rPr>
          <w:rFonts w:eastAsia="+mn-ea" w:cs="Arial"/>
          <w:color w:val="000000"/>
          <w:kern w:val="24"/>
          <w:lang w:eastAsia="en-AU"/>
        </w:rPr>
        <w:t>Riddle S, Goldie S, Hill A, Eagles D and Trevor DW. The effect of temperature on persistence of SARS-CoV-2 on common surfaces. 2020, Virology Journal, 17:145.</w:t>
      </w:r>
    </w:p>
    <w:p w14:paraId="1C4E08E1" w14:textId="0D3C5314" w:rsidR="00796932" w:rsidRDefault="00A45DC7" w:rsidP="00924D17">
      <w:pPr>
        <w:pStyle w:val="Heading1"/>
        <w:rPr>
          <w:lang w:val="en-US"/>
        </w:rPr>
      </w:pPr>
      <w:r>
        <w:rPr>
          <w:lang w:val="en-US"/>
        </w:rPr>
        <w:t>Slide 19</w:t>
      </w:r>
    </w:p>
    <w:p w14:paraId="5E4BE248" w14:textId="54CD3CD6" w:rsidR="001701FA" w:rsidRPr="001701FA" w:rsidRDefault="001701FA" w:rsidP="009B54F8">
      <w:pPr>
        <w:pStyle w:val="Heading2"/>
        <w:rPr>
          <w:noProof/>
          <w:lang w:eastAsia="en-AU"/>
        </w:rPr>
      </w:pPr>
      <w:r>
        <w:rPr>
          <w:rFonts w:eastAsia="+mj-ea"/>
        </w:rPr>
        <w:t>Role of environment – setting</w:t>
      </w:r>
    </w:p>
    <w:p w14:paraId="4C2B17B3" w14:textId="67D5163C" w:rsidR="009B54F8" w:rsidRDefault="00BB7BF8" w:rsidP="009B54F8">
      <w:pPr>
        <w:rPr>
          <w:lang w:val="en-US"/>
        </w:rPr>
      </w:pPr>
      <w:r w:rsidRPr="00BB7BF8">
        <w:rPr>
          <w:lang w:val="en-US"/>
        </w:rPr>
        <w:drawing>
          <wp:inline distT="0" distB="0" distL="0" distR="0" wp14:anchorId="0572CA88" wp14:editId="6C721DB9">
            <wp:extent cx="4877481" cy="2648320"/>
            <wp:effectExtent l="0" t="0" r="0" b="0"/>
            <wp:docPr id="1" name="Picture 1" descr="Environments settings in hotel, hospital, care, office, public transport an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CF3D" w14:textId="265C0A08" w:rsidR="00796932" w:rsidRDefault="00796932" w:rsidP="00924D17">
      <w:pPr>
        <w:pStyle w:val="Heading1"/>
        <w:rPr>
          <w:lang w:val="en-US"/>
        </w:rPr>
      </w:pPr>
      <w:r>
        <w:rPr>
          <w:lang w:val="en-US"/>
        </w:rPr>
        <w:t xml:space="preserve">Slide </w:t>
      </w:r>
      <w:r w:rsidR="00C02A2F">
        <w:rPr>
          <w:lang w:val="en-US"/>
        </w:rPr>
        <w:t>20</w:t>
      </w:r>
    </w:p>
    <w:p w14:paraId="2CDB14AE" w14:textId="64E6A062" w:rsidR="00796932" w:rsidRDefault="008636A3" w:rsidP="00D25AF6">
      <w:pPr>
        <w:pStyle w:val="Heading2"/>
      </w:pPr>
      <w:r>
        <w:t>On-site visits</w:t>
      </w:r>
    </w:p>
    <w:p w14:paraId="37CFDEBD" w14:textId="77777777" w:rsidR="008636A3" w:rsidRPr="008636A3" w:rsidRDefault="008636A3" w:rsidP="008636A3">
      <w:r w:rsidRPr="008636A3">
        <w:t>Variation in cleaning practices</w:t>
      </w:r>
    </w:p>
    <w:p w14:paraId="3CA0CF21" w14:textId="77777777" w:rsidR="008636A3" w:rsidRPr="008636A3" w:rsidRDefault="008636A3" w:rsidP="008636A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lang w:eastAsia="en-AU"/>
        </w:rPr>
      </w:pPr>
      <w:r w:rsidRPr="008636A3">
        <w:rPr>
          <w:rFonts w:eastAsia="+mn-ea"/>
          <w:lang w:eastAsia="en-AU"/>
        </w:rPr>
        <w:t>Cleaning is largely unregulated</w:t>
      </w:r>
    </w:p>
    <w:p w14:paraId="0036EFFF" w14:textId="77777777" w:rsidR="008636A3" w:rsidRPr="008636A3" w:rsidRDefault="008636A3" w:rsidP="008636A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lang w:eastAsia="en-AU"/>
        </w:rPr>
      </w:pPr>
      <w:r w:rsidRPr="008636A3">
        <w:rPr>
          <w:rFonts w:eastAsia="+mn-ea"/>
          <w:lang w:eastAsia="en-AU"/>
        </w:rPr>
        <w:t>Absence of expected standards</w:t>
      </w:r>
    </w:p>
    <w:p w14:paraId="56A1B64B" w14:textId="77777777" w:rsidR="008636A3" w:rsidRPr="008636A3" w:rsidRDefault="008636A3" w:rsidP="008636A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lang w:eastAsia="en-AU"/>
        </w:rPr>
      </w:pPr>
      <w:r w:rsidRPr="008636A3">
        <w:rPr>
          <w:rFonts w:eastAsia="+mn-ea"/>
          <w:lang w:eastAsia="en-AU"/>
        </w:rPr>
        <w:t>No required training to become a cleaner or run a cleaning service</w:t>
      </w:r>
    </w:p>
    <w:p w14:paraId="22E2CD42" w14:textId="5A49CC66" w:rsidR="00C02A2F" w:rsidRPr="00C02A2F" w:rsidRDefault="008636A3" w:rsidP="00C02A2F">
      <w:r>
        <w:t>Decorative image</w:t>
      </w:r>
    </w:p>
    <w:p w14:paraId="638E7792" w14:textId="4B2A1E16" w:rsidR="00796932" w:rsidRDefault="00796932" w:rsidP="00924D17">
      <w:pPr>
        <w:pStyle w:val="Heading1"/>
        <w:rPr>
          <w:lang w:val="en-US"/>
        </w:rPr>
      </w:pPr>
      <w:r>
        <w:rPr>
          <w:lang w:val="en-US"/>
        </w:rPr>
        <w:t>S</w:t>
      </w:r>
      <w:r w:rsidR="001536D9">
        <w:rPr>
          <w:lang w:val="en-US"/>
        </w:rPr>
        <w:t>lide 21</w:t>
      </w:r>
    </w:p>
    <w:p w14:paraId="6B8E1772" w14:textId="4025431F" w:rsidR="00796932" w:rsidRDefault="008636A3" w:rsidP="00D25AF6">
      <w:pPr>
        <w:pStyle w:val="Heading2"/>
      </w:pPr>
      <w:r>
        <w:lastRenderedPageBreak/>
        <w:t>Ability to scale cleaning services based on COVID-19 risk</w:t>
      </w:r>
    </w:p>
    <w:p w14:paraId="52D36775" w14:textId="06CF2124" w:rsidR="008636A3" w:rsidRPr="008636A3" w:rsidRDefault="001701FA" w:rsidP="008636A3">
      <w:pPr>
        <w:rPr>
          <w:lang w:val="en-US"/>
        </w:rPr>
      </w:pPr>
      <w:r w:rsidRPr="008636A3">
        <w:object w:dxaOrig="9622" w:dyaOrig="3288" w14:anchorId="54FFA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ale of risks from low to medium to high risk" style="width:481pt;height:164.5pt" o:ole="">
            <v:imagedata r:id="rId27" o:title=""/>
          </v:shape>
          <o:OLEObject Type="Embed" ProgID="Word.Document.12" ShapeID="_x0000_i1025" DrawAspect="Content" ObjectID="_1667202667" r:id="rId28">
            <o:FieldCodes>\s</o:FieldCodes>
          </o:OLEObject>
        </w:object>
      </w:r>
    </w:p>
    <w:p w14:paraId="056EE47B" w14:textId="41A20A85" w:rsidR="00841FF0" w:rsidRDefault="008D68B4" w:rsidP="00924D17">
      <w:pPr>
        <w:pStyle w:val="Heading1"/>
      </w:pPr>
      <w:r>
        <w:t>S</w:t>
      </w:r>
      <w:r w:rsidR="00FB4DBB">
        <w:t>lide 22</w:t>
      </w:r>
    </w:p>
    <w:p w14:paraId="007A581A" w14:textId="7092915E" w:rsidR="001701FA" w:rsidRPr="001701FA" w:rsidRDefault="001701FA" w:rsidP="001701FA">
      <w:pPr>
        <w:pStyle w:val="Heading2"/>
      </w:pPr>
      <w:r>
        <w:t>Environmental cleaning guidelines</w:t>
      </w:r>
    </w:p>
    <w:p w14:paraId="465E80D5" w14:textId="77777777" w:rsidR="004844EB" w:rsidRDefault="001701FA" w:rsidP="009B54F8">
      <w:r w:rsidRPr="008636A3">
        <w:rPr>
          <w:noProof/>
          <w:lang w:eastAsia="en-AU"/>
        </w:rPr>
        <w:drawing>
          <wp:inline distT="0" distB="0" distL="0" distR="0" wp14:anchorId="7E0FDB0D" wp14:editId="41538047">
            <wp:extent cx="1632585" cy="1784350"/>
            <wp:effectExtent l="0" t="0" r="5715" b="6350"/>
            <wp:docPr id="36" name="Picture 2" descr="The six pillars of a COVIDSafe cleaning program: Accountability, Schedules, Procedures, Service delivery Education and Monitoring.">
              <a:extLst xmlns:a="http://schemas.openxmlformats.org/drawingml/2006/main">
                <a:ext uri="{FF2B5EF4-FFF2-40B4-BE49-F238E27FC236}">
                  <a16:creationId xmlns:a16="http://schemas.microsoft.com/office/drawing/2014/main" id="{E3BC509C-75A0-4658-AA48-4DB9EB0048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e six pillars of a COVIDSafe cleaning program: Accountability, Schedules, Procedures, Service delivery Education and Monitoring.">
                      <a:extLst>
                        <a:ext uri="{FF2B5EF4-FFF2-40B4-BE49-F238E27FC236}">
                          <a16:creationId xmlns:a16="http://schemas.microsoft.com/office/drawing/2014/main" id="{E3BC509C-75A0-4658-AA48-4DB9EB00485D}"/>
                        </a:ext>
                      </a:extLst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F154" w14:textId="3414EEF3" w:rsidR="004844EB" w:rsidRPr="004844EB" w:rsidRDefault="004844EB" w:rsidP="004844EB">
      <w:pPr>
        <w:pStyle w:val="ListParagraph"/>
      </w:pPr>
      <w:r w:rsidRPr="004844EB">
        <w:t>Owner occupiers, boards, CEOs.</w:t>
      </w:r>
    </w:p>
    <w:p w14:paraId="359009F1" w14:textId="77777777" w:rsidR="004844EB" w:rsidRPr="004844EB" w:rsidRDefault="004844EB" w:rsidP="004844EB">
      <w:pPr>
        <w:pStyle w:val="ListParagraph"/>
        <w:rPr>
          <w:rFonts w:eastAsia="Times New Roman"/>
        </w:rPr>
      </w:pPr>
      <w:r w:rsidRPr="004844EB">
        <w:t>In-house cleaning service</w:t>
      </w:r>
    </w:p>
    <w:p w14:paraId="71DA40A8" w14:textId="77777777" w:rsidR="004844EB" w:rsidRPr="004844EB" w:rsidRDefault="004844EB" w:rsidP="004844EB">
      <w:pPr>
        <w:pStyle w:val="ListParagraph"/>
        <w:rPr>
          <w:rFonts w:eastAsia="Times New Roman"/>
        </w:rPr>
      </w:pPr>
      <w:r w:rsidRPr="004844EB">
        <w:t>Contracted services</w:t>
      </w:r>
    </w:p>
    <w:p w14:paraId="2549BE4E" w14:textId="77777777" w:rsidR="004844EB" w:rsidRPr="004844EB" w:rsidRDefault="004844EB" w:rsidP="004844EB">
      <w:pPr>
        <w:pStyle w:val="ListParagraph"/>
      </w:pPr>
      <w:r w:rsidRPr="004844EB">
        <w:rPr>
          <w:bCs/>
        </w:rPr>
        <w:t>Schedules in place that cover:</w:t>
      </w:r>
    </w:p>
    <w:p w14:paraId="19167D72" w14:textId="77777777" w:rsidR="004844EB" w:rsidRPr="004844EB" w:rsidRDefault="004844EB" w:rsidP="004844E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844EB">
        <w:rPr>
          <w:bCs/>
        </w:rPr>
        <w:t xml:space="preserve">High touch surfaces </w:t>
      </w:r>
    </w:p>
    <w:p w14:paraId="0ED7405B" w14:textId="77777777" w:rsidR="004844EB" w:rsidRPr="004844EB" w:rsidRDefault="004844EB" w:rsidP="004844E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844EB">
        <w:rPr>
          <w:bCs/>
        </w:rPr>
        <w:t xml:space="preserve">Minimally touched surfaces </w:t>
      </w:r>
    </w:p>
    <w:p w14:paraId="72CC908A" w14:textId="77777777" w:rsidR="004844EB" w:rsidRPr="004844EB" w:rsidRDefault="004844EB" w:rsidP="004844E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844EB">
        <w:rPr>
          <w:bCs/>
        </w:rPr>
        <w:t>Waste removal</w:t>
      </w:r>
    </w:p>
    <w:p w14:paraId="2CD1E1CA" w14:textId="77777777" w:rsidR="004844EB" w:rsidRPr="004844EB" w:rsidRDefault="004844EB" w:rsidP="004844EB">
      <w:pPr>
        <w:pStyle w:val="ListParagraph"/>
      </w:pPr>
      <w:r w:rsidRPr="004844EB">
        <w:rPr>
          <w:bCs/>
        </w:rPr>
        <w:t>Frequency determined by activity level</w:t>
      </w:r>
    </w:p>
    <w:p w14:paraId="0ACFCC57" w14:textId="77777777" w:rsidR="004844EB" w:rsidRPr="004844EB" w:rsidRDefault="004844EB" w:rsidP="004844EB">
      <w:pPr>
        <w:pStyle w:val="ListParagraph"/>
      </w:pPr>
      <w:r w:rsidRPr="004844EB">
        <w:rPr>
          <w:bCs/>
        </w:rPr>
        <w:t>Roles and responsibility documented</w:t>
      </w:r>
    </w:p>
    <w:p w14:paraId="0AC64C40" w14:textId="77777777" w:rsidR="004844EB" w:rsidRPr="004844EB" w:rsidRDefault="004844EB" w:rsidP="004844EB">
      <w:pPr>
        <w:pStyle w:val="ListParagraph"/>
      </w:pPr>
      <w:r w:rsidRPr="004844EB">
        <w:t>COVIDSafe Plan</w:t>
      </w:r>
    </w:p>
    <w:p w14:paraId="7467DC62" w14:textId="77777777" w:rsidR="004844EB" w:rsidRPr="004844EB" w:rsidRDefault="004844EB" w:rsidP="004844E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844EB">
        <w:t>Available equipment</w:t>
      </w:r>
    </w:p>
    <w:p w14:paraId="4F7E9117" w14:textId="77777777" w:rsidR="004844EB" w:rsidRPr="004844EB" w:rsidRDefault="004844EB" w:rsidP="004844E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844EB">
        <w:t>PPE</w:t>
      </w:r>
    </w:p>
    <w:p w14:paraId="4590F200" w14:textId="77777777" w:rsidR="004844EB" w:rsidRPr="004844EB" w:rsidRDefault="004844EB" w:rsidP="004844EB">
      <w:pPr>
        <w:pStyle w:val="ListParagraph"/>
        <w:rPr>
          <w:rFonts w:eastAsia="Times New Roman"/>
        </w:rPr>
      </w:pPr>
      <w:r w:rsidRPr="004844EB">
        <w:t>How to clean</w:t>
      </w:r>
    </w:p>
    <w:p w14:paraId="7C7CEF23" w14:textId="77777777" w:rsidR="004844EB" w:rsidRPr="004844EB" w:rsidRDefault="004844EB" w:rsidP="004844EB">
      <w:pPr>
        <w:pStyle w:val="ListParagraph"/>
      </w:pPr>
      <w:r w:rsidRPr="004844EB">
        <w:t>All staff who have a role in cleaning need to be trained</w:t>
      </w:r>
    </w:p>
    <w:p w14:paraId="6F395104" w14:textId="77777777" w:rsidR="004844EB" w:rsidRPr="004844EB" w:rsidRDefault="004844EB" w:rsidP="004844EB">
      <w:pPr>
        <w:pStyle w:val="ListParagraph"/>
      </w:pPr>
      <w:r w:rsidRPr="004844EB">
        <w:t>Has the expected standard of cleaning been met</w:t>
      </w:r>
    </w:p>
    <w:p w14:paraId="7FEDCF26" w14:textId="5805F37B" w:rsidR="00796932" w:rsidRDefault="00FB4DBB" w:rsidP="00F40254">
      <w:pPr>
        <w:pStyle w:val="Heading1"/>
      </w:pPr>
      <w:r>
        <w:t>Slide 23</w:t>
      </w:r>
    </w:p>
    <w:p w14:paraId="47CB9BF8" w14:textId="13D050A6" w:rsidR="00F40254" w:rsidRDefault="008636A3" w:rsidP="00D25AF6">
      <w:pPr>
        <w:pStyle w:val="Heading2"/>
      </w:pPr>
      <w:r>
        <w:lastRenderedPageBreak/>
        <w:t>COVID-19 deep clean</w:t>
      </w:r>
    </w:p>
    <w:p w14:paraId="205CD359" w14:textId="77777777" w:rsidR="008636A3" w:rsidRPr="008636A3" w:rsidRDefault="008636A3" w:rsidP="008636A3">
      <w:r w:rsidRPr="008636A3">
        <w:t>The following steps should be taken;</w:t>
      </w:r>
    </w:p>
    <w:p w14:paraId="2424B66E" w14:textId="77777777" w:rsidR="008636A3" w:rsidRPr="008636A3" w:rsidRDefault="008636A3" w:rsidP="00E71A40">
      <w:pPr>
        <w:pStyle w:val="ListParagraph"/>
        <w:numPr>
          <w:ilvl w:val="0"/>
          <w:numId w:val="41"/>
        </w:numPr>
      </w:pPr>
      <w:r w:rsidRPr="008636A3">
        <w:t>Risk assessment</w:t>
      </w:r>
    </w:p>
    <w:p w14:paraId="2F775D2C" w14:textId="77777777" w:rsidR="008636A3" w:rsidRPr="008636A3" w:rsidRDefault="008636A3" w:rsidP="00E71A40">
      <w:pPr>
        <w:pStyle w:val="ListParagraph"/>
        <w:numPr>
          <w:ilvl w:val="0"/>
          <w:numId w:val="41"/>
        </w:numPr>
      </w:pPr>
      <w:r w:rsidRPr="008636A3">
        <w:t>Identify high touch surfaces</w:t>
      </w:r>
    </w:p>
    <w:p w14:paraId="113E3834" w14:textId="77777777" w:rsidR="008636A3" w:rsidRPr="008636A3" w:rsidRDefault="008636A3" w:rsidP="00E71A40">
      <w:pPr>
        <w:pStyle w:val="ListParagraph"/>
        <w:numPr>
          <w:ilvl w:val="0"/>
          <w:numId w:val="41"/>
        </w:numPr>
      </w:pPr>
      <w:r w:rsidRPr="008636A3">
        <w:t>Create a COVID-19 cleaning schedule</w:t>
      </w:r>
    </w:p>
    <w:p w14:paraId="7E97CE9C" w14:textId="223685AE" w:rsidR="008636A3" w:rsidRDefault="008636A3" w:rsidP="00E71A40">
      <w:pPr>
        <w:pStyle w:val="ListParagraph"/>
        <w:numPr>
          <w:ilvl w:val="0"/>
          <w:numId w:val="41"/>
        </w:numPr>
      </w:pPr>
      <w:r w:rsidRPr="008636A3">
        <w:t>Monitor cleaning undertaken</w:t>
      </w:r>
    </w:p>
    <w:p w14:paraId="20B316F1" w14:textId="4A5CA29D" w:rsidR="00E71A40" w:rsidRDefault="00E71A40" w:rsidP="00E71A40">
      <w:r w:rsidRPr="00E71A40">
        <w:rPr>
          <w:noProof/>
          <w:lang w:eastAsia="en-AU"/>
        </w:rPr>
        <w:drawing>
          <wp:inline distT="0" distB="0" distL="0" distR="0" wp14:anchorId="5ED7509A" wp14:editId="14CCE74F">
            <wp:extent cx="5734050" cy="2720975"/>
            <wp:effectExtent l="0" t="0" r="0" b="0"/>
            <wp:docPr id="37" name="Picture 2" descr="List of high touch surfaces">
              <a:extLst xmlns:a="http://schemas.openxmlformats.org/drawingml/2006/main">
                <a:ext uri="{FF2B5EF4-FFF2-40B4-BE49-F238E27FC236}">
                  <a16:creationId xmlns:a16="http://schemas.microsoft.com/office/drawing/2014/main" id="{899B423B-29D1-4E7F-BD90-691C177D6C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99B423B-29D1-4E7F-BD90-691C177D6C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E4D1" w14:textId="6742893D" w:rsidR="00796932" w:rsidRDefault="00A41B4B" w:rsidP="008636A3">
      <w:pPr>
        <w:pStyle w:val="Heading1"/>
        <w:rPr>
          <w:lang w:val="en-US"/>
        </w:rPr>
      </w:pPr>
      <w:r>
        <w:rPr>
          <w:lang w:val="en-US"/>
        </w:rPr>
        <w:t>Slide 24</w:t>
      </w:r>
    </w:p>
    <w:p w14:paraId="73031805" w14:textId="5043B032" w:rsidR="0000286D" w:rsidRDefault="00E71A40" w:rsidP="00D25AF6">
      <w:pPr>
        <w:pStyle w:val="Heading2"/>
      </w:pPr>
      <w:r>
        <w:t>Resources</w:t>
      </w:r>
    </w:p>
    <w:p w14:paraId="52EAF6F9" w14:textId="3D667F44" w:rsidR="00E71A40" w:rsidRDefault="00E71A40" w:rsidP="00E71A40">
      <w:pPr>
        <w:rPr>
          <w:lang w:val="en-US"/>
        </w:rPr>
      </w:pPr>
      <w:r>
        <w:rPr>
          <w:lang w:val="en-US"/>
        </w:rPr>
        <w:t>Guidelines</w:t>
      </w:r>
    </w:p>
    <w:p w14:paraId="35C3382F" w14:textId="30240D44" w:rsidR="00E71A40" w:rsidRDefault="00E71A40" w:rsidP="009B54F8">
      <w:pPr>
        <w:rPr>
          <w:lang w:val="en-US"/>
        </w:rPr>
      </w:pPr>
      <w:r w:rsidRPr="00E71A40">
        <w:rPr>
          <w:noProof/>
          <w:lang w:eastAsia="en-AU"/>
        </w:rPr>
        <w:lastRenderedPageBreak/>
        <w:drawing>
          <wp:inline distT="0" distB="0" distL="0" distR="0" wp14:anchorId="0B227C62" wp14:editId="3D116467">
            <wp:extent cx="4938713" cy="2676525"/>
            <wp:effectExtent l="0" t="0" r="0" b="0"/>
            <wp:docPr id="38" name="Picture 2" descr="DHHS Cleaning Guidelines for workplaces">
              <a:extLst xmlns:a="http://schemas.openxmlformats.org/drawingml/2006/main">
                <a:ext uri="{FF2B5EF4-FFF2-40B4-BE49-F238E27FC236}">
                  <a16:creationId xmlns:a16="http://schemas.microsoft.com/office/drawing/2014/main" id="{1FF07828-B099-488A-A461-05F193178C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FF07828-B099-488A-A461-05F193178C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C38A" w14:textId="7CD2B760" w:rsidR="00E71A40" w:rsidRPr="00670234" w:rsidRDefault="00E71A40" w:rsidP="0065195D">
      <w:pPr>
        <w:spacing w:line="276" w:lineRule="auto"/>
        <w:rPr>
          <w:b/>
          <w:lang w:val="en-US"/>
        </w:rPr>
      </w:pPr>
      <w:r w:rsidRPr="00670234">
        <w:rPr>
          <w:b/>
          <w:lang w:val="en-US"/>
        </w:rPr>
        <w:t>Factsheets</w:t>
      </w:r>
    </w:p>
    <w:p w14:paraId="3AD1CDBE" w14:textId="48F06EEF" w:rsidR="00E71A40" w:rsidRDefault="00E71A40" w:rsidP="0065195D">
      <w:pPr>
        <w:spacing w:line="276" w:lineRule="auto"/>
        <w:rPr>
          <w:lang w:val="en-US"/>
        </w:rPr>
      </w:pPr>
      <w:r w:rsidRPr="00670234">
        <w:rPr>
          <w:b/>
          <w:lang w:val="en-US"/>
        </w:rPr>
        <w:t>Cleaning guidelines</w:t>
      </w:r>
      <w:r>
        <w:rPr>
          <w:lang w:val="en-US"/>
        </w:rPr>
        <w:t xml:space="preserve"> </w:t>
      </w:r>
      <w:r w:rsidRPr="00670234">
        <w:rPr>
          <w:b/>
          <w:lang w:val="en-US"/>
        </w:rPr>
        <w:t>– cleaning workforce</w:t>
      </w:r>
    </w:p>
    <w:p w14:paraId="4ADCA90E" w14:textId="56AA66AB" w:rsidR="00E71A40" w:rsidRDefault="00E71A40" w:rsidP="0065195D">
      <w:pPr>
        <w:spacing w:line="276" w:lineRule="auto"/>
        <w:rPr>
          <w:lang w:val="en-US"/>
        </w:rPr>
      </w:pPr>
      <w:r>
        <w:rPr>
          <w:lang w:val="en-US"/>
        </w:rPr>
        <w:t>All cleaning workers must follow the below COVIDSafe cleaning guidance to help prevent the introduction of coronavirus (COVID-19) in the workplace,</w:t>
      </w:r>
    </w:p>
    <w:p w14:paraId="62319299" w14:textId="73806DCB" w:rsidR="00E71A40" w:rsidRPr="00670234" w:rsidRDefault="00E71A40" w:rsidP="0065195D">
      <w:pPr>
        <w:spacing w:line="276" w:lineRule="auto"/>
        <w:rPr>
          <w:b/>
          <w:lang w:val="en-US"/>
        </w:rPr>
      </w:pPr>
      <w:r w:rsidRPr="00670234">
        <w:rPr>
          <w:b/>
          <w:lang w:val="en-US"/>
        </w:rPr>
        <w:t>Cleaning guidelines – cleaning supervisors</w:t>
      </w:r>
    </w:p>
    <w:p w14:paraId="2100FBF6" w14:textId="3141695B" w:rsidR="00E71A40" w:rsidRDefault="00E71A40" w:rsidP="0065195D">
      <w:pPr>
        <w:spacing w:line="276" w:lineRule="auto"/>
        <w:rPr>
          <w:lang w:val="en-US"/>
        </w:rPr>
      </w:pPr>
      <w:r>
        <w:rPr>
          <w:lang w:val="en-US"/>
        </w:rPr>
        <w:t>All cleaning supervisors must follow the below COVIDSafe cleaning guidance to help prevent the introduction of coronavirus (COVID-19) in the workplace</w:t>
      </w:r>
    </w:p>
    <w:p w14:paraId="3573A47C" w14:textId="2D242A51" w:rsidR="00E71A40" w:rsidRPr="00670234" w:rsidRDefault="00E71A40" w:rsidP="0065195D">
      <w:pPr>
        <w:spacing w:line="276" w:lineRule="auto"/>
        <w:rPr>
          <w:b/>
          <w:lang w:val="en-US"/>
        </w:rPr>
      </w:pPr>
      <w:r w:rsidRPr="00670234">
        <w:rPr>
          <w:b/>
          <w:lang w:val="en-US"/>
        </w:rPr>
        <w:t>Cleaning guidelines – building owners and managers</w:t>
      </w:r>
    </w:p>
    <w:p w14:paraId="5F7834EC" w14:textId="78B90F87" w:rsidR="00E71A40" w:rsidRDefault="00E71A40" w:rsidP="0065195D">
      <w:pPr>
        <w:spacing w:line="276" w:lineRule="auto"/>
        <w:rPr>
          <w:lang w:val="en-US"/>
        </w:rPr>
      </w:pPr>
      <w:r>
        <w:rPr>
          <w:lang w:val="en-US"/>
        </w:rPr>
        <w:t xml:space="preserve">All building owners and managers must ensure their workers follow the below COVIDSafe cleaning guidance to help prevent the introduction of coronavirus (COVID-19) in the workplace. </w:t>
      </w:r>
    </w:p>
    <w:p w14:paraId="77A91FC1" w14:textId="6EDF7631" w:rsidR="00E71A40" w:rsidRPr="00E71A40" w:rsidRDefault="00B91FF2" w:rsidP="0065195D">
      <w:pPr>
        <w:spacing w:line="276" w:lineRule="auto"/>
        <w:rPr>
          <w:lang w:val="en-US"/>
        </w:rPr>
      </w:pPr>
      <w:hyperlink r:id="rId32" w:anchor="guidelines-and-resources-for-environmental-cleaning" w:history="1">
        <w:r w:rsidR="00670234" w:rsidRPr="00670234">
          <w:rPr>
            <w:rStyle w:val="Hyperlink"/>
            <w:lang w:val="en-US"/>
          </w:rPr>
          <w:t>Infection Prevention Control Resources</w:t>
        </w:r>
      </w:hyperlink>
    </w:p>
    <w:p w14:paraId="3CD2078B" w14:textId="423CE8FE" w:rsidR="0000286D" w:rsidRDefault="00A41B4B" w:rsidP="0000286D">
      <w:pPr>
        <w:pStyle w:val="Heading1"/>
        <w:rPr>
          <w:lang w:val="en-US"/>
        </w:rPr>
      </w:pPr>
      <w:r>
        <w:rPr>
          <w:lang w:val="en-US"/>
        </w:rPr>
        <w:t>Slide 25</w:t>
      </w:r>
    </w:p>
    <w:p w14:paraId="60782F11" w14:textId="0BEF1E0A" w:rsidR="0000286D" w:rsidRDefault="00E71A40" w:rsidP="00D25AF6">
      <w:pPr>
        <w:pStyle w:val="Heading2"/>
      </w:pPr>
      <w:r>
        <w:lastRenderedPageBreak/>
        <w:t>Provider Perspective</w:t>
      </w:r>
    </w:p>
    <w:p w14:paraId="77B9109A" w14:textId="4B870494" w:rsidR="0000286D" w:rsidRDefault="00E71A40" w:rsidP="00C834EC">
      <w:pPr>
        <w:spacing w:line="276" w:lineRule="auto"/>
        <w:rPr>
          <w:lang w:val="en-US"/>
        </w:rPr>
      </w:pPr>
      <w:r>
        <w:rPr>
          <w:lang w:val="en-US"/>
        </w:rPr>
        <w:t>Cindy Thomassen</w:t>
      </w:r>
    </w:p>
    <w:p w14:paraId="23A7047C" w14:textId="5DF41E21" w:rsidR="006F0813" w:rsidRDefault="00E71A40" w:rsidP="00C834EC">
      <w:pPr>
        <w:spacing w:line="276" w:lineRule="auto"/>
        <w:rPr>
          <w:lang w:val="en-US"/>
        </w:rPr>
      </w:pPr>
      <w:r>
        <w:rPr>
          <w:lang w:val="en-US"/>
        </w:rPr>
        <w:t>Chief Executive</w:t>
      </w:r>
    </w:p>
    <w:p w14:paraId="5DCA59A3" w14:textId="32A5919A" w:rsidR="00E71A40" w:rsidRDefault="00E71A40" w:rsidP="00C834EC">
      <w:pPr>
        <w:spacing w:line="276" w:lineRule="auto"/>
        <w:rPr>
          <w:lang w:val="en-US"/>
        </w:rPr>
      </w:pPr>
      <w:r>
        <w:rPr>
          <w:lang w:val="en-US"/>
        </w:rPr>
        <w:t>Ability Assist</w:t>
      </w:r>
    </w:p>
    <w:p w14:paraId="51C06F33" w14:textId="541F7F84" w:rsidR="00E71A40" w:rsidRDefault="00E71A40" w:rsidP="00E71A40">
      <w:pPr>
        <w:pStyle w:val="Heading1"/>
        <w:rPr>
          <w:lang w:val="en-US"/>
        </w:rPr>
      </w:pPr>
      <w:r>
        <w:rPr>
          <w:lang w:val="en-US"/>
        </w:rPr>
        <w:t>Slide 26</w:t>
      </w:r>
    </w:p>
    <w:p w14:paraId="5E76EB97" w14:textId="6816FCFA" w:rsidR="00E71A40" w:rsidRDefault="00E71A40" w:rsidP="00E71A40">
      <w:pPr>
        <w:pStyle w:val="Heading2"/>
      </w:pPr>
      <w:r>
        <w:t>Q&amp;A</w:t>
      </w:r>
    </w:p>
    <w:p w14:paraId="4E09AFD6" w14:textId="419CE839" w:rsidR="00E71A40" w:rsidRDefault="00E71A40" w:rsidP="00C834EC">
      <w:pPr>
        <w:spacing w:line="276" w:lineRule="auto"/>
        <w:rPr>
          <w:lang w:val="en-US"/>
        </w:rPr>
      </w:pPr>
      <w:r>
        <w:rPr>
          <w:lang w:val="en-US"/>
        </w:rPr>
        <w:t>Questions from Q&amp;A box and those submitted in advance to NDS</w:t>
      </w:r>
    </w:p>
    <w:p w14:paraId="46855772" w14:textId="55F8B637" w:rsidR="00E71A40" w:rsidRDefault="00E71A40" w:rsidP="00E71A40">
      <w:pPr>
        <w:pStyle w:val="Heading1"/>
        <w:rPr>
          <w:lang w:val="en-US"/>
        </w:rPr>
      </w:pPr>
      <w:r>
        <w:rPr>
          <w:lang w:val="en-US"/>
        </w:rPr>
        <w:t>Slide 27</w:t>
      </w:r>
    </w:p>
    <w:p w14:paraId="04789D24" w14:textId="77777777" w:rsidR="00E71A40" w:rsidRDefault="00E71A40" w:rsidP="00E71A40">
      <w:pPr>
        <w:pStyle w:val="Heading2"/>
      </w:pPr>
      <w:r>
        <w:t>Thank you</w:t>
      </w:r>
    </w:p>
    <w:p w14:paraId="223110B2" w14:textId="77777777" w:rsidR="00E71A40" w:rsidRDefault="00E71A40" w:rsidP="00E71A40">
      <w:pPr>
        <w:spacing w:line="276" w:lineRule="auto"/>
        <w:rPr>
          <w:lang w:val="en-US"/>
        </w:rPr>
      </w:pPr>
      <w:r>
        <w:rPr>
          <w:lang w:val="en-US"/>
        </w:rPr>
        <w:t xml:space="preserve">Short survey </w:t>
      </w:r>
      <w:r w:rsidRPr="0000286D">
        <w:t xml:space="preserve">– </w:t>
      </w:r>
      <w:r>
        <w:rPr>
          <w:lang w:val="en-US"/>
        </w:rPr>
        <w:t>link in the chat box</w:t>
      </w:r>
    </w:p>
    <w:p w14:paraId="4F5A535B" w14:textId="77777777" w:rsidR="00E71A40" w:rsidRDefault="00B91FF2" w:rsidP="00E71A40">
      <w:pPr>
        <w:spacing w:line="276" w:lineRule="auto"/>
        <w:rPr>
          <w:lang w:val="en-US"/>
        </w:rPr>
      </w:pPr>
      <w:hyperlink r:id="rId33" w:history="1">
        <w:r w:rsidR="00E71A40" w:rsidRPr="0000286D">
          <w:rPr>
            <w:rStyle w:val="Hyperlink"/>
          </w:rPr>
          <w:t>NDS Coronavirus Hub</w:t>
        </w:r>
      </w:hyperlink>
      <w:r w:rsidR="00E71A40" w:rsidRPr="0000286D">
        <w:t xml:space="preserve"> - </w:t>
      </w:r>
      <w:hyperlink r:id="rId34" w:history="1">
        <w:r w:rsidR="00E71A40" w:rsidRPr="0000286D">
          <w:rPr>
            <w:rStyle w:val="Hyperlink"/>
          </w:rPr>
          <w:t>Victorian COVID-19 Response</w:t>
        </w:r>
      </w:hyperlink>
    </w:p>
    <w:p w14:paraId="573CA9F7" w14:textId="77777777" w:rsidR="00E71A40" w:rsidRPr="005C7D52" w:rsidRDefault="00E71A40" w:rsidP="00E71A40">
      <w:pPr>
        <w:spacing w:line="276" w:lineRule="auto"/>
        <w:rPr>
          <w:lang w:val="en-US"/>
        </w:rPr>
      </w:pPr>
      <w:r>
        <w:rPr>
          <w:lang w:val="en-US"/>
        </w:rPr>
        <w:t>End of document.</w:t>
      </w:r>
    </w:p>
    <w:sectPr w:rsidR="00E71A40" w:rsidRPr="005C7D52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D186" w14:textId="77777777" w:rsidR="00B5004D" w:rsidRDefault="00B5004D" w:rsidP="00D368C0">
      <w:pPr>
        <w:spacing w:before="0"/>
      </w:pPr>
      <w:r>
        <w:separator/>
      </w:r>
    </w:p>
  </w:endnote>
  <w:endnote w:type="continuationSeparator" w:id="0">
    <w:p w14:paraId="7BF1C843" w14:textId="77777777" w:rsidR="00B5004D" w:rsidRDefault="00B5004D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233C" w14:textId="77777777" w:rsidR="00B5004D" w:rsidRDefault="00B5004D" w:rsidP="00D368C0">
      <w:pPr>
        <w:spacing w:before="0"/>
      </w:pPr>
      <w:r>
        <w:separator/>
      </w:r>
    </w:p>
  </w:footnote>
  <w:footnote w:type="continuationSeparator" w:id="0">
    <w:p w14:paraId="1190DD12" w14:textId="77777777" w:rsidR="00B5004D" w:rsidRDefault="00B5004D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80"/>
    <w:multiLevelType w:val="hybridMultilevel"/>
    <w:tmpl w:val="C0646ADE"/>
    <w:lvl w:ilvl="0" w:tplc="5680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2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A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E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4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8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8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67"/>
    <w:multiLevelType w:val="hybridMultilevel"/>
    <w:tmpl w:val="A96E6068"/>
    <w:lvl w:ilvl="0" w:tplc="D08A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0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6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2B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4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0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FA0C44"/>
    <w:multiLevelType w:val="hybridMultilevel"/>
    <w:tmpl w:val="8BB2A53E"/>
    <w:lvl w:ilvl="0" w:tplc="C532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42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6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6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47E57"/>
    <w:multiLevelType w:val="hybridMultilevel"/>
    <w:tmpl w:val="262259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A157A"/>
    <w:multiLevelType w:val="hybridMultilevel"/>
    <w:tmpl w:val="4D74DC3A"/>
    <w:lvl w:ilvl="0" w:tplc="5374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CB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65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A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D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A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4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B774A5"/>
    <w:multiLevelType w:val="hybridMultilevel"/>
    <w:tmpl w:val="61C676AE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63AA"/>
    <w:multiLevelType w:val="hybridMultilevel"/>
    <w:tmpl w:val="8DDCD5D8"/>
    <w:lvl w:ilvl="0" w:tplc="8018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A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0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EC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931C32"/>
    <w:multiLevelType w:val="hybridMultilevel"/>
    <w:tmpl w:val="A01608EE"/>
    <w:lvl w:ilvl="0" w:tplc="FF72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6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0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6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2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8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42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C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3F7D27"/>
    <w:multiLevelType w:val="hybridMultilevel"/>
    <w:tmpl w:val="04188A34"/>
    <w:lvl w:ilvl="0" w:tplc="5A20E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2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0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675536"/>
    <w:multiLevelType w:val="hybridMultilevel"/>
    <w:tmpl w:val="8D081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3364F"/>
    <w:multiLevelType w:val="hybridMultilevel"/>
    <w:tmpl w:val="6AD4D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984"/>
    <w:multiLevelType w:val="hybridMultilevel"/>
    <w:tmpl w:val="7462732A"/>
    <w:lvl w:ilvl="0" w:tplc="87FC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6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6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E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094A28"/>
    <w:multiLevelType w:val="hybridMultilevel"/>
    <w:tmpl w:val="3132C258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00C"/>
    <w:multiLevelType w:val="hybridMultilevel"/>
    <w:tmpl w:val="76DE8C2C"/>
    <w:lvl w:ilvl="0" w:tplc="0FEE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00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A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4E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24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8A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A0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4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09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54542B"/>
    <w:multiLevelType w:val="hybridMultilevel"/>
    <w:tmpl w:val="952077E4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7B25"/>
    <w:multiLevelType w:val="hybridMultilevel"/>
    <w:tmpl w:val="FB5201CE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4B9F"/>
    <w:multiLevelType w:val="hybridMultilevel"/>
    <w:tmpl w:val="D25A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6EE"/>
    <w:multiLevelType w:val="hybridMultilevel"/>
    <w:tmpl w:val="C940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34ED"/>
    <w:multiLevelType w:val="hybridMultilevel"/>
    <w:tmpl w:val="3272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67292"/>
    <w:multiLevelType w:val="hybridMultilevel"/>
    <w:tmpl w:val="1E2862B8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25B4"/>
    <w:multiLevelType w:val="hybridMultilevel"/>
    <w:tmpl w:val="605E93EE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841"/>
    <w:multiLevelType w:val="hybridMultilevel"/>
    <w:tmpl w:val="18526CD4"/>
    <w:lvl w:ilvl="0" w:tplc="A374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C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6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2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4B63DA"/>
    <w:multiLevelType w:val="hybridMultilevel"/>
    <w:tmpl w:val="D1125D60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F86"/>
    <w:multiLevelType w:val="hybridMultilevel"/>
    <w:tmpl w:val="B02AEBF2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7862"/>
    <w:multiLevelType w:val="hybridMultilevel"/>
    <w:tmpl w:val="4EB4C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42E9"/>
    <w:multiLevelType w:val="hybridMultilevel"/>
    <w:tmpl w:val="2F7A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B0B6B"/>
    <w:multiLevelType w:val="hybridMultilevel"/>
    <w:tmpl w:val="87346DF2"/>
    <w:lvl w:ilvl="0" w:tplc="5E62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7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A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A8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173FDC"/>
    <w:multiLevelType w:val="hybridMultilevel"/>
    <w:tmpl w:val="3258C878"/>
    <w:lvl w:ilvl="0" w:tplc="4EB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0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2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4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8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AF2217"/>
    <w:multiLevelType w:val="hybridMultilevel"/>
    <w:tmpl w:val="2C5AFE3C"/>
    <w:lvl w:ilvl="0" w:tplc="CEF6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8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0D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6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0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6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E12477"/>
    <w:multiLevelType w:val="hybridMultilevel"/>
    <w:tmpl w:val="3CCEFB22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DE3"/>
    <w:multiLevelType w:val="hybridMultilevel"/>
    <w:tmpl w:val="ADDC5F54"/>
    <w:lvl w:ilvl="0" w:tplc="740EC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06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A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0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8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06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985428"/>
    <w:multiLevelType w:val="hybridMultilevel"/>
    <w:tmpl w:val="B02C3036"/>
    <w:lvl w:ilvl="0" w:tplc="05BA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86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E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A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6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EA6C41"/>
    <w:multiLevelType w:val="hybridMultilevel"/>
    <w:tmpl w:val="74EC1EFE"/>
    <w:lvl w:ilvl="0" w:tplc="577A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050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3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8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E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4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3B46BA"/>
    <w:multiLevelType w:val="hybridMultilevel"/>
    <w:tmpl w:val="3C1EB328"/>
    <w:lvl w:ilvl="0" w:tplc="A49E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8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0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8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C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5C3F"/>
    <w:multiLevelType w:val="hybridMultilevel"/>
    <w:tmpl w:val="5DF2A402"/>
    <w:lvl w:ilvl="0" w:tplc="64268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24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3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0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62732B"/>
    <w:multiLevelType w:val="hybridMultilevel"/>
    <w:tmpl w:val="1A989BEC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409"/>
    <w:multiLevelType w:val="hybridMultilevel"/>
    <w:tmpl w:val="45B45A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25BF1"/>
    <w:multiLevelType w:val="hybridMultilevel"/>
    <w:tmpl w:val="E4D0804E"/>
    <w:lvl w:ilvl="0" w:tplc="B164C3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73C23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B0C4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8BA3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A87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E54C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0AAAF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E58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7B451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9" w15:restartNumberingAfterBreak="0">
    <w:nsid w:val="79963A27"/>
    <w:multiLevelType w:val="hybridMultilevel"/>
    <w:tmpl w:val="5260A16A"/>
    <w:lvl w:ilvl="0" w:tplc="E1D0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0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2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0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4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893BE0"/>
    <w:multiLevelType w:val="hybridMultilevel"/>
    <w:tmpl w:val="76260982"/>
    <w:lvl w:ilvl="0" w:tplc="20EC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1B34"/>
    <w:multiLevelType w:val="hybridMultilevel"/>
    <w:tmpl w:val="8CDC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1"/>
  </w:num>
  <w:num w:numId="4">
    <w:abstractNumId w:val="11"/>
  </w:num>
  <w:num w:numId="5">
    <w:abstractNumId w:val="17"/>
  </w:num>
  <w:num w:numId="6">
    <w:abstractNumId w:val="25"/>
  </w:num>
  <w:num w:numId="7">
    <w:abstractNumId w:val="14"/>
  </w:num>
  <w:num w:numId="8">
    <w:abstractNumId w:val="0"/>
  </w:num>
  <w:num w:numId="9">
    <w:abstractNumId w:val="5"/>
  </w:num>
  <w:num w:numId="10">
    <w:abstractNumId w:val="19"/>
  </w:num>
  <w:num w:numId="11">
    <w:abstractNumId w:val="34"/>
  </w:num>
  <w:num w:numId="12">
    <w:abstractNumId w:val="10"/>
  </w:num>
  <w:num w:numId="13">
    <w:abstractNumId w:val="4"/>
  </w:num>
  <w:num w:numId="14">
    <w:abstractNumId w:val="9"/>
  </w:num>
  <w:num w:numId="15">
    <w:abstractNumId w:val="37"/>
  </w:num>
  <w:num w:numId="16">
    <w:abstractNumId w:val="3"/>
  </w:num>
  <w:num w:numId="17">
    <w:abstractNumId w:val="40"/>
  </w:num>
  <w:num w:numId="18">
    <w:abstractNumId w:val="27"/>
  </w:num>
  <w:num w:numId="19">
    <w:abstractNumId w:val="20"/>
  </w:num>
  <w:num w:numId="20">
    <w:abstractNumId w:val="6"/>
  </w:num>
  <w:num w:numId="21">
    <w:abstractNumId w:val="32"/>
  </w:num>
  <w:num w:numId="22">
    <w:abstractNumId w:val="36"/>
  </w:num>
  <w:num w:numId="23">
    <w:abstractNumId w:val="33"/>
  </w:num>
  <w:num w:numId="24">
    <w:abstractNumId w:val="31"/>
  </w:num>
  <w:num w:numId="25">
    <w:abstractNumId w:val="30"/>
  </w:num>
  <w:num w:numId="26">
    <w:abstractNumId w:val="13"/>
  </w:num>
  <w:num w:numId="27">
    <w:abstractNumId w:val="35"/>
  </w:num>
  <w:num w:numId="28">
    <w:abstractNumId w:val="28"/>
  </w:num>
  <w:num w:numId="29">
    <w:abstractNumId w:val="16"/>
  </w:num>
  <w:num w:numId="30">
    <w:abstractNumId w:val="24"/>
  </w:num>
  <w:num w:numId="31">
    <w:abstractNumId w:val="22"/>
  </w:num>
  <w:num w:numId="32">
    <w:abstractNumId w:val="21"/>
  </w:num>
  <w:num w:numId="33">
    <w:abstractNumId w:val="15"/>
  </w:num>
  <w:num w:numId="34">
    <w:abstractNumId w:val="7"/>
  </w:num>
  <w:num w:numId="35">
    <w:abstractNumId w:val="29"/>
  </w:num>
  <w:num w:numId="36">
    <w:abstractNumId w:val="39"/>
  </w:num>
  <w:num w:numId="37">
    <w:abstractNumId w:val="2"/>
  </w:num>
  <w:num w:numId="38">
    <w:abstractNumId w:val="38"/>
  </w:num>
  <w:num w:numId="39">
    <w:abstractNumId w:val="12"/>
  </w:num>
  <w:num w:numId="40">
    <w:abstractNumId w:val="8"/>
  </w:num>
  <w:num w:numId="41">
    <w:abstractNumId w:val="23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0286D"/>
    <w:rsid w:val="000204A9"/>
    <w:rsid w:val="00053BDE"/>
    <w:rsid w:val="0005472C"/>
    <w:rsid w:val="00060C11"/>
    <w:rsid w:val="0006206C"/>
    <w:rsid w:val="000813FD"/>
    <w:rsid w:val="000A08A7"/>
    <w:rsid w:val="000B4382"/>
    <w:rsid w:val="000B6EE0"/>
    <w:rsid w:val="000C42FB"/>
    <w:rsid w:val="000D0262"/>
    <w:rsid w:val="000D2B18"/>
    <w:rsid w:val="000D3A70"/>
    <w:rsid w:val="000E1C9D"/>
    <w:rsid w:val="000E411F"/>
    <w:rsid w:val="000F07E6"/>
    <w:rsid w:val="00104BE2"/>
    <w:rsid w:val="00106D6E"/>
    <w:rsid w:val="001131C4"/>
    <w:rsid w:val="001277E9"/>
    <w:rsid w:val="00142736"/>
    <w:rsid w:val="00152DE0"/>
    <w:rsid w:val="001536D9"/>
    <w:rsid w:val="00155204"/>
    <w:rsid w:val="00167F39"/>
    <w:rsid w:val="001701FA"/>
    <w:rsid w:val="001736BF"/>
    <w:rsid w:val="001937D5"/>
    <w:rsid w:val="00194476"/>
    <w:rsid w:val="001A1B98"/>
    <w:rsid w:val="001A33BC"/>
    <w:rsid w:val="001B6436"/>
    <w:rsid w:val="001E0A0F"/>
    <w:rsid w:val="001F55AF"/>
    <w:rsid w:val="001F6051"/>
    <w:rsid w:val="00216B71"/>
    <w:rsid w:val="00224832"/>
    <w:rsid w:val="002325FB"/>
    <w:rsid w:val="002334D0"/>
    <w:rsid w:val="00235936"/>
    <w:rsid w:val="002419B0"/>
    <w:rsid w:val="002420A3"/>
    <w:rsid w:val="002471A6"/>
    <w:rsid w:val="00252723"/>
    <w:rsid w:val="002606A3"/>
    <w:rsid w:val="00265D74"/>
    <w:rsid w:val="00275358"/>
    <w:rsid w:val="00275F53"/>
    <w:rsid w:val="00287C3D"/>
    <w:rsid w:val="0029031B"/>
    <w:rsid w:val="002B1A0D"/>
    <w:rsid w:val="002B4035"/>
    <w:rsid w:val="002B6C00"/>
    <w:rsid w:val="002D51BF"/>
    <w:rsid w:val="002F24E1"/>
    <w:rsid w:val="00310775"/>
    <w:rsid w:val="00324290"/>
    <w:rsid w:val="0032504E"/>
    <w:rsid w:val="00331329"/>
    <w:rsid w:val="00343674"/>
    <w:rsid w:val="0035195E"/>
    <w:rsid w:val="00356944"/>
    <w:rsid w:val="00362061"/>
    <w:rsid w:val="00362CB2"/>
    <w:rsid w:val="00374762"/>
    <w:rsid w:val="00397EF0"/>
    <w:rsid w:val="003A1BFD"/>
    <w:rsid w:val="003A6722"/>
    <w:rsid w:val="003B7153"/>
    <w:rsid w:val="003C2583"/>
    <w:rsid w:val="003D128B"/>
    <w:rsid w:val="003D391C"/>
    <w:rsid w:val="003E63DE"/>
    <w:rsid w:val="003F145A"/>
    <w:rsid w:val="00432E18"/>
    <w:rsid w:val="00433295"/>
    <w:rsid w:val="0043609D"/>
    <w:rsid w:val="004452B3"/>
    <w:rsid w:val="004561D7"/>
    <w:rsid w:val="00461684"/>
    <w:rsid w:val="004650E9"/>
    <w:rsid w:val="004844EB"/>
    <w:rsid w:val="00486DA2"/>
    <w:rsid w:val="004934CB"/>
    <w:rsid w:val="004A3A1C"/>
    <w:rsid w:val="004B6CB7"/>
    <w:rsid w:val="004C78E6"/>
    <w:rsid w:val="005015B0"/>
    <w:rsid w:val="00503340"/>
    <w:rsid w:val="005057D3"/>
    <w:rsid w:val="005109F8"/>
    <w:rsid w:val="00513DC3"/>
    <w:rsid w:val="0051791C"/>
    <w:rsid w:val="005201FC"/>
    <w:rsid w:val="00533EA7"/>
    <w:rsid w:val="005343DF"/>
    <w:rsid w:val="005362F8"/>
    <w:rsid w:val="00550577"/>
    <w:rsid w:val="00564E2D"/>
    <w:rsid w:val="00573AA8"/>
    <w:rsid w:val="005830E8"/>
    <w:rsid w:val="005A424A"/>
    <w:rsid w:val="005A45E7"/>
    <w:rsid w:val="005B2ED4"/>
    <w:rsid w:val="005C59CD"/>
    <w:rsid w:val="005C7D52"/>
    <w:rsid w:val="005D3427"/>
    <w:rsid w:val="005F15C5"/>
    <w:rsid w:val="005F15E7"/>
    <w:rsid w:val="005F438C"/>
    <w:rsid w:val="00610CE3"/>
    <w:rsid w:val="006279E4"/>
    <w:rsid w:val="00637FF7"/>
    <w:rsid w:val="00640D79"/>
    <w:rsid w:val="00646253"/>
    <w:rsid w:val="0065195D"/>
    <w:rsid w:val="006616D8"/>
    <w:rsid w:val="00670234"/>
    <w:rsid w:val="00671E82"/>
    <w:rsid w:val="00685E7E"/>
    <w:rsid w:val="00686D24"/>
    <w:rsid w:val="006A58B1"/>
    <w:rsid w:val="006A7DB8"/>
    <w:rsid w:val="006B0B46"/>
    <w:rsid w:val="006B389D"/>
    <w:rsid w:val="006B63BB"/>
    <w:rsid w:val="006E784C"/>
    <w:rsid w:val="006F0813"/>
    <w:rsid w:val="006F4B4E"/>
    <w:rsid w:val="006F6B87"/>
    <w:rsid w:val="006F72A7"/>
    <w:rsid w:val="00702C8C"/>
    <w:rsid w:val="007041A0"/>
    <w:rsid w:val="0070637C"/>
    <w:rsid w:val="0072161B"/>
    <w:rsid w:val="007345DD"/>
    <w:rsid w:val="00740036"/>
    <w:rsid w:val="00752A22"/>
    <w:rsid w:val="00757013"/>
    <w:rsid w:val="00777AE1"/>
    <w:rsid w:val="00781B25"/>
    <w:rsid w:val="007822EA"/>
    <w:rsid w:val="00784E2F"/>
    <w:rsid w:val="00796932"/>
    <w:rsid w:val="007A519C"/>
    <w:rsid w:val="007B29E6"/>
    <w:rsid w:val="007B3D35"/>
    <w:rsid w:val="007D2758"/>
    <w:rsid w:val="007E1414"/>
    <w:rsid w:val="007E4A9A"/>
    <w:rsid w:val="007F7512"/>
    <w:rsid w:val="00800C10"/>
    <w:rsid w:val="008351EE"/>
    <w:rsid w:val="008417C4"/>
    <w:rsid w:val="00841FF0"/>
    <w:rsid w:val="008636A3"/>
    <w:rsid w:val="00871371"/>
    <w:rsid w:val="008921B5"/>
    <w:rsid w:val="008B6C49"/>
    <w:rsid w:val="008D0B8C"/>
    <w:rsid w:val="008D68B4"/>
    <w:rsid w:val="008E024C"/>
    <w:rsid w:val="009101EC"/>
    <w:rsid w:val="00911BDF"/>
    <w:rsid w:val="00911F42"/>
    <w:rsid w:val="0091675B"/>
    <w:rsid w:val="00924020"/>
    <w:rsid w:val="00924D17"/>
    <w:rsid w:val="00925B55"/>
    <w:rsid w:val="00930DB7"/>
    <w:rsid w:val="00933505"/>
    <w:rsid w:val="00940BE2"/>
    <w:rsid w:val="00940FB7"/>
    <w:rsid w:val="009444B1"/>
    <w:rsid w:val="00953722"/>
    <w:rsid w:val="00977022"/>
    <w:rsid w:val="009843C9"/>
    <w:rsid w:val="009926B9"/>
    <w:rsid w:val="009965F0"/>
    <w:rsid w:val="009A051D"/>
    <w:rsid w:val="009A70CA"/>
    <w:rsid w:val="009B54F8"/>
    <w:rsid w:val="009C3CFF"/>
    <w:rsid w:val="009E35E2"/>
    <w:rsid w:val="009F7850"/>
    <w:rsid w:val="00A0219F"/>
    <w:rsid w:val="00A12625"/>
    <w:rsid w:val="00A1443A"/>
    <w:rsid w:val="00A158EC"/>
    <w:rsid w:val="00A1705F"/>
    <w:rsid w:val="00A20A06"/>
    <w:rsid w:val="00A34E63"/>
    <w:rsid w:val="00A41B4B"/>
    <w:rsid w:val="00A45DC7"/>
    <w:rsid w:val="00A47661"/>
    <w:rsid w:val="00A5486E"/>
    <w:rsid w:val="00A57979"/>
    <w:rsid w:val="00A66D38"/>
    <w:rsid w:val="00A73DC2"/>
    <w:rsid w:val="00A76E52"/>
    <w:rsid w:val="00A802D9"/>
    <w:rsid w:val="00A8353F"/>
    <w:rsid w:val="00A96F49"/>
    <w:rsid w:val="00AA4CAA"/>
    <w:rsid w:val="00AA7095"/>
    <w:rsid w:val="00AA7A13"/>
    <w:rsid w:val="00AC553C"/>
    <w:rsid w:val="00AD3011"/>
    <w:rsid w:val="00AD5183"/>
    <w:rsid w:val="00AE71B7"/>
    <w:rsid w:val="00AF1EE1"/>
    <w:rsid w:val="00AF5B74"/>
    <w:rsid w:val="00B0423D"/>
    <w:rsid w:val="00B05A9F"/>
    <w:rsid w:val="00B20066"/>
    <w:rsid w:val="00B31D06"/>
    <w:rsid w:val="00B338EA"/>
    <w:rsid w:val="00B43E6C"/>
    <w:rsid w:val="00B5004D"/>
    <w:rsid w:val="00B52F1B"/>
    <w:rsid w:val="00B56547"/>
    <w:rsid w:val="00B6352B"/>
    <w:rsid w:val="00B71B9E"/>
    <w:rsid w:val="00B73E65"/>
    <w:rsid w:val="00B769EB"/>
    <w:rsid w:val="00B83103"/>
    <w:rsid w:val="00B86C6A"/>
    <w:rsid w:val="00B874C9"/>
    <w:rsid w:val="00B91FF2"/>
    <w:rsid w:val="00BA48B3"/>
    <w:rsid w:val="00BA4A31"/>
    <w:rsid w:val="00BB36F0"/>
    <w:rsid w:val="00BB4242"/>
    <w:rsid w:val="00BB58E2"/>
    <w:rsid w:val="00BB7BF8"/>
    <w:rsid w:val="00BC62CD"/>
    <w:rsid w:val="00BD1B29"/>
    <w:rsid w:val="00BD6BC9"/>
    <w:rsid w:val="00BE47FA"/>
    <w:rsid w:val="00C009A2"/>
    <w:rsid w:val="00C02A2F"/>
    <w:rsid w:val="00C23B1A"/>
    <w:rsid w:val="00C23D61"/>
    <w:rsid w:val="00C25D37"/>
    <w:rsid w:val="00C362FF"/>
    <w:rsid w:val="00C37D10"/>
    <w:rsid w:val="00C60541"/>
    <w:rsid w:val="00C61A5D"/>
    <w:rsid w:val="00C63074"/>
    <w:rsid w:val="00C714FE"/>
    <w:rsid w:val="00C834EC"/>
    <w:rsid w:val="00C83884"/>
    <w:rsid w:val="00CA468E"/>
    <w:rsid w:val="00CB40C9"/>
    <w:rsid w:val="00CC123E"/>
    <w:rsid w:val="00CD18A4"/>
    <w:rsid w:val="00CE0613"/>
    <w:rsid w:val="00D011B8"/>
    <w:rsid w:val="00D073FA"/>
    <w:rsid w:val="00D25AF6"/>
    <w:rsid w:val="00D338B8"/>
    <w:rsid w:val="00D368C0"/>
    <w:rsid w:val="00D52BF7"/>
    <w:rsid w:val="00D55575"/>
    <w:rsid w:val="00D61160"/>
    <w:rsid w:val="00D626B2"/>
    <w:rsid w:val="00D712F0"/>
    <w:rsid w:val="00D84D9B"/>
    <w:rsid w:val="00D8734A"/>
    <w:rsid w:val="00D96205"/>
    <w:rsid w:val="00DA056F"/>
    <w:rsid w:val="00DB5D27"/>
    <w:rsid w:val="00DC0980"/>
    <w:rsid w:val="00DD19DF"/>
    <w:rsid w:val="00DF0059"/>
    <w:rsid w:val="00E0051F"/>
    <w:rsid w:val="00E0336F"/>
    <w:rsid w:val="00E22FD1"/>
    <w:rsid w:val="00E2495B"/>
    <w:rsid w:val="00E36A54"/>
    <w:rsid w:val="00E47160"/>
    <w:rsid w:val="00E51711"/>
    <w:rsid w:val="00E53896"/>
    <w:rsid w:val="00E71A40"/>
    <w:rsid w:val="00E748B7"/>
    <w:rsid w:val="00EA7FD2"/>
    <w:rsid w:val="00EB28FB"/>
    <w:rsid w:val="00EC6FA5"/>
    <w:rsid w:val="00EE3188"/>
    <w:rsid w:val="00EE5DE0"/>
    <w:rsid w:val="00F02A28"/>
    <w:rsid w:val="00F06CE5"/>
    <w:rsid w:val="00F12AFC"/>
    <w:rsid w:val="00F21467"/>
    <w:rsid w:val="00F27A53"/>
    <w:rsid w:val="00F40254"/>
    <w:rsid w:val="00F44A09"/>
    <w:rsid w:val="00F540A7"/>
    <w:rsid w:val="00F70C3A"/>
    <w:rsid w:val="00F8691A"/>
    <w:rsid w:val="00F86EDD"/>
    <w:rsid w:val="00F9090B"/>
    <w:rsid w:val="00F94EDF"/>
    <w:rsid w:val="00FA3FAD"/>
    <w:rsid w:val="00FB2EF0"/>
    <w:rsid w:val="00FB4DBB"/>
    <w:rsid w:val="00FB5CD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D17"/>
    <w:pPr>
      <w:spacing w:before="24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5AF6"/>
    <w:pPr>
      <w:keepNext/>
      <w:keepLines/>
      <w:spacing w:before="240" w:line="360" w:lineRule="auto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775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D17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5AF6"/>
    <w:rPr>
      <w:rFonts w:eastAsiaTheme="majorEastAsia" w:cstheme="majorBidi"/>
      <w:b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0775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CB7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CB7"/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6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D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873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377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464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18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18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599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2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1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9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3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560">
          <w:marLeft w:val="40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4">
          <w:marLeft w:val="40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022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8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798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440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911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01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85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97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03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176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22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88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60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8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7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9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1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8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0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8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41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851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92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345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40">
          <w:marLeft w:val="85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172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2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0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1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1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1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96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7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3936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8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5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77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40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4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404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83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559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1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916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4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29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17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8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0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2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1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6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9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6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6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99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0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04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7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1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1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8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80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13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6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1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325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494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63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9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386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78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23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79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96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4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24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39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428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37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523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4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28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8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0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75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90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7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12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489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0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49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48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38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3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7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2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3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29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724">
          <w:marLeft w:val="533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28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137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93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4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7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99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6">
          <w:marLeft w:val="177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18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6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5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21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90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3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6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7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6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1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1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94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7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40">
          <w:marLeft w:val="172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29">
          <w:marLeft w:val="172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35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0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3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5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0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4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2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90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3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8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6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0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43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2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3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5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7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7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2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5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7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8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3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1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3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8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6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58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9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0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088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947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3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6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72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6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0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3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4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144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6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02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08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40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23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79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589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325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264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3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35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913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84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84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1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20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68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84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1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7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918">
          <w:marLeft w:val="533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2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2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0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0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79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3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2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49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431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19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30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893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343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71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9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66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3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2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980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992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65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026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62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0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30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5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8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1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3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hs.vic.gov.au/coronavirus" TargetMode="External"/><Relationship Id="rId18" Type="http://schemas.openxmlformats.org/officeDocument/2006/relationships/hyperlink" Target="https://www.dhhs.vic.gov.au/disability-worker-mobility-reduction-payment-factsheet-covid-19-doc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translated-resources-coronavirus-disease-covid-19" TargetMode="External"/><Relationship Id="rId34" Type="http://schemas.openxmlformats.org/officeDocument/2006/relationships/hyperlink" Target="https://www.nds.org.au/index.php/covid-19-hub/victorian-covid-19-respons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dhhs.vic.gov.au/business-sector-coronavirus-disease-covid-19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nds.org.au/covid-19-h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sites/default/files/2020-10/Industry-Restriction-Levels-Community-Services.pdf" TargetMode="External"/><Relationship Id="rId20" Type="http://schemas.openxmlformats.org/officeDocument/2006/relationships/hyperlink" Target="https://www.dhhs.vic.gov.au/coronavirus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3.tmp"/><Relationship Id="rId32" Type="http://schemas.openxmlformats.org/officeDocument/2006/relationships/hyperlink" Target="https://www.dhhs.vic.gov.au/infection-prevention-control-resources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disability-services-sector-coronavirus-covid-19" TargetMode="External"/><Relationship Id="rId23" Type="http://schemas.openxmlformats.org/officeDocument/2006/relationships/hyperlink" Target="mailto:disabilityf@dhhs.vic.gov.au" TargetMode="External"/><Relationship Id="rId28" Type="http://schemas.openxmlformats.org/officeDocument/2006/relationships/package" Target="embeddings/Microsoft_Word_Document.docx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hhs.vic.gov.au/coronavirus" TargetMode="Externa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disability-services-sector-coronavirus-covid-19" TargetMode="External"/><Relationship Id="rId22" Type="http://schemas.openxmlformats.org/officeDocument/2006/relationships/hyperlink" Target="https://www.dhhs.vic.gov.au/translated-resources-coronavirus-disease-covid-19" TargetMode="External"/><Relationship Id="rId27" Type="http://schemas.openxmlformats.org/officeDocument/2006/relationships/image" Target="media/image6.emf"/><Relationship Id="rId30" Type="http://schemas.openxmlformats.org/officeDocument/2006/relationships/image" Target="media/image8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4359D3F37A43AA2D6116E14A6C6D" ma:contentTypeVersion="12" ma:contentTypeDescription="Create a new document." ma:contentTypeScope="" ma:versionID="276adccbc8650fbe1502aa115975718f">
  <xsd:schema xmlns:xsd="http://www.w3.org/2001/XMLSchema" xmlns:xs="http://www.w3.org/2001/XMLSchema" xmlns:p="http://schemas.microsoft.com/office/2006/metadata/properties" xmlns:ns3="9bc485ff-dc12-40b3-8b0c-be227868678a" xmlns:ns4="c7b155eb-1201-41fc-aacd-3debd38e6782" targetNamespace="http://schemas.microsoft.com/office/2006/metadata/properties" ma:root="true" ma:fieldsID="977c9395957755c4b72d9c3d7542d436" ns3:_="" ns4:_="">
    <xsd:import namespace="9bc485ff-dc12-40b3-8b0c-be227868678a"/>
    <xsd:import namespace="c7b155eb-1201-41fc-aacd-3debd38e6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85ff-dc12-40b3-8b0c-be2278686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55eb-1201-41fc-aacd-3debd38e6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33F-FB20-4F4E-B804-C4CB4B53CDAE}">
  <ds:schemaRefs>
    <ds:schemaRef ds:uri="http://purl.org/dc/terms/"/>
    <ds:schemaRef ds:uri="9bc485ff-dc12-40b3-8b0c-be227868678a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b155eb-1201-41fc-aacd-3debd38e678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D3711B-D856-4118-8785-7490EBF63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4AFEE-3094-4CDA-910B-E1F9C621B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85ff-dc12-40b3-8b0c-be227868678a"/>
    <ds:schemaRef ds:uri="c7b155eb-1201-41fc-aacd-3debd38e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9BC6C-9315-4EC1-91D8-BA64F234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1642</Words>
  <Characters>9365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 &amp; DHHS Webinar: Safer and Stronger – accessible slides</vt:lpstr>
    </vt:vector>
  </TitlesOfParts>
  <Company>Microsoft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&amp; DHHS Webinar: Safer and Stronger – accessible slides</dc:title>
  <dc:subject/>
  <dc:creator>Samsara Dunston</dc:creator>
  <cp:keywords/>
  <dc:description/>
  <cp:lastModifiedBy>Eugene Liston</cp:lastModifiedBy>
  <cp:revision>2</cp:revision>
  <cp:lastPrinted>2018-10-10T22:15:00Z</cp:lastPrinted>
  <dcterms:created xsi:type="dcterms:W3CDTF">2020-11-18T00:05:00Z</dcterms:created>
  <dcterms:modified xsi:type="dcterms:W3CDTF">2020-11-18T00:05:00Z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0x01010035DB4359D3F37A43AA2D6116E14A6C6D</vt:lpwstr>
  </property>
</Properties>
</file>