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5562" w14:textId="218A51BF" w:rsidR="00D706E1" w:rsidRDefault="00112351" w:rsidP="00112351">
      <w:pPr>
        <w:tabs>
          <w:tab w:val="left" w:pos="6420"/>
        </w:tabs>
        <w:rPr>
          <w:b/>
          <w:sz w:val="48"/>
          <w:szCs w:val="48"/>
          <w:lang w:val="en-AU"/>
        </w:rPr>
      </w:pPr>
      <w:r>
        <w:rPr>
          <w:noProof/>
          <w:lang w:val="en-AU" w:eastAsia="en-AU"/>
        </w:rPr>
        <w:t xml:space="preserve">   </w:t>
      </w:r>
      <w:r>
        <w:rPr>
          <w:noProof/>
          <w:lang w:val="en-AU" w:eastAsia="en-AU"/>
        </w:rPr>
        <w:drawing>
          <wp:inline distT="0" distB="0" distL="0" distR="0" wp14:anchorId="7AB7BD8A" wp14:editId="75EF4A98">
            <wp:extent cx="1181735" cy="642973"/>
            <wp:effectExtent l="0" t="0" r="0" b="5080"/>
            <wp:docPr id="15" name="Picture 3" descr="ND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735" cy="642973"/>
                    </a:xfrm>
                    <a:prstGeom prst="rect">
                      <a:avLst/>
                    </a:prstGeom>
                    <a:noFill/>
                    <a:ln>
                      <a:noFill/>
                    </a:ln>
                  </pic:spPr>
                </pic:pic>
              </a:graphicData>
            </a:graphic>
          </wp:inline>
        </w:drawing>
      </w:r>
      <w:r>
        <w:rPr>
          <w:noProof/>
          <w:lang w:val="en-AU" w:eastAsia="en-AU"/>
        </w:rPr>
        <w:t xml:space="preserve">   </w:t>
      </w:r>
      <w:r w:rsidRPr="005C57B2">
        <w:rPr>
          <w:noProof/>
          <w:lang w:val="en-AU" w:eastAsia="en-AU"/>
        </w:rPr>
        <w:drawing>
          <wp:inline distT="0" distB="0" distL="0" distR="0" wp14:anchorId="52550493" wp14:editId="229D5A30">
            <wp:extent cx="1746885" cy="761365"/>
            <wp:effectExtent l="0" t="0" r="5715" b="635"/>
            <wp:docPr id="16" name="Picture 16" descr="CADR logo" title="CA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761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en-AU" w:eastAsia="en-AU"/>
        </w:rPr>
        <w:t xml:space="preserve">   </w:t>
      </w:r>
      <w:r>
        <w:rPr>
          <w:noProof/>
          <w:lang w:val="en-AU" w:eastAsia="en-AU"/>
        </w:rPr>
        <w:drawing>
          <wp:inline distT="0" distB="0" distL="0" distR="0" wp14:anchorId="2D74F7FB" wp14:editId="7B5A2B5A">
            <wp:extent cx="1880144" cy="612140"/>
            <wp:effectExtent l="0" t="0" r="6350" b="0"/>
            <wp:docPr id="33" name="Picture 33" descr="University of Western Australia logo" title="University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w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250" cy="613803"/>
                    </a:xfrm>
                    <a:prstGeom prst="rect">
                      <a:avLst/>
                    </a:prstGeom>
                    <a:noFill/>
                    <a:ln>
                      <a:noFill/>
                    </a:ln>
                  </pic:spPr>
                </pic:pic>
              </a:graphicData>
            </a:graphic>
          </wp:inline>
        </w:drawing>
      </w:r>
    </w:p>
    <w:p w14:paraId="393DF367" w14:textId="77777777" w:rsidR="00D706E1" w:rsidRDefault="00D706E1" w:rsidP="00704D55">
      <w:pPr>
        <w:rPr>
          <w:b/>
          <w:sz w:val="48"/>
          <w:szCs w:val="48"/>
          <w:lang w:val="en-AU"/>
        </w:rPr>
      </w:pPr>
      <w:bookmarkStart w:id="0" w:name="_GoBack"/>
      <w:bookmarkEnd w:id="0"/>
    </w:p>
    <w:p w14:paraId="32106280" w14:textId="7ED89850" w:rsidR="00A56D0F" w:rsidRPr="00DD5983" w:rsidRDefault="00780386" w:rsidP="00112351">
      <w:pPr>
        <w:spacing w:after="0" w:line="240" w:lineRule="auto"/>
        <w:rPr>
          <w:rFonts w:ascii="Arial" w:hAnsi="Arial" w:cs="Arial"/>
          <w:b/>
          <w:sz w:val="72"/>
          <w:szCs w:val="72"/>
        </w:rPr>
      </w:pPr>
      <w:r w:rsidRPr="00DD5983">
        <w:rPr>
          <w:rFonts w:ascii="Arial" w:hAnsi="Arial" w:cs="Arial"/>
          <w:b/>
          <w:sz w:val="72"/>
          <w:szCs w:val="72"/>
        </w:rPr>
        <w:t>Australia’s Disability Services Sector 2017</w:t>
      </w:r>
    </w:p>
    <w:p w14:paraId="7739C8C8" w14:textId="77777777" w:rsidR="00780386" w:rsidRPr="00DD5983" w:rsidRDefault="00780386" w:rsidP="00112351">
      <w:pPr>
        <w:spacing w:after="0" w:line="240" w:lineRule="auto"/>
        <w:rPr>
          <w:rFonts w:ascii="Arial" w:hAnsi="Arial" w:cs="Arial"/>
          <w:b/>
          <w:sz w:val="72"/>
          <w:szCs w:val="72"/>
          <w:lang w:val="en-AU"/>
        </w:rPr>
      </w:pPr>
    </w:p>
    <w:p w14:paraId="2B31ABE1" w14:textId="77777777" w:rsidR="00112351" w:rsidRPr="00DD5983" w:rsidRDefault="0081090D" w:rsidP="00112351">
      <w:pPr>
        <w:rPr>
          <w:rFonts w:ascii="Arial" w:hAnsi="Arial" w:cs="Arial"/>
          <w:b/>
          <w:sz w:val="48"/>
          <w:szCs w:val="48"/>
          <w:lang w:val="en-AU"/>
        </w:rPr>
      </w:pPr>
      <w:r w:rsidRPr="00DD5983">
        <w:rPr>
          <w:rFonts w:ascii="Arial" w:hAnsi="Arial" w:cs="Arial"/>
          <w:b/>
          <w:sz w:val="48"/>
          <w:szCs w:val="48"/>
          <w:lang w:val="en-AU"/>
        </w:rPr>
        <w:t xml:space="preserve">Report 2 – Financial </w:t>
      </w:r>
      <w:r w:rsidR="00112351" w:rsidRPr="00DD5983">
        <w:rPr>
          <w:rFonts w:ascii="Arial" w:hAnsi="Arial" w:cs="Arial"/>
          <w:b/>
          <w:sz w:val="48"/>
          <w:szCs w:val="48"/>
          <w:lang w:val="en-AU"/>
        </w:rPr>
        <w:t>Performance</w:t>
      </w:r>
    </w:p>
    <w:p w14:paraId="399F9E98" w14:textId="2B9B8FAF" w:rsidR="00A56D0F" w:rsidRPr="00DD5983" w:rsidRDefault="0081090D" w:rsidP="00112351">
      <w:pPr>
        <w:rPr>
          <w:rFonts w:ascii="Arial" w:hAnsi="Arial" w:cs="Arial"/>
          <w:b/>
          <w:sz w:val="48"/>
          <w:szCs w:val="48"/>
          <w:lang w:val="en-AU"/>
        </w:rPr>
      </w:pPr>
      <w:r w:rsidRPr="00DD5983">
        <w:rPr>
          <w:rFonts w:ascii="Arial" w:hAnsi="Arial" w:cs="Arial"/>
          <w:b/>
          <w:sz w:val="48"/>
          <w:szCs w:val="48"/>
          <w:lang w:val="en-AU"/>
        </w:rPr>
        <w:t>Summary of Key Findings</w:t>
      </w:r>
    </w:p>
    <w:p w14:paraId="051BC73A" w14:textId="3BC40BDB" w:rsidR="00D338C6" w:rsidRPr="00DD5983" w:rsidRDefault="00D338C6" w:rsidP="00112351">
      <w:pPr>
        <w:rPr>
          <w:rFonts w:ascii="Arial" w:hAnsi="Arial" w:cs="Arial"/>
          <w:b/>
          <w:sz w:val="36"/>
          <w:szCs w:val="36"/>
          <w:lang w:val="en-AU"/>
        </w:rPr>
      </w:pPr>
      <w:r w:rsidRPr="00DD5983">
        <w:rPr>
          <w:rFonts w:ascii="Arial" w:hAnsi="Arial" w:cs="Arial"/>
          <w:b/>
          <w:sz w:val="36"/>
          <w:szCs w:val="36"/>
          <w:lang w:val="en-AU"/>
        </w:rPr>
        <w:t>(National Benchmarking Project)</w:t>
      </w:r>
    </w:p>
    <w:p w14:paraId="47D99415" w14:textId="77777777" w:rsidR="00112351" w:rsidRPr="00DD5983" w:rsidRDefault="00112351" w:rsidP="00112351">
      <w:pPr>
        <w:pStyle w:val="Heading5"/>
        <w:jc w:val="left"/>
        <w:rPr>
          <w:rFonts w:ascii="Arial" w:hAnsi="Arial" w:cs="Arial"/>
          <w:b/>
          <w:sz w:val="48"/>
        </w:rPr>
      </w:pPr>
    </w:p>
    <w:p w14:paraId="32835163" w14:textId="09E40837" w:rsidR="008E1890" w:rsidRPr="00DD5983" w:rsidRDefault="00356776" w:rsidP="00112351">
      <w:pPr>
        <w:pStyle w:val="Heading5"/>
        <w:jc w:val="left"/>
        <w:rPr>
          <w:rFonts w:ascii="Arial" w:hAnsi="Arial" w:cs="Arial"/>
          <w:b/>
          <w:sz w:val="24"/>
          <w:szCs w:val="24"/>
        </w:rPr>
      </w:pPr>
      <w:r w:rsidRPr="00DD5983">
        <w:rPr>
          <w:rFonts w:ascii="Arial" w:hAnsi="Arial" w:cs="Arial"/>
        </w:rPr>
        <w:t>September</w:t>
      </w:r>
      <w:r w:rsidR="00D338C6" w:rsidRPr="00DD5983">
        <w:rPr>
          <w:rFonts w:ascii="Arial" w:hAnsi="Arial" w:cs="Arial"/>
        </w:rPr>
        <w:t xml:space="preserve"> </w:t>
      </w:r>
      <w:r w:rsidR="00786950" w:rsidRPr="00DD5983">
        <w:rPr>
          <w:rFonts w:ascii="Arial" w:hAnsi="Arial" w:cs="Arial"/>
        </w:rPr>
        <w:t>2017</w:t>
      </w:r>
    </w:p>
    <w:p w14:paraId="72EFAEDE" w14:textId="33EBF56F" w:rsidR="009205FF" w:rsidRPr="00DD5983" w:rsidRDefault="00A56D0F" w:rsidP="00E746C3">
      <w:pPr>
        <w:rPr>
          <w:rFonts w:ascii="Arial" w:hAnsi="Arial" w:cs="Arial"/>
          <w:b/>
          <w:sz w:val="48"/>
          <w:szCs w:val="48"/>
          <w:lang w:val="en-AU"/>
        </w:rPr>
      </w:pPr>
      <w:r w:rsidRPr="00DD5983">
        <w:rPr>
          <w:rFonts w:ascii="Arial" w:hAnsi="Arial" w:cs="Arial"/>
          <w:b/>
          <w:sz w:val="48"/>
          <w:szCs w:val="48"/>
          <w:lang w:val="en-AU"/>
        </w:rPr>
        <w:br w:type="page"/>
      </w:r>
    </w:p>
    <w:p w14:paraId="7871B60D" w14:textId="2B0A3B07" w:rsidR="00112351" w:rsidRPr="00DD5983" w:rsidRDefault="00112351" w:rsidP="00DD5983">
      <w:pPr>
        <w:spacing w:after="0"/>
        <w:rPr>
          <w:rFonts w:ascii="Arial" w:hAnsi="Arial" w:cs="Arial"/>
          <w:b/>
          <w:sz w:val="24"/>
          <w:szCs w:val="24"/>
          <w:lang w:val="en-AU"/>
        </w:rPr>
      </w:pPr>
      <w:r w:rsidRPr="00DD5983">
        <w:rPr>
          <w:rFonts w:ascii="Arial" w:hAnsi="Arial" w:cs="Arial"/>
          <w:b/>
          <w:sz w:val="24"/>
          <w:szCs w:val="24"/>
          <w:lang w:val="en-AU"/>
        </w:rPr>
        <w:t>Professor David Gilchrist</w:t>
      </w:r>
    </w:p>
    <w:p w14:paraId="3D6217E5" w14:textId="77777777" w:rsidR="00112351" w:rsidRPr="00DD5983" w:rsidRDefault="00112351" w:rsidP="00DD5983">
      <w:pPr>
        <w:spacing w:after="0"/>
        <w:rPr>
          <w:rFonts w:ascii="Arial" w:hAnsi="Arial" w:cs="Arial"/>
          <w:sz w:val="24"/>
          <w:szCs w:val="24"/>
          <w:lang w:val="en-AU"/>
        </w:rPr>
      </w:pPr>
      <w:r w:rsidRPr="00DD5983">
        <w:rPr>
          <w:rFonts w:ascii="Arial" w:hAnsi="Arial" w:cs="Arial"/>
          <w:sz w:val="24"/>
          <w:szCs w:val="24"/>
          <w:lang w:val="en-AU"/>
        </w:rPr>
        <w:t>University of Western Australia</w:t>
      </w:r>
    </w:p>
    <w:p w14:paraId="3FBA47CA" w14:textId="428747AC" w:rsidR="00112351" w:rsidRPr="00DD5983" w:rsidRDefault="00112351" w:rsidP="00DD5983">
      <w:pPr>
        <w:spacing w:after="0"/>
        <w:rPr>
          <w:rFonts w:ascii="Arial" w:hAnsi="Arial" w:cs="Arial"/>
          <w:sz w:val="24"/>
          <w:szCs w:val="24"/>
        </w:rPr>
      </w:pPr>
      <w:r w:rsidRPr="00DD5983">
        <w:rPr>
          <w:rFonts w:ascii="Arial" w:hAnsi="Arial" w:cs="Arial"/>
          <w:sz w:val="24"/>
          <w:szCs w:val="24"/>
        </w:rPr>
        <w:t>Hackett Drive, Crawley</w:t>
      </w:r>
    </w:p>
    <w:p w14:paraId="6860DB3C" w14:textId="77777777" w:rsidR="00112351" w:rsidRPr="00DD5983" w:rsidRDefault="00112351" w:rsidP="00DD5983">
      <w:pPr>
        <w:spacing w:after="0"/>
        <w:rPr>
          <w:rFonts w:ascii="Arial" w:hAnsi="Arial" w:cs="Arial"/>
          <w:b/>
          <w:sz w:val="24"/>
          <w:szCs w:val="24"/>
          <w:lang w:val="en-AU"/>
        </w:rPr>
      </w:pPr>
      <w:r w:rsidRPr="00DD5983">
        <w:rPr>
          <w:rFonts w:ascii="Arial" w:hAnsi="Arial" w:cs="Arial"/>
          <w:sz w:val="24"/>
          <w:szCs w:val="24"/>
        </w:rPr>
        <w:t>david.gilchrist@uwa.edu.au</w:t>
      </w:r>
      <w:r w:rsidRPr="00DD5983">
        <w:rPr>
          <w:rFonts w:ascii="Arial" w:hAnsi="Arial" w:cs="Arial"/>
          <w:b/>
          <w:sz w:val="24"/>
          <w:szCs w:val="24"/>
          <w:lang w:val="en-AU"/>
        </w:rPr>
        <w:t xml:space="preserve"> </w:t>
      </w:r>
    </w:p>
    <w:p w14:paraId="66C7783E" w14:textId="77777777" w:rsidR="00112351" w:rsidRDefault="00112351" w:rsidP="00DD5983">
      <w:pPr>
        <w:spacing w:after="0"/>
        <w:rPr>
          <w:rFonts w:ascii="Arial" w:hAnsi="Arial" w:cs="Arial"/>
          <w:sz w:val="24"/>
          <w:szCs w:val="24"/>
        </w:rPr>
      </w:pPr>
      <w:r w:rsidRPr="00DD5983">
        <w:rPr>
          <w:rFonts w:ascii="Arial" w:hAnsi="Arial" w:cs="Arial"/>
          <w:sz w:val="24"/>
          <w:szCs w:val="24"/>
        </w:rPr>
        <w:t>Ph 0404 515 270</w:t>
      </w:r>
    </w:p>
    <w:p w14:paraId="053EDE91" w14:textId="77777777" w:rsidR="00DD5983" w:rsidRPr="00DD5983" w:rsidRDefault="00DD5983" w:rsidP="00DD5983">
      <w:pPr>
        <w:spacing w:after="0"/>
        <w:rPr>
          <w:rFonts w:ascii="Arial" w:hAnsi="Arial" w:cs="Arial"/>
          <w:sz w:val="24"/>
          <w:szCs w:val="24"/>
        </w:rPr>
      </w:pPr>
    </w:p>
    <w:p w14:paraId="75E3C430" w14:textId="57DAAFF5" w:rsidR="00112351" w:rsidRPr="00DD5983" w:rsidRDefault="00112351" w:rsidP="00DD5983">
      <w:pPr>
        <w:spacing w:after="0"/>
        <w:rPr>
          <w:rFonts w:ascii="Arial" w:hAnsi="Arial" w:cs="Arial"/>
          <w:b/>
          <w:sz w:val="24"/>
          <w:szCs w:val="24"/>
          <w:lang w:val="en-AU"/>
        </w:rPr>
      </w:pPr>
      <w:r w:rsidRPr="00DD5983">
        <w:rPr>
          <w:rFonts w:ascii="Arial" w:hAnsi="Arial" w:cs="Arial"/>
          <w:b/>
          <w:sz w:val="24"/>
          <w:szCs w:val="24"/>
          <w:lang w:val="en-AU"/>
        </w:rPr>
        <w:t>Penny Knight</w:t>
      </w:r>
    </w:p>
    <w:p w14:paraId="3DEA51B6" w14:textId="77777777" w:rsidR="00112351" w:rsidRPr="00DD5983" w:rsidRDefault="00112351" w:rsidP="00DD5983">
      <w:pPr>
        <w:spacing w:after="0"/>
        <w:rPr>
          <w:rFonts w:ascii="Arial" w:hAnsi="Arial" w:cs="Arial"/>
          <w:sz w:val="24"/>
          <w:szCs w:val="24"/>
        </w:rPr>
      </w:pPr>
      <w:r w:rsidRPr="00DD5983">
        <w:rPr>
          <w:rFonts w:ascii="Arial" w:hAnsi="Arial" w:cs="Arial"/>
          <w:sz w:val="24"/>
          <w:szCs w:val="24"/>
        </w:rPr>
        <w:t>University of Western Australia</w:t>
      </w:r>
    </w:p>
    <w:p w14:paraId="741D4797" w14:textId="7B9D38F9" w:rsidR="00112351" w:rsidRPr="00DD5983" w:rsidRDefault="00112351" w:rsidP="00DD5983">
      <w:pPr>
        <w:spacing w:after="0"/>
        <w:rPr>
          <w:rFonts w:ascii="Arial" w:hAnsi="Arial" w:cs="Arial"/>
          <w:sz w:val="24"/>
          <w:szCs w:val="24"/>
        </w:rPr>
      </w:pPr>
      <w:r w:rsidRPr="00DD5983">
        <w:rPr>
          <w:rFonts w:ascii="Arial" w:hAnsi="Arial" w:cs="Arial"/>
          <w:sz w:val="24"/>
          <w:szCs w:val="24"/>
        </w:rPr>
        <w:t>Hackett Drive, Crawley</w:t>
      </w:r>
    </w:p>
    <w:p w14:paraId="22506BC3" w14:textId="77777777" w:rsidR="00112351" w:rsidRPr="00DD5983" w:rsidRDefault="00112351" w:rsidP="00DD5983">
      <w:pPr>
        <w:spacing w:after="0"/>
        <w:rPr>
          <w:rFonts w:ascii="Arial" w:hAnsi="Arial" w:cs="Arial"/>
          <w:sz w:val="24"/>
          <w:szCs w:val="24"/>
        </w:rPr>
      </w:pPr>
      <w:r w:rsidRPr="00DD5983">
        <w:rPr>
          <w:rFonts w:ascii="Arial" w:hAnsi="Arial" w:cs="Arial"/>
          <w:sz w:val="24"/>
          <w:szCs w:val="24"/>
        </w:rPr>
        <w:t>Penny.knight@uwa.edu.au</w:t>
      </w:r>
    </w:p>
    <w:p w14:paraId="317980DE" w14:textId="54676232" w:rsidR="009205FF" w:rsidRPr="00DD5983" w:rsidRDefault="00112351" w:rsidP="00DD5983">
      <w:pPr>
        <w:spacing w:after="0"/>
        <w:rPr>
          <w:rFonts w:ascii="Arial" w:hAnsi="Arial" w:cs="Arial"/>
          <w:sz w:val="24"/>
          <w:szCs w:val="24"/>
        </w:rPr>
      </w:pPr>
      <w:r w:rsidRPr="00DD5983">
        <w:rPr>
          <w:rFonts w:ascii="Arial" w:hAnsi="Arial" w:cs="Arial"/>
          <w:sz w:val="24"/>
          <w:szCs w:val="24"/>
        </w:rPr>
        <w:t>Ph 0431 994 545</w:t>
      </w:r>
    </w:p>
    <w:p w14:paraId="4F429212" w14:textId="7017D8A8" w:rsidR="00112351" w:rsidRDefault="00112351" w:rsidP="00DD5983">
      <w:pPr>
        <w:spacing w:after="0"/>
        <w:rPr>
          <w:rFonts w:ascii="Arial" w:hAnsi="Arial" w:cs="Arial"/>
          <w:sz w:val="24"/>
          <w:szCs w:val="24"/>
          <w:lang w:val="en-AU"/>
        </w:rPr>
      </w:pPr>
      <w:r w:rsidRPr="00DD5983">
        <w:rPr>
          <w:rFonts w:ascii="Arial" w:hAnsi="Arial" w:cs="Arial"/>
          <w:sz w:val="24"/>
          <w:szCs w:val="24"/>
          <w:lang w:val="en-AU"/>
        </w:rPr>
        <w:t>11 September 2017</w:t>
      </w:r>
    </w:p>
    <w:p w14:paraId="3EA619F7" w14:textId="77777777" w:rsidR="00DD5983" w:rsidRPr="00DD5983" w:rsidRDefault="00DD5983" w:rsidP="00DD5983">
      <w:pPr>
        <w:spacing w:after="0"/>
        <w:rPr>
          <w:rFonts w:ascii="Arial" w:hAnsi="Arial" w:cs="Arial"/>
          <w:sz w:val="24"/>
          <w:szCs w:val="24"/>
          <w:lang w:val="en-AU"/>
        </w:rPr>
      </w:pPr>
    </w:p>
    <w:p w14:paraId="7283CFB0" w14:textId="77777777" w:rsidR="00112351" w:rsidRPr="00DD5983" w:rsidRDefault="00112351" w:rsidP="00DD5983">
      <w:pPr>
        <w:jc w:val="both"/>
        <w:rPr>
          <w:rFonts w:ascii="Arial" w:hAnsi="Arial" w:cs="Arial"/>
          <w:b/>
          <w:sz w:val="24"/>
          <w:szCs w:val="24"/>
        </w:rPr>
      </w:pPr>
      <w:r w:rsidRPr="00DD5983">
        <w:rPr>
          <w:rFonts w:ascii="Arial" w:hAnsi="Arial" w:cs="Arial"/>
          <w:b/>
          <w:sz w:val="24"/>
          <w:szCs w:val="24"/>
        </w:rPr>
        <w:t>Disclaimer</w:t>
      </w:r>
    </w:p>
    <w:p w14:paraId="45C37DEF" w14:textId="77777777" w:rsidR="00112351" w:rsidRPr="00DD5983" w:rsidRDefault="00112351" w:rsidP="00112351">
      <w:pPr>
        <w:jc w:val="both"/>
        <w:rPr>
          <w:rFonts w:ascii="Arial" w:hAnsi="Arial" w:cs="Arial"/>
          <w:b/>
          <w:sz w:val="24"/>
          <w:szCs w:val="24"/>
        </w:rPr>
      </w:pPr>
      <w:r w:rsidRPr="00DD5983">
        <w:rPr>
          <w:rFonts w:ascii="Arial" w:hAnsi="Arial" w:cs="Arial"/>
          <w:sz w:val="24"/>
          <w:szCs w:val="24"/>
        </w:rPr>
        <w:t>The information provided in this document is made available in good faith and is believed accurate at the time of publication. However, the document is intended to be a guide only and should not be seen as a substitute for obtaining appropriate advice or making prudent enquiries. The information is provided solely on the basis that readers will be responsible for making their own assessment of the matters discussed therein and that they should verify all relevant representations, statements and information. Changes in legislation, or other circumstances, after the document has been published may impact on the accuracy of any information or advice contained in the document and readers should not rely on the accuracy of information presented in this document.  Information presented in this document does not constitute, and is not intended as advice nor used as an interpretive instrument. In the event of any inconsistency between this document and relevant legislation, provisions of the relevant legislation will prevail.</w:t>
      </w:r>
    </w:p>
    <w:p w14:paraId="77C32259" w14:textId="77777777" w:rsidR="00112351" w:rsidRPr="00DD5983" w:rsidRDefault="00112351" w:rsidP="00112351">
      <w:pPr>
        <w:jc w:val="both"/>
        <w:rPr>
          <w:rFonts w:ascii="Arial" w:hAnsi="Arial" w:cs="Arial"/>
          <w:sz w:val="24"/>
          <w:szCs w:val="24"/>
        </w:rPr>
      </w:pPr>
      <w:r w:rsidRPr="00DD5983">
        <w:rPr>
          <w:rFonts w:ascii="Arial" w:hAnsi="Arial" w:cs="Arial"/>
          <w:sz w:val="24"/>
          <w:szCs w:val="24"/>
        </w:rPr>
        <w:t>Neither the University of Western Australia (UWA) nor any employee or agent of UWA, nor any authors or contributors to this document shall be liable for any loss, damage, personal injury or death however caused (whether caused by any negligent or other unlawful act or omission of, by or on the part of UWA or otherwise) arising from the use of or reliance on any information, data or advice expressed or implied in this document.</w:t>
      </w:r>
    </w:p>
    <w:p w14:paraId="58C64548" w14:textId="61B7E2E4" w:rsidR="00112351" w:rsidRPr="00DD5983" w:rsidRDefault="00112351" w:rsidP="00E746C3">
      <w:pPr>
        <w:rPr>
          <w:rFonts w:ascii="Arial" w:hAnsi="Arial" w:cs="Arial"/>
          <w:sz w:val="24"/>
          <w:szCs w:val="24"/>
          <w:lang w:val="en-AU"/>
        </w:rPr>
        <w:sectPr w:rsidR="00112351" w:rsidRPr="00DD5983" w:rsidSect="004977B5">
          <w:headerReference w:type="default" r:id="rId11"/>
          <w:footerReference w:type="even" r:id="rId12"/>
          <w:footerReference w:type="default" r:id="rId13"/>
          <w:footerReference w:type="first" r:id="rId14"/>
          <w:pgSz w:w="11906" w:h="16838"/>
          <w:pgMar w:top="1440" w:right="1440" w:bottom="1440" w:left="1440" w:header="567" w:footer="567" w:gutter="0"/>
          <w:cols w:space="708"/>
          <w:titlePg/>
          <w:docGrid w:linePitch="360"/>
        </w:sectPr>
      </w:pPr>
      <w:r w:rsidRPr="00DD5983">
        <w:rPr>
          <w:rFonts w:ascii="Arial" w:eastAsia="Times New Roman" w:hAnsi="Arial" w:cs="Arial"/>
          <w:i/>
          <w:iCs/>
          <w:color w:val="222222"/>
          <w:sz w:val="24"/>
          <w:szCs w:val="24"/>
        </w:rPr>
        <w:t>© University of Western Australia.  Except as permitted by the Copyright Act 1968, this material may not be reproduced, stored or transmitted without the pe</w:t>
      </w:r>
      <w:r w:rsidRPr="00DD5983">
        <w:rPr>
          <w:rFonts w:ascii="Arial" w:eastAsia="Times New Roman" w:hAnsi="Arial" w:cs="Arial"/>
          <w:i/>
          <w:iCs/>
          <w:color w:val="222222"/>
          <w:sz w:val="24"/>
          <w:szCs w:val="24"/>
        </w:rPr>
        <w:t>rmission of the copyright owner.</w:t>
      </w:r>
    </w:p>
    <w:p w14:paraId="357FF80E" w14:textId="095C0921" w:rsidR="00DD5983" w:rsidRPr="00DD5983" w:rsidRDefault="00484808" w:rsidP="00DD5983">
      <w:pPr>
        <w:pStyle w:val="Heading1rep"/>
      </w:pPr>
      <w:bookmarkStart w:id="1" w:name="_Toc489891079"/>
      <w:bookmarkStart w:id="2" w:name="_Toc492645470"/>
      <w:r w:rsidRPr="00DD5983">
        <w:lastRenderedPageBreak/>
        <w:t>Executive Summary</w:t>
      </w:r>
      <w:bookmarkEnd w:id="1"/>
      <w:bookmarkEnd w:id="2"/>
    </w:p>
    <w:p w14:paraId="2A067325" w14:textId="524D368F" w:rsidR="000257DA" w:rsidRPr="00DD5983" w:rsidRDefault="000257DA" w:rsidP="000257DA">
      <w:pPr>
        <w:pStyle w:val="BodyText1"/>
        <w:rPr>
          <w:rFonts w:cs="Arial"/>
          <w:sz w:val="24"/>
          <w:szCs w:val="24"/>
          <w:lang w:val="en-AU"/>
        </w:rPr>
      </w:pPr>
      <w:r w:rsidRPr="00DD5983">
        <w:rPr>
          <w:rFonts w:cs="Arial"/>
          <w:sz w:val="24"/>
          <w:szCs w:val="24"/>
          <w:lang w:val="en-AU"/>
        </w:rPr>
        <w:t xml:space="preserve">This is the second report of the Market Design and Evolution for Better Outcomes Research Program (also known as the Disability Services National Benchmarking Project). It provides a snapshot of the changes in the financial performance of </w:t>
      </w:r>
      <w:r w:rsidR="00706872" w:rsidRPr="00DD5983">
        <w:rPr>
          <w:rFonts w:cs="Arial"/>
          <w:sz w:val="24"/>
          <w:szCs w:val="24"/>
          <w:lang w:val="en-AU"/>
        </w:rPr>
        <w:t xml:space="preserve">a Panel of </w:t>
      </w:r>
      <w:r w:rsidRPr="00DD5983">
        <w:rPr>
          <w:rFonts w:cs="Arial"/>
          <w:sz w:val="24"/>
          <w:szCs w:val="24"/>
          <w:lang w:val="en-AU"/>
        </w:rPr>
        <w:t>154 disability service provid</w:t>
      </w:r>
      <w:r w:rsidR="009E7D9E" w:rsidRPr="00DD5983">
        <w:rPr>
          <w:rFonts w:cs="Arial"/>
          <w:sz w:val="24"/>
          <w:szCs w:val="24"/>
          <w:lang w:val="en-AU"/>
        </w:rPr>
        <w:t xml:space="preserve">ers </w:t>
      </w:r>
      <w:r w:rsidR="009D6858" w:rsidRPr="00DD5983">
        <w:rPr>
          <w:rFonts w:cs="Arial"/>
          <w:sz w:val="24"/>
          <w:szCs w:val="24"/>
          <w:lang w:val="en-AU"/>
        </w:rPr>
        <w:t xml:space="preserve">(providers) </w:t>
      </w:r>
      <w:r w:rsidR="009E7D9E" w:rsidRPr="00DD5983">
        <w:rPr>
          <w:rFonts w:cs="Arial"/>
          <w:sz w:val="24"/>
          <w:szCs w:val="24"/>
          <w:lang w:val="en-AU"/>
        </w:rPr>
        <w:t xml:space="preserve">between 2014/15 and 2015/16 as they transition into the National </w:t>
      </w:r>
      <w:r w:rsidR="009D6858" w:rsidRPr="00DD5983">
        <w:rPr>
          <w:rFonts w:cs="Arial"/>
          <w:sz w:val="24"/>
          <w:szCs w:val="24"/>
          <w:lang w:val="en-AU"/>
        </w:rPr>
        <w:t>Disability</w:t>
      </w:r>
      <w:r w:rsidR="009E7D9E" w:rsidRPr="00DD5983">
        <w:rPr>
          <w:rFonts w:cs="Arial"/>
          <w:sz w:val="24"/>
          <w:szCs w:val="24"/>
          <w:lang w:val="en-AU"/>
        </w:rPr>
        <w:t xml:space="preserve"> Insurance Scheme (NDIS)</w:t>
      </w:r>
    </w:p>
    <w:p w14:paraId="547C1188" w14:textId="5B3A8635" w:rsidR="000257DA" w:rsidRPr="00DD5983" w:rsidRDefault="000257DA" w:rsidP="000257DA">
      <w:pPr>
        <w:pStyle w:val="BodyText1"/>
        <w:rPr>
          <w:rFonts w:cs="Arial"/>
          <w:sz w:val="24"/>
          <w:szCs w:val="24"/>
          <w:lang w:val="en-AU"/>
        </w:rPr>
      </w:pPr>
      <w:r w:rsidRPr="00DD5983">
        <w:rPr>
          <w:rFonts w:cs="Arial"/>
          <w:sz w:val="24"/>
          <w:szCs w:val="24"/>
          <w:lang w:val="en-AU"/>
        </w:rPr>
        <w:t xml:space="preserve">A significant proportion of existing providers are not exclusively delivering disability services.  That is, they also provide services such as aged care, child protection and other human services. As their activities in other </w:t>
      </w:r>
      <w:r w:rsidR="009D6858" w:rsidRPr="00DD5983">
        <w:rPr>
          <w:rFonts w:cs="Arial"/>
          <w:sz w:val="24"/>
          <w:szCs w:val="24"/>
          <w:lang w:val="en-AU"/>
        </w:rPr>
        <w:t xml:space="preserve">service sectors </w:t>
      </w:r>
      <w:r w:rsidR="009F7BB6" w:rsidRPr="00DD5983">
        <w:rPr>
          <w:rFonts w:cs="Arial"/>
          <w:sz w:val="24"/>
          <w:szCs w:val="24"/>
          <w:lang w:val="en-AU"/>
        </w:rPr>
        <w:t>effects</w:t>
      </w:r>
      <w:r w:rsidRPr="00DD5983">
        <w:rPr>
          <w:rFonts w:cs="Arial"/>
          <w:sz w:val="24"/>
          <w:szCs w:val="24"/>
          <w:lang w:val="en-AU"/>
        </w:rPr>
        <w:t xml:space="preserve"> their f</w:t>
      </w:r>
      <w:r w:rsidR="00880D72" w:rsidRPr="00DD5983">
        <w:rPr>
          <w:rFonts w:cs="Arial"/>
          <w:sz w:val="24"/>
          <w:szCs w:val="24"/>
          <w:lang w:val="en-AU"/>
        </w:rPr>
        <w:t>inancial sustainability</w:t>
      </w:r>
      <w:r w:rsidRPr="00DD5983">
        <w:rPr>
          <w:rFonts w:cs="Arial"/>
          <w:sz w:val="24"/>
          <w:szCs w:val="24"/>
          <w:lang w:val="en-AU"/>
        </w:rPr>
        <w:t xml:space="preserve"> this report includes data on the overall financial performance of organisation</w:t>
      </w:r>
      <w:r w:rsidR="009D6858" w:rsidRPr="00DD5983">
        <w:rPr>
          <w:rFonts w:cs="Arial"/>
          <w:sz w:val="24"/>
          <w:szCs w:val="24"/>
          <w:lang w:val="en-AU"/>
        </w:rPr>
        <w:t>s</w:t>
      </w:r>
      <w:r w:rsidRPr="00DD5983">
        <w:rPr>
          <w:rFonts w:cs="Arial"/>
          <w:sz w:val="24"/>
          <w:szCs w:val="24"/>
          <w:lang w:val="en-AU"/>
        </w:rPr>
        <w:t xml:space="preserve"> as well as their financial performance </w:t>
      </w:r>
      <w:r w:rsidR="00880D72" w:rsidRPr="00DD5983">
        <w:rPr>
          <w:rFonts w:cs="Arial"/>
          <w:sz w:val="24"/>
          <w:szCs w:val="24"/>
          <w:lang w:val="en-AU"/>
        </w:rPr>
        <w:t>from</w:t>
      </w:r>
      <w:r w:rsidRPr="00DD5983">
        <w:rPr>
          <w:rFonts w:cs="Arial"/>
          <w:sz w:val="24"/>
          <w:szCs w:val="24"/>
          <w:lang w:val="en-AU"/>
        </w:rPr>
        <w:t xml:space="preserve"> to the provision of disability services. </w:t>
      </w:r>
    </w:p>
    <w:p w14:paraId="36B96600" w14:textId="77777777" w:rsidR="000257DA" w:rsidRPr="00DD5983" w:rsidRDefault="000257DA" w:rsidP="00DD5983">
      <w:pPr>
        <w:pStyle w:val="Heading2"/>
        <w:rPr>
          <w:rFonts w:ascii="Arial" w:hAnsi="Arial" w:cs="Arial"/>
          <w:sz w:val="24"/>
          <w:szCs w:val="24"/>
        </w:rPr>
      </w:pPr>
      <w:bookmarkStart w:id="3" w:name="_Toc489891080"/>
      <w:bookmarkStart w:id="4" w:name="_Toc492645471"/>
      <w:r w:rsidRPr="00DD5983">
        <w:rPr>
          <w:rFonts w:ascii="Arial" w:hAnsi="Arial" w:cs="Arial"/>
          <w:sz w:val="24"/>
          <w:szCs w:val="24"/>
        </w:rPr>
        <w:t>Key findings</w:t>
      </w:r>
      <w:bookmarkEnd w:id="3"/>
      <w:bookmarkEnd w:id="4"/>
    </w:p>
    <w:p w14:paraId="451E809E" w14:textId="3BC384B2" w:rsidR="000257DA" w:rsidRPr="00DD5983" w:rsidRDefault="000257DA" w:rsidP="000257DA">
      <w:pPr>
        <w:pStyle w:val="BodyText1"/>
        <w:rPr>
          <w:rFonts w:cs="Arial"/>
          <w:sz w:val="24"/>
          <w:szCs w:val="24"/>
          <w:lang w:val="en-AU"/>
        </w:rPr>
      </w:pPr>
      <w:r w:rsidRPr="00DD5983">
        <w:rPr>
          <w:rFonts w:cs="Arial"/>
          <w:sz w:val="24"/>
          <w:szCs w:val="24"/>
          <w:lang w:val="en-AU"/>
        </w:rPr>
        <w:t xml:space="preserve">The results show growth in the aggregate financial performance of </w:t>
      </w:r>
      <w:r w:rsidR="009D6858" w:rsidRPr="00DD5983">
        <w:rPr>
          <w:rFonts w:cs="Arial"/>
          <w:sz w:val="24"/>
          <w:szCs w:val="24"/>
          <w:lang w:val="en-AU"/>
        </w:rPr>
        <w:t>the cohort examined</w:t>
      </w:r>
      <w:r w:rsidR="00880D72" w:rsidRPr="00DD5983">
        <w:rPr>
          <w:rFonts w:cs="Arial"/>
          <w:sz w:val="24"/>
          <w:szCs w:val="24"/>
          <w:lang w:val="en-AU"/>
        </w:rPr>
        <w:t xml:space="preserve"> </w:t>
      </w:r>
      <w:r w:rsidR="006612B5" w:rsidRPr="00DD5983">
        <w:rPr>
          <w:rFonts w:cs="Arial"/>
          <w:sz w:val="24"/>
          <w:szCs w:val="24"/>
          <w:lang w:val="en-AU"/>
        </w:rPr>
        <w:t>which</w:t>
      </w:r>
      <w:r w:rsidR="00880D72" w:rsidRPr="00DD5983">
        <w:rPr>
          <w:rFonts w:cs="Arial"/>
          <w:sz w:val="24"/>
          <w:szCs w:val="24"/>
          <w:lang w:val="en-AU"/>
        </w:rPr>
        <w:t xml:space="preserve"> </w:t>
      </w:r>
      <w:r w:rsidRPr="00DD5983">
        <w:rPr>
          <w:rFonts w:cs="Arial"/>
          <w:sz w:val="24"/>
          <w:szCs w:val="24"/>
          <w:lang w:val="en-AU"/>
        </w:rPr>
        <w:t>is the result of some organisations ge</w:t>
      </w:r>
      <w:r w:rsidR="009E7D9E" w:rsidRPr="00DD5983">
        <w:rPr>
          <w:rFonts w:cs="Arial"/>
          <w:sz w:val="24"/>
          <w:szCs w:val="24"/>
          <w:lang w:val="en-AU"/>
        </w:rPr>
        <w:t xml:space="preserve">tting </w:t>
      </w:r>
      <w:r w:rsidR="009D6858" w:rsidRPr="00DD5983">
        <w:rPr>
          <w:rFonts w:cs="Arial"/>
          <w:sz w:val="24"/>
          <w:szCs w:val="24"/>
          <w:lang w:val="en-AU"/>
        </w:rPr>
        <w:t xml:space="preserve">financially </w:t>
      </w:r>
      <w:r w:rsidR="009E7D9E" w:rsidRPr="00DD5983">
        <w:rPr>
          <w:rFonts w:cs="Arial"/>
          <w:sz w:val="24"/>
          <w:szCs w:val="24"/>
          <w:lang w:val="en-AU"/>
        </w:rPr>
        <w:t xml:space="preserve">stronger and some </w:t>
      </w:r>
      <w:r w:rsidR="009D6858" w:rsidRPr="00DD5983">
        <w:rPr>
          <w:rFonts w:cs="Arial"/>
          <w:sz w:val="24"/>
          <w:szCs w:val="24"/>
          <w:lang w:val="en-AU"/>
        </w:rPr>
        <w:t xml:space="preserve">getting </w:t>
      </w:r>
      <w:r w:rsidR="009E7D9E" w:rsidRPr="00DD5983">
        <w:rPr>
          <w:rFonts w:cs="Arial"/>
          <w:sz w:val="24"/>
          <w:szCs w:val="24"/>
          <w:lang w:val="en-AU"/>
        </w:rPr>
        <w:t>weaker.</w:t>
      </w:r>
      <w:r w:rsidR="00913A85" w:rsidRPr="00DD5983">
        <w:rPr>
          <w:rFonts w:cs="Arial"/>
          <w:sz w:val="24"/>
          <w:szCs w:val="24"/>
          <w:lang w:val="en-AU"/>
        </w:rPr>
        <w:t xml:space="preserve">  As this is only the second year of the study, it is too early to determine if the findings are indicative of trends.</w:t>
      </w:r>
    </w:p>
    <w:p w14:paraId="3E3916C0" w14:textId="3EEBFF0D" w:rsidR="000257DA" w:rsidRPr="00DD5983" w:rsidRDefault="009D6858" w:rsidP="000257DA">
      <w:pPr>
        <w:pStyle w:val="BodyText1"/>
        <w:rPr>
          <w:rFonts w:cs="Arial"/>
          <w:sz w:val="24"/>
          <w:szCs w:val="24"/>
          <w:lang w:val="en-AU"/>
        </w:rPr>
      </w:pPr>
      <w:r w:rsidRPr="00DD5983">
        <w:rPr>
          <w:rFonts w:cs="Arial"/>
          <w:b/>
          <w:sz w:val="24"/>
          <w:szCs w:val="24"/>
          <w:lang w:val="en-AU"/>
        </w:rPr>
        <w:t>Aggregate</w:t>
      </w:r>
      <w:r w:rsidR="000257DA" w:rsidRPr="00DD5983">
        <w:rPr>
          <w:rFonts w:cs="Arial"/>
          <w:b/>
          <w:sz w:val="24"/>
          <w:szCs w:val="24"/>
          <w:lang w:val="en-AU"/>
        </w:rPr>
        <w:t xml:space="preserve"> financial performance</w:t>
      </w:r>
    </w:p>
    <w:p w14:paraId="2F2A9187" w14:textId="77777777" w:rsidR="000257DA" w:rsidRPr="00DD5983" w:rsidRDefault="000257DA" w:rsidP="000257DA">
      <w:pPr>
        <w:pStyle w:val="BodyText1"/>
        <w:numPr>
          <w:ilvl w:val="0"/>
          <w:numId w:val="38"/>
        </w:numPr>
        <w:rPr>
          <w:rFonts w:cs="Arial"/>
          <w:sz w:val="24"/>
          <w:szCs w:val="24"/>
        </w:rPr>
      </w:pPr>
      <w:r w:rsidRPr="00DD5983">
        <w:rPr>
          <w:rFonts w:cs="Arial"/>
          <w:sz w:val="24"/>
          <w:szCs w:val="24"/>
        </w:rPr>
        <w:t>Between 2014/15 and 2015/16, the total income for the Panel increased by $220.5m (9.2%) to reach $2,623m. As such, these 154 organisations alone represent a significant economic group.</w:t>
      </w:r>
    </w:p>
    <w:p w14:paraId="0F1DB05A" w14:textId="057C53C7" w:rsidR="000257DA" w:rsidRPr="00DD5983" w:rsidRDefault="00BB1552" w:rsidP="000257DA">
      <w:pPr>
        <w:pStyle w:val="BodyText1"/>
        <w:numPr>
          <w:ilvl w:val="0"/>
          <w:numId w:val="38"/>
        </w:numPr>
        <w:rPr>
          <w:rFonts w:cs="Arial"/>
          <w:sz w:val="24"/>
          <w:szCs w:val="24"/>
        </w:rPr>
      </w:pPr>
      <w:r w:rsidRPr="00DD5983">
        <w:rPr>
          <w:rFonts w:cs="Arial"/>
          <w:sz w:val="24"/>
          <w:szCs w:val="24"/>
        </w:rPr>
        <w:t>Aggregate i</w:t>
      </w:r>
      <w:r w:rsidR="000257DA" w:rsidRPr="00DD5983">
        <w:rPr>
          <w:rFonts w:cs="Arial"/>
          <w:sz w:val="24"/>
          <w:szCs w:val="24"/>
        </w:rPr>
        <w:t>ncome from NDIS increased by $40.4m to $77.9m.  Although this represented an increase of 108%, NDIS sourced income represented only 3% of total income</w:t>
      </w:r>
      <w:r w:rsidR="00880D72" w:rsidRPr="00DD5983">
        <w:rPr>
          <w:rFonts w:cs="Arial"/>
          <w:sz w:val="24"/>
          <w:szCs w:val="24"/>
        </w:rPr>
        <w:t xml:space="preserve"> in 2015/16</w:t>
      </w:r>
      <w:r w:rsidR="000257DA" w:rsidRPr="00DD5983">
        <w:rPr>
          <w:rFonts w:cs="Arial"/>
          <w:sz w:val="24"/>
          <w:szCs w:val="24"/>
        </w:rPr>
        <w:t>.  The growth of income from States and Territories by $111.2m was more than double the growth in NDIS</w:t>
      </w:r>
      <w:r w:rsidR="00222802" w:rsidRPr="00DD5983">
        <w:rPr>
          <w:rFonts w:cs="Arial"/>
          <w:sz w:val="24"/>
          <w:szCs w:val="24"/>
        </w:rPr>
        <w:t>-</w:t>
      </w:r>
      <w:r w:rsidR="00880D72" w:rsidRPr="00DD5983">
        <w:rPr>
          <w:rFonts w:cs="Arial"/>
          <w:sz w:val="24"/>
          <w:szCs w:val="24"/>
        </w:rPr>
        <w:t>sourced</w:t>
      </w:r>
      <w:r w:rsidR="000257DA" w:rsidRPr="00DD5983">
        <w:rPr>
          <w:rFonts w:cs="Arial"/>
          <w:sz w:val="24"/>
          <w:szCs w:val="24"/>
        </w:rPr>
        <w:t xml:space="preserve"> income. </w:t>
      </w:r>
    </w:p>
    <w:p w14:paraId="7196D6E7" w14:textId="28865494" w:rsidR="000257DA" w:rsidRPr="00DD5983" w:rsidRDefault="00BB1552" w:rsidP="000257DA">
      <w:pPr>
        <w:pStyle w:val="BodyText1"/>
        <w:numPr>
          <w:ilvl w:val="0"/>
          <w:numId w:val="38"/>
        </w:numPr>
        <w:rPr>
          <w:rFonts w:cs="Arial"/>
          <w:sz w:val="24"/>
          <w:szCs w:val="24"/>
          <w:lang w:val="en-AU"/>
        </w:rPr>
      </w:pPr>
      <w:r w:rsidRPr="00DD5983">
        <w:rPr>
          <w:rFonts w:cs="Arial"/>
          <w:sz w:val="24"/>
          <w:szCs w:val="24"/>
          <w:lang w:val="en-AU"/>
        </w:rPr>
        <w:t>Aggregate t</w:t>
      </w:r>
      <w:r w:rsidR="000257DA" w:rsidRPr="00DD5983">
        <w:rPr>
          <w:rFonts w:cs="Arial"/>
          <w:sz w:val="24"/>
          <w:szCs w:val="24"/>
          <w:lang w:val="en-AU"/>
        </w:rPr>
        <w:t>otal expenses increased by $</w:t>
      </w:r>
      <w:r w:rsidR="000257DA" w:rsidRPr="00DD5983">
        <w:rPr>
          <w:rFonts w:cs="Arial"/>
          <w:sz w:val="24"/>
          <w:szCs w:val="24"/>
        </w:rPr>
        <w:t>193.1m or 8.3% to reach $2,507m</w:t>
      </w:r>
      <w:r w:rsidR="000257DA" w:rsidRPr="00DD5983">
        <w:rPr>
          <w:rFonts w:cs="Arial"/>
          <w:sz w:val="24"/>
          <w:szCs w:val="24"/>
          <w:lang w:val="en-AU"/>
        </w:rPr>
        <w:t>. Employee expenses continued to represent approximately 71% of total expenditure.</w:t>
      </w:r>
    </w:p>
    <w:p w14:paraId="42BF4591" w14:textId="37038C30"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Aggregate profit grew by $27.4m</w:t>
      </w:r>
      <w:r w:rsidR="00BB1552" w:rsidRPr="00DD5983">
        <w:rPr>
          <w:rFonts w:cs="Arial"/>
          <w:sz w:val="24"/>
          <w:szCs w:val="24"/>
          <w:lang w:val="en-AU"/>
        </w:rPr>
        <w:t xml:space="preserve"> or from</w:t>
      </w:r>
      <w:r w:rsidRPr="00DD5983">
        <w:rPr>
          <w:rFonts w:cs="Arial"/>
          <w:sz w:val="24"/>
          <w:szCs w:val="24"/>
          <w:lang w:val="en-AU"/>
        </w:rPr>
        <w:t xml:space="preserve"> $88.0m (3.6%) to $115.4m (4.4%). </w:t>
      </w:r>
    </w:p>
    <w:p w14:paraId="108A6001" w14:textId="34F7ACD8" w:rsidR="00C6314D" w:rsidRPr="00DD5983" w:rsidRDefault="00C6314D" w:rsidP="00C6314D">
      <w:pPr>
        <w:pStyle w:val="BodyText1"/>
        <w:numPr>
          <w:ilvl w:val="0"/>
          <w:numId w:val="38"/>
        </w:numPr>
        <w:rPr>
          <w:rFonts w:cs="Arial"/>
          <w:sz w:val="24"/>
          <w:szCs w:val="24"/>
        </w:rPr>
      </w:pPr>
      <w:r w:rsidRPr="00DD5983">
        <w:rPr>
          <w:rFonts w:cs="Arial"/>
          <w:sz w:val="24"/>
          <w:szCs w:val="24"/>
        </w:rPr>
        <w:t xml:space="preserve">Donations and bequests are a significant contributor to sector income and profit.  Aggregate donations and bequests represented 3.1% or $82m of total income in 2015/16. When </w:t>
      </w:r>
      <w:r w:rsidRPr="00DD5983">
        <w:rPr>
          <w:rFonts w:cs="Arial"/>
          <w:sz w:val="24"/>
          <w:szCs w:val="24"/>
          <w:lang w:val="en-AU"/>
        </w:rPr>
        <w:t>donations and bequests, are removed, aggregate Net Profit was $12.5m (0.5%) growing to $33m (1.3%) in 2015/16.</w:t>
      </w:r>
      <w:r w:rsidR="00222802" w:rsidRPr="00DD5983">
        <w:rPr>
          <w:rFonts w:cs="Arial"/>
          <w:sz w:val="24"/>
          <w:szCs w:val="24"/>
          <w:lang w:val="en-AU"/>
        </w:rPr>
        <w:t xml:space="preserve"> A reliance by some organisations on this resource adds risk to service provision.</w:t>
      </w:r>
    </w:p>
    <w:p w14:paraId="3EDCB566" w14:textId="77777777"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Median profit declined from 3.9% to 3.8%</w:t>
      </w:r>
    </w:p>
    <w:p w14:paraId="3427EF35" w14:textId="16776AAE"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While overall profits showed good growth, disaggregation of the data shows that the profits achieved is not uniform across all size cohorts. In 2014/15</w:t>
      </w:r>
      <w:r w:rsidR="006616F4" w:rsidRPr="00DD5983">
        <w:rPr>
          <w:rFonts w:cs="Arial"/>
          <w:sz w:val="24"/>
          <w:szCs w:val="24"/>
          <w:lang w:val="en-AU"/>
        </w:rPr>
        <w:t>, for example,</w:t>
      </w:r>
      <w:r w:rsidRPr="00DD5983">
        <w:rPr>
          <w:rFonts w:cs="Arial"/>
          <w:sz w:val="24"/>
          <w:szCs w:val="24"/>
          <w:lang w:val="en-AU"/>
        </w:rPr>
        <w:t xml:space="preserve"> the median profit ratio of Very Small organisations (under $1m in income) was 6.3% whereas the median profit of Large organisations was 2.8%.  This data challenge</w:t>
      </w:r>
      <w:r w:rsidR="00C6314D" w:rsidRPr="00DD5983">
        <w:rPr>
          <w:rFonts w:cs="Arial"/>
          <w:sz w:val="24"/>
          <w:szCs w:val="24"/>
          <w:lang w:val="en-AU"/>
        </w:rPr>
        <w:t>s</w:t>
      </w:r>
      <w:r w:rsidRPr="00DD5983">
        <w:rPr>
          <w:rFonts w:cs="Arial"/>
          <w:sz w:val="24"/>
          <w:szCs w:val="24"/>
          <w:lang w:val="en-AU"/>
        </w:rPr>
        <w:t xml:space="preserve"> commonly held beliefs about larger organisations being more efficient.</w:t>
      </w:r>
    </w:p>
    <w:p w14:paraId="7B10A655" w14:textId="6DBB10A6"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In 2015/16, there was less variation in median profit across the size cohorts. The median profit of Very Small organisations declined to 4.0% and that of Large organisations increased to 3.6% (still lower than the profit margins achieved by the smaller organisation</w:t>
      </w:r>
      <w:r w:rsidR="006616F4" w:rsidRPr="00DD5983">
        <w:rPr>
          <w:rFonts w:cs="Arial"/>
          <w:sz w:val="24"/>
          <w:szCs w:val="24"/>
          <w:lang w:val="en-AU"/>
        </w:rPr>
        <w:t>s</w:t>
      </w:r>
      <w:r w:rsidRPr="00DD5983">
        <w:rPr>
          <w:rFonts w:cs="Arial"/>
          <w:sz w:val="24"/>
          <w:szCs w:val="24"/>
          <w:lang w:val="en-AU"/>
        </w:rPr>
        <w:t>).  As large organisations account for 68% of total income, it is their growth in profitability that accounted for the</w:t>
      </w:r>
      <w:r w:rsidR="006616F4" w:rsidRPr="00DD5983">
        <w:rPr>
          <w:rFonts w:cs="Arial"/>
          <w:sz w:val="24"/>
          <w:szCs w:val="24"/>
          <w:lang w:val="en-AU"/>
        </w:rPr>
        <w:t xml:space="preserve"> majority</w:t>
      </w:r>
      <w:r w:rsidRPr="00DD5983">
        <w:rPr>
          <w:rFonts w:cs="Arial"/>
          <w:sz w:val="24"/>
          <w:szCs w:val="24"/>
          <w:lang w:val="en-AU"/>
        </w:rPr>
        <w:t xml:space="preserve"> increase in overall profits. </w:t>
      </w:r>
    </w:p>
    <w:p w14:paraId="48CA022A" w14:textId="77777777"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 xml:space="preserve">The variation between higher and lower performing organisations is evident in the number of organisations making a profit or loss.  In 2014/15, 18 organisations made a loss, but this increased to 26 in 2015/16. </w:t>
      </w:r>
    </w:p>
    <w:p w14:paraId="08C1E5B2" w14:textId="3F51DB32" w:rsidR="000257DA" w:rsidRPr="00DD5983" w:rsidRDefault="000257DA" w:rsidP="000257DA">
      <w:pPr>
        <w:pStyle w:val="BodyText1"/>
        <w:numPr>
          <w:ilvl w:val="0"/>
          <w:numId w:val="37"/>
        </w:numPr>
        <w:rPr>
          <w:rFonts w:cs="Arial"/>
          <w:sz w:val="24"/>
          <w:szCs w:val="24"/>
          <w:lang w:val="en-AU"/>
        </w:rPr>
      </w:pPr>
      <w:r w:rsidRPr="00DD5983">
        <w:rPr>
          <w:rFonts w:cs="Arial"/>
          <w:sz w:val="24"/>
          <w:szCs w:val="24"/>
        </w:rPr>
        <w:t>The total assets of the Panel increased by $159m to $1,896m and total liabilities increased by $</w:t>
      </w:r>
      <w:r w:rsidR="00067C13" w:rsidRPr="00DD5983">
        <w:rPr>
          <w:rFonts w:cs="Arial"/>
          <w:sz w:val="24"/>
          <w:szCs w:val="24"/>
        </w:rPr>
        <w:t xml:space="preserve">41.6m </w:t>
      </w:r>
      <w:r w:rsidRPr="00DD5983">
        <w:rPr>
          <w:rFonts w:cs="Arial"/>
          <w:sz w:val="24"/>
          <w:szCs w:val="24"/>
        </w:rPr>
        <w:t xml:space="preserve">to $685m. As a result, net assets grew by $125m (10.2%) in the 2015/16 year to reach $1.35bn. </w:t>
      </w:r>
      <w:r w:rsidRPr="00DD5983">
        <w:rPr>
          <w:rFonts w:cs="Arial"/>
          <w:sz w:val="24"/>
          <w:szCs w:val="24"/>
          <w:lang w:val="en-AU"/>
        </w:rPr>
        <w:t xml:space="preserve"> This a is a positive result for the Panel and indicates efficient use of resources.  However, some of this growth may be due to </w:t>
      </w:r>
      <w:r w:rsidR="004D4D8C" w:rsidRPr="00DD5983">
        <w:rPr>
          <w:rFonts w:cs="Arial"/>
          <w:sz w:val="24"/>
          <w:szCs w:val="24"/>
          <w:lang w:val="en-AU"/>
        </w:rPr>
        <w:t xml:space="preserve">specific-purpose </w:t>
      </w:r>
      <w:r w:rsidRPr="00DD5983">
        <w:rPr>
          <w:rFonts w:cs="Arial"/>
          <w:sz w:val="24"/>
          <w:szCs w:val="24"/>
          <w:lang w:val="en-AU"/>
        </w:rPr>
        <w:t xml:space="preserve">donations </w:t>
      </w:r>
      <w:r w:rsidR="004D4D8C" w:rsidRPr="00DD5983">
        <w:rPr>
          <w:rFonts w:cs="Arial"/>
          <w:sz w:val="24"/>
          <w:szCs w:val="24"/>
          <w:lang w:val="en-AU"/>
        </w:rPr>
        <w:t xml:space="preserve">being differently disclosed, operating assets being purchased </w:t>
      </w:r>
      <w:r w:rsidRPr="00DD5983">
        <w:rPr>
          <w:rFonts w:cs="Arial"/>
          <w:sz w:val="24"/>
          <w:szCs w:val="24"/>
          <w:lang w:val="en-AU"/>
        </w:rPr>
        <w:t>and/or asset revaluation</w:t>
      </w:r>
      <w:r w:rsidR="004D4D8C" w:rsidRPr="00DD5983">
        <w:rPr>
          <w:rFonts w:cs="Arial"/>
          <w:sz w:val="24"/>
          <w:szCs w:val="24"/>
          <w:lang w:val="en-AU"/>
        </w:rPr>
        <w:t>.</w:t>
      </w:r>
    </w:p>
    <w:p w14:paraId="11958860" w14:textId="77777777" w:rsidR="000257DA" w:rsidRPr="00DD5983" w:rsidRDefault="000257DA" w:rsidP="000257DA">
      <w:pPr>
        <w:pStyle w:val="BodyText1"/>
        <w:numPr>
          <w:ilvl w:val="0"/>
          <w:numId w:val="37"/>
        </w:numPr>
        <w:rPr>
          <w:rFonts w:cs="Arial"/>
          <w:sz w:val="24"/>
          <w:szCs w:val="24"/>
          <w:lang w:val="en-AU"/>
        </w:rPr>
      </w:pPr>
      <w:r w:rsidRPr="00DD5983">
        <w:rPr>
          <w:rFonts w:cs="Arial"/>
          <w:sz w:val="24"/>
          <w:szCs w:val="24"/>
        </w:rPr>
        <w:t>Panel members’ rating of their organisation’s financial performance declined. In 2014/15 two thirds of Panel members rated their organisation as strong or very strong, but this dropped to 44% in 2015/16.  Optimism about their future financial performance was also weaker.</w:t>
      </w:r>
    </w:p>
    <w:p w14:paraId="309D92E2" w14:textId="77777777" w:rsidR="000257DA" w:rsidRPr="00DD5983" w:rsidRDefault="000257DA" w:rsidP="000257DA">
      <w:pPr>
        <w:pStyle w:val="BodyText1"/>
        <w:rPr>
          <w:rFonts w:cs="Arial"/>
          <w:b/>
          <w:sz w:val="24"/>
          <w:szCs w:val="24"/>
          <w:lang w:val="en-AU"/>
        </w:rPr>
      </w:pPr>
      <w:r w:rsidRPr="00DD5983">
        <w:rPr>
          <w:rFonts w:cs="Arial"/>
          <w:b/>
          <w:sz w:val="24"/>
          <w:szCs w:val="24"/>
          <w:lang w:val="en-AU"/>
        </w:rPr>
        <w:t>Disability services financial performance</w:t>
      </w:r>
    </w:p>
    <w:p w14:paraId="2818B0EF" w14:textId="3F1B31AB"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 xml:space="preserve">Total income from the provision of disability service increased </w:t>
      </w:r>
      <w:r w:rsidRPr="00DD5983">
        <w:rPr>
          <w:rFonts w:cs="Arial"/>
          <w:sz w:val="24"/>
          <w:szCs w:val="24"/>
        </w:rPr>
        <w:t xml:space="preserve">from $1,818m to $2,030m, a growth of $212.5m or 11.7%. </w:t>
      </w:r>
      <w:r w:rsidRPr="00DD5983">
        <w:rPr>
          <w:rFonts w:cs="Arial"/>
          <w:sz w:val="24"/>
          <w:szCs w:val="24"/>
          <w:lang w:val="en-AU"/>
        </w:rPr>
        <w:t xml:space="preserve"> The majority of this increase ($104m) was the result of an increase in income from State and Territory governments.  (As mentioned above, NDIS income increased by $40.4m).</w:t>
      </w:r>
    </w:p>
    <w:p w14:paraId="56488994" w14:textId="302E002A" w:rsidR="000257DA" w:rsidRPr="00DD5983" w:rsidRDefault="000257DA" w:rsidP="000257DA">
      <w:pPr>
        <w:pStyle w:val="BodyText1"/>
        <w:numPr>
          <w:ilvl w:val="0"/>
          <w:numId w:val="38"/>
        </w:numPr>
        <w:rPr>
          <w:rFonts w:cs="Arial"/>
          <w:sz w:val="24"/>
          <w:szCs w:val="24"/>
          <w:lang w:val="en-AU"/>
        </w:rPr>
      </w:pPr>
      <w:r w:rsidRPr="00DD5983">
        <w:rPr>
          <w:rFonts w:cs="Arial"/>
          <w:sz w:val="24"/>
          <w:szCs w:val="24"/>
          <w:lang w:val="en-AU"/>
        </w:rPr>
        <w:t xml:space="preserve">Total disability expenditure increased from $1,738.7m to $1,958.9m an increase of </w:t>
      </w:r>
      <w:r w:rsidR="004D4D8C" w:rsidRPr="00DD5983">
        <w:rPr>
          <w:rFonts w:cs="Arial"/>
          <w:sz w:val="24"/>
          <w:szCs w:val="24"/>
          <w:lang w:val="en-AU"/>
        </w:rPr>
        <w:t>$</w:t>
      </w:r>
      <w:r w:rsidRPr="00DD5983">
        <w:rPr>
          <w:rFonts w:cs="Arial"/>
          <w:sz w:val="24"/>
          <w:szCs w:val="24"/>
          <w:lang w:val="en-AU"/>
        </w:rPr>
        <w:t>220.2m or 12.7%.  Growth in Employee Expenses accounted for most of this increase, but employee costs increased proportionately and remained at approximately 70% of total expenses.</w:t>
      </w:r>
    </w:p>
    <w:p w14:paraId="37D2DAEB" w14:textId="4252D625" w:rsidR="000257DA" w:rsidRPr="00DD5983" w:rsidRDefault="000257DA" w:rsidP="000257DA">
      <w:pPr>
        <w:pStyle w:val="BodyText1"/>
        <w:numPr>
          <w:ilvl w:val="0"/>
          <w:numId w:val="38"/>
        </w:numPr>
        <w:rPr>
          <w:rFonts w:cs="Arial"/>
          <w:b/>
          <w:sz w:val="24"/>
          <w:szCs w:val="24"/>
          <w:lang w:val="en-AU"/>
        </w:rPr>
      </w:pPr>
      <w:r w:rsidRPr="00DD5983">
        <w:rPr>
          <w:rFonts w:cs="Arial"/>
          <w:b/>
          <w:sz w:val="24"/>
          <w:szCs w:val="24"/>
          <w:lang w:val="en-AU"/>
        </w:rPr>
        <w:t xml:space="preserve">As the rate of growth in disability income was lower than the grown in disability services expenses, profit declined in absolute terms from $79.5m to </w:t>
      </w:r>
      <w:r w:rsidR="004D4D8C" w:rsidRPr="00DD5983">
        <w:rPr>
          <w:rFonts w:cs="Arial"/>
          <w:b/>
          <w:sz w:val="24"/>
          <w:szCs w:val="24"/>
          <w:lang w:val="en-AU"/>
        </w:rPr>
        <w:t>$</w:t>
      </w:r>
      <w:r w:rsidRPr="00DD5983">
        <w:rPr>
          <w:rFonts w:cs="Arial"/>
          <w:b/>
          <w:sz w:val="24"/>
          <w:szCs w:val="24"/>
          <w:lang w:val="en-AU"/>
        </w:rPr>
        <w:t xml:space="preserve">71.8m, a drop of $7.7m.   This represents a </w:t>
      </w:r>
      <w:r w:rsidR="004D4D8C" w:rsidRPr="00DD5983">
        <w:rPr>
          <w:rFonts w:cs="Arial"/>
          <w:b/>
          <w:sz w:val="24"/>
          <w:szCs w:val="24"/>
          <w:lang w:val="en-AU"/>
        </w:rPr>
        <w:t xml:space="preserve">fall </w:t>
      </w:r>
      <w:r w:rsidRPr="00DD5983">
        <w:rPr>
          <w:rFonts w:cs="Arial"/>
          <w:b/>
          <w:sz w:val="24"/>
          <w:szCs w:val="24"/>
          <w:lang w:val="en-AU"/>
        </w:rPr>
        <w:t>in profit margin from 4.4% to 3.5%</w:t>
      </w:r>
    </w:p>
    <w:p w14:paraId="2F252F48" w14:textId="10539843" w:rsidR="000257DA" w:rsidRPr="00DD5983" w:rsidRDefault="000257DA" w:rsidP="000257DA">
      <w:pPr>
        <w:pStyle w:val="BodyText1"/>
        <w:numPr>
          <w:ilvl w:val="0"/>
          <w:numId w:val="38"/>
        </w:numPr>
        <w:rPr>
          <w:rFonts w:cs="Arial"/>
          <w:b/>
          <w:sz w:val="24"/>
          <w:szCs w:val="24"/>
          <w:lang w:val="en-AU"/>
        </w:rPr>
      </w:pPr>
      <w:r w:rsidRPr="00DD5983">
        <w:rPr>
          <w:rFonts w:cs="Arial"/>
          <w:b/>
          <w:sz w:val="24"/>
          <w:szCs w:val="24"/>
          <w:lang w:val="en-AU"/>
        </w:rPr>
        <w:t>The median profit ratio from the provision of disability services remained at 2.1% for Large organisations, but declined across all other size cohorts.</w:t>
      </w:r>
    </w:p>
    <w:p w14:paraId="4093A2B1" w14:textId="77777777" w:rsidR="000257DA" w:rsidRPr="00DD5983" w:rsidRDefault="000257DA" w:rsidP="000257DA">
      <w:pPr>
        <w:pStyle w:val="BodyText1"/>
        <w:numPr>
          <w:ilvl w:val="0"/>
          <w:numId w:val="38"/>
        </w:numPr>
        <w:rPr>
          <w:rFonts w:cs="Arial"/>
          <w:b/>
          <w:sz w:val="24"/>
          <w:szCs w:val="24"/>
          <w:lang w:val="en-AU"/>
        </w:rPr>
      </w:pPr>
      <w:r w:rsidRPr="00DD5983">
        <w:rPr>
          <w:rFonts w:cs="Arial"/>
          <w:b/>
          <w:sz w:val="24"/>
          <w:szCs w:val="24"/>
          <w:lang w:val="en-AU"/>
        </w:rPr>
        <w:t xml:space="preserve">Removing disability related donations and bequests, the total profit from the provision of disability services dropped from 2.7% to 0.04%.  </w:t>
      </w:r>
    </w:p>
    <w:p w14:paraId="7AD5295A" w14:textId="398AF29E" w:rsidR="000257DA" w:rsidRPr="00DD5983" w:rsidRDefault="000257DA" w:rsidP="000257DA">
      <w:pPr>
        <w:pStyle w:val="BodyText1"/>
        <w:numPr>
          <w:ilvl w:val="0"/>
          <w:numId w:val="38"/>
        </w:numPr>
        <w:rPr>
          <w:rFonts w:cs="Arial"/>
          <w:sz w:val="24"/>
          <w:szCs w:val="24"/>
        </w:rPr>
      </w:pPr>
      <w:r w:rsidRPr="00DD5983">
        <w:rPr>
          <w:rFonts w:cs="Arial"/>
          <w:sz w:val="24"/>
          <w:szCs w:val="24"/>
        </w:rPr>
        <w:t xml:space="preserve">Nearly three-quarters (73%) of the Panel reported that demand for their disability services increased during 2016, but a third (33%) reported they were unable to satisfy all requests for service. The same proportion (77%) expected demand for their services to increase during 2017 and, again, 32% expected they would not be able to meet demand. </w:t>
      </w:r>
    </w:p>
    <w:p w14:paraId="5EA065B8" w14:textId="77777777" w:rsidR="000257DA" w:rsidRPr="00DD5983" w:rsidRDefault="000257DA" w:rsidP="00DD5983">
      <w:pPr>
        <w:pStyle w:val="Heading2"/>
      </w:pPr>
      <w:bookmarkStart w:id="5" w:name="_Toc489891081"/>
      <w:bookmarkStart w:id="6" w:name="_Toc492645472"/>
      <w:r w:rsidRPr="00DD5983">
        <w:t>Implications</w:t>
      </w:r>
      <w:bookmarkEnd w:id="5"/>
      <w:bookmarkEnd w:id="6"/>
    </w:p>
    <w:p w14:paraId="0AAF10A1" w14:textId="6BCA01D6" w:rsidR="000257DA" w:rsidRPr="00DD5983" w:rsidRDefault="000257DA" w:rsidP="000257DA">
      <w:pPr>
        <w:pStyle w:val="BodyText1"/>
        <w:rPr>
          <w:rFonts w:cs="Arial"/>
          <w:sz w:val="24"/>
          <w:szCs w:val="24"/>
          <w:lang w:val="en-AU"/>
        </w:rPr>
      </w:pPr>
      <w:r w:rsidRPr="00DD5983">
        <w:rPr>
          <w:rFonts w:cs="Arial"/>
          <w:sz w:val="24"/>
          <w:szCs w:val="24"/>
          <w:lang w:val="en-AU"/>
        </w:rPr>
        <w:t>To fulfil the policy objectives of the NDIS, the disability services sector</w:t>
      </w:r>
      <w:r w:rsidR="00150DF0" w:rsidRPr="00DD5983">
        <w:rPr>
          <w:rFonts w:cs="Arial"/>
          <w:sz w:val="24"/>
          <w:szCs w:val="24"/>
          <w:lang w:val="en-AU"/>
        </w:rPr>
        <w:t xml:space="preserve"> </w:t>
      </w:r>
      <w:r w:rsidRPr="00DD5983">
        <w:rPr>
          <w:rFonts w:cs="Arial"/>
          <w:sz w:val="24"/>
          <w:szCs w:val="24"/>
          <w:lang w:val="en-AU"/>
        </w:rPr>
        <w:t>will require:</w:t>
      </w:r>
    </w:p>
    <w:p w14:paraId="791DA336" w14:textId="5FBD0602" w:rsidR="000257DA" w:rsidRPr="00DD5983" w:rsidRDefault="000257DA" w:rsidP="000257DA">
      <w:pPr>
        <w:pStyle w:val="BodyText1"/>
        <w:numPr>
          <w:ilvl w:val="0"/>
          <w:numId w:val="39"/>
        </w:numPr>
        <w:rPr>
          <w:rFonts w:cs="Arial"/>
          <w:sz w:val="24"/>
          <w:szCs w:val="24"/>
          <w:lang w:val="en-AU"/>
        </w:rPr>
      </w:pPr>
      <w:r w:rsidRPr="00DD5983">
        <w:rPr>
          <w:rFonts w:cs="Arial"/>
          <w:sz w:val="24"/>
          <w:szCs w:val="24"/>
          <w:lang w:val="en-AU"/>
        </w:rPr>
        <w:t>Existing providers to</w:t>
      </w:r>
      <w:r w:rsidR="006C203A" w:rsidRPr="00DD5983">
        <w:rPr>
          <w:rFonts w:cs="Arial"/>
          <w:sz w:val="24"/>
          <w:szCs w:val="24"/>
          <w:lang w:val="en-AU"/>
        </w:rPr>
        <w:t xml:space="preserve"> further</w:t>
      </w:r>
      <w:r w:rsidRPr="00DD5983">
        <w:rPr>
          <w:rFonts w:cs="Arial"/>
          <w:sz w:val="24"/>
          <w:szCs w:val="24"/>
          <w:lang w:val="en-AU"/>
        </w:rPr>
        <w:t xml:space="preserve"> transform their business models so they align with the National Disability Insurance Scheme (NDIS) policy, and</w:t>
      </w:r>
    </w:p>
    <w:p w14:paraId="010B4DB3" w14:textId="77777777" w:rsidR="000257DA" w:rsidRPr="00DD5983" w:rsidRDefault="000257DA" w:rsidP="000257DA">
      <w:pPr>
        <w:pStyle w:val="BodyText1"/>
        <w:numPr>
          <w:ilvl w:val="0"/>
          <w:numId w:val="39"/>
        </w:numPr>
        <w:rPr>
          <w:rFonts w:cs="Arial"/>
          <w:sz w:val="24"/>
          <w:szCs w:val="24"/>
          <w:lang w:val="en-AU"/>
        </w:rPr>
      </w:pPr>
      <w:r w:rsidRPr="00DD5983">
        <w:rPr>
          <w:rFonts w:cs="Arial"/>
          <w:sz w:val="24"/>
          <w:szCs w:val="24"/>
          <w:lang w:val="en-AU"/>
        </w:rPr>
        <w:t>Significant growth in capacity - which can be achieve through an increase in the capacity of existing providers and/or from entry of new providers.</w:t>
      </w:r>
    </w:p>
    <w:p w14:paraId="3626084C" w14:textId="43FE319E" w:rsidR="007B7565" w:rsidRPr="00DD5983" w:rsidRDefault="001725B7" w:rsidP="007B7565">
      <w:pPr>
        <w:pStyle w:val="BodyText1"/>
        <w:rPr>
          <w:rFonts w:cs="Arial"/>
          <w:sz w:val="24"/>
          <w:szCs w:val="24"/>
          <w:lang w:val="en-AU"/>
        </w:rPr>
      </w:pPr>
      <w:r w:rsidRPr="00DD5983">
        <w:rPr>
          <w:rFonts w:cs="Arial"/>
          <w:sz w:val="24"/>
          <w:szCs w:val="24"/>
          <w:lang w:val="en-AU"/>
        </w:rPr>
        <w:t>Both transition and growth require the investment of resources and t</w:t>
      </w:r>
      <w:r w:rsidR="007B7565" w:rsidRPr="00DD5983">
        <w:rPr>
          <w:rFonts w:cs="Arial"/>
          <w:sz w:val="24"/>
          <w:szCs w:val="24"/>
          <w:lang w:val="en-AU"/>
        </w:rPr>
        <w:t xml:space="preserve">hese dual pressures are amplifying the change, the risks and the related costs. This is reflected in the results from this study. </w:t>
      </w:r>
    </w:p>
    <w:p w14:paraId="29B081E7" w14:textId="2342AD85" w:rsidR="000257DA" w:rsidRPr="00DD5983" w:rsidRDefault="000257DA" w:rsidP="000257DA">
      <w:pPr>
        <w:pStyle w:val="BodyText1"/>
        <w:rPr>
          <w:rFonts w:cs="Arial"/>
          <w:sz w:val="24"/>
          <w:szCs w:val="24"/>
          <w:lang w:val="en-AU"/>
        </w:rPr>
      </w:pPr>
      <w:r w:rsidRPr="00DD5983">
        <w:rPr>
          <w:rFonts w:cs="Arial"/>
          <w:sz w:val="24"/>
          <w:szCs w:val="24"/>
          <w:lang w:val="en-AU"/>
        </w:rPr>
        <w:t>Panel members reported that</w:t>
      </w:r>
      <w:r w:rsidR="001725B7" w:rsidRPr="00DD5983">
        <w:rPr>
          <w:rFonts w:cs="Arial"/>
          <w:sz w:val="24"/>
          <w:szCs w:val="24"/>
          <w:lang w:val="en-AU"/>
        </w:rPr>
        <w:t xml:space="preserve"> their investment in transitions includes the costs of restructuring of </w:t>
      </w:r>
      <w:r w:rsidRPr="00DD5983">
        <w:rPr>
          <w:rFonts w:cs="Arial"/>
          <w:sz w:val="24"/>
          <w:szCs w:val="24"/>
          <w:lang w:val="en-AU"/>
        </w:rPr>
        <w:t>their workforce, pur</w:t>
      </w:r>
      <w:r w:rsidR="0040180D" w:rsidRPr="00DD5983">
        <w:rPr>
          <w:rFonts w:cs="Arial"/>
          <w:sz w:val="24"/>
          <w:szCs w:val="24"/>
          <w:lang w:val="en-AU"/>
        </w:rPr>
        <w:t>chasing new information systems and</w:t>
      </w:r>
      <w:r w:rsidRPr="00DD5983">
        <w:rPr>
          <w:rFonts w:cs="Arial"/>
          <w:sz w:val="24"/>
          <w:szCs w:val="24"/>
          <w:lang w:val="en-AU"/>
        </w:rPr>
        <w:t xml:space="preserve"> training staff for new working environments</w:t>
      </w:r>
      <w:r w:rsidR="0040180D" w:rsidRPr="00DD5983">
        <w:rPr>
          <w:rFonts w:cs="Arial"/>
          <w:sz w:val="24"/>
          <w:szCs w:val="24"/>
          <w:lang w:val="en-AU"/>
        </w:rPr>
        <w:t>.  They are also investing resources</w:t>
      </w:r>
      <w:r w:rsidRPr="00DD5983">
        <w:rPr>
          <w:rFonts w:cs="Arial"/>
          <w:sz w:val="24"/>
          <w:szCs w:val="24"/>
          <w:lang w:val="en-AU"/>
        </w:rPr>
        <w:t xml:space="preserve"> in supporting </w:t>
      </w:r>
      <w:r w:rsidR="0040180D" w:rsidRPr="00DD5983">
        <w:rPr>
          <w:rFonts w:cs="Arial"/>
          <w:sz w:val="24"/>
          <w:szCs w:val="24"/>
          <w:lang w:val="en-AU"/>
        </w:rPr>
        <w:t xml:space="preserve">their </w:t>
      </w:r>
      <w:r w:rsidRPr="00DD5983">
        <w:rPr>
          <w:rFonts w:cs="Arial"/>
          <w:sz w:val="24"/>
          <w:szCs w:val="24"/>
          <w:lang w:val="en-AU"/>
        </w:rPr>
        <w:t xml:space="preserve">clients </w:t>
      </w:r>
      <w:r w:rsidR="0040180D" w:rsidRPr="00DD5983">
        <w:rPr>
          <w:rFonts w:cs="Arial"/>
          <w:sz w:val="24"/>
          <w:szCs w:val="24"/>
          <w:lang w:val="en-AU"/>
        </w:rPr>
        <w:t>transition to the NDIS.</w:t>
      </w:r>
      <w:r w:rsidRPr="00DD5983">
        <w:rPr>
          <w:rFonts w:cs="Arial"/>
          <w:sz w:val="24"/>
          <w:szCs w:val="24"/>
          <w:lang w:val="en-AU"/>
        </w:rPr>
        <w:t xml:space="preserve"> </w:t>
      </w:r>
    </w:p>
    <w:p w14:paraId="340A7669" w14:textId="19942C54" w:rsidR="007B7565" w:rsidRPr="00DD5983" w:rsidRDefault="00173681" w:rsidP="000257DA">
      <w:pPr>
        <w:pStyle w:val="BodyText1"/>
        <w:rPr>
          <w:rFonts w:cs="Arial"/>
          <w:sz w:val="24"/>
          <w:szCs w:val="24"/>
          <w:lang w:val="en-AU"/>
        </w:rPr>
      </w:pPr>
      <w:r w:rsidRPr="00DD5983">
        <w:rPr>
          <w:rFonts w:cs="Arial"/>
          <w:sz w:val="24"/>
          <w:szCs w:val="24"/>
          <w:lang w:val="en-AU"/>
        </w:rPr>
        <w:t>At the same time,</w:t>
      </w:r>
      <w:r w:rsidR="00B13FD5" w:rsidRPr="00DD5983">
        <w:rPr>
          <w:rFonts w:cs="Arial"/>
          <w:sz w:val="24"/>
          <w:szCs w:val="24"/>
          <w:lang w:val="en-AU"/>
        </w:rPr>
        <w:t xml:space="preserve"> Panel members </w:t>
      </w:r>
      <w:r w:rsidRPr="00DD5983">
        <w:rPr>
          <w:rFonts w:cs="Arial"/>
          <w:sz w:val="24"/>
          <w:szCs w:val="24"/>
          <w:lang w:val="en-AU"/>
        </w:rPr>
        <w:t>are</w:t>
      </w:r>
      <w:r w:rsidR="0000468E" w:rsidRPr="00DD5983">
        <w:rPr>
          <w:rFonts w:cs="Arial"/>
          <w:sz w:val="24"/>
          <w:szCs w:val="24"/>
          <w:lang w:val="en-AU"/>
        </w:rPr>
        <w:t xml:space="preserve"> invest</w:t>
      </w:r>
      <w:r w:rsidRPr="00DD5983">
        <w:rPr>
          <w:rFonts w:cs="Arial"/>
          <w:sz w:val="24"/>
          <w:szCs w:val="24"/>
          <w:lang w:val="en-AU"/>
        </w:rPr>
        <w:t>ing</w:t>
      </w:r>
      <w:r w:rsidR="0000468E" w:rsidRPr="00DD5983">
        <w:rPr>
          <w:rFonts w:cs="Arial"/>
          <w:sz w:val="24"/>
          <w:szCs w:val="24"/>
          <w:lang w:val="en-AU"/>
        </w:rPr>
        <w:t xml:space="preserve"> </w:t>
      </w:r>
      <w:r w:rsidR="00A82F04" w:rsidRPr="00DD5983">
        <w:rPr>
          <w:rFonts w:cs="Arial"/>
          <w:sz w:val="24"/>
          <w:szCs w:val="24"/>
          <w:lang w:val="en-AU"/>
        </w:rPr>
        <w:t xml:space="preserve">resources in building </w:t>
      </w:r>
      <w:r w:rsidR="00F25EB9" w:rsidRPr="00DD5983">
        <w:rPr>
          <w:rFonts w:cs="Arial"/>
          <w:sz w:val="24"/>
          <w:szCs w:val="24"/>
          <w:lang w:val="en-AU"/>
        </w:rPr>
        <w:t>capacity</w:t>
      </w:r>
      <w:r w:rsidRPr="00DD5983">
        <w:rPr>
          <w:rFonts w:cs="Arial"/>
          <w:sz w:val="24"/>
          <w:szCs w:val="24"/>
          <w:lang w:val="en-AU"/>
        </w:rPr>
        <w:t xml:space="preserve"> to meet demand</w:t>
      </w:r>
      <w:r w:rsidR="006F424D" w:rsidRPr="00DD5983">
        <w:rPr>
          <w:rFonts w:cs="Arial"/>
          <w:sz w:val="24"/>
          <w:szCs w:val="24"/>
          <w:lang w:val="en-AU"/>
        </w:rPr>
        <w:t>. These costs are also incurred in</w:t>
      </w:r>
      <w:r w:rsidR="00084ACF" w:rsidRPr="00DD5983">
        <w:rPr>
          <w:rFonts w:cs="Arial"/>
          <w:sz w:val="24"/>
          <w:szCs w:val="24"/>
          <w:lang w:val="en-AU"/>
        </w:rPr>
        <w:t xml:space="preserve"> staff recruitment and training,</w:t>
      </w:r>
      <w:r w:rsidR="000257DA" w:rsidRPr="00DD5983">
        <w:rPr>
          <w:rFonts w:cs="Arial"/>
          <w:sz w:val="24"/>
          <w:szCs w:val="24"/>
          <w:lang w:val="en-AU"/>
        </w:rPr>
        <w:t xml:space="preserve"> new infrastructure (e.g. vehicles and Information technology</w:t>
      </w:r>
      <w:r w:rsidR="00FA2DDC" w:rsidRPr="00DD5983">
        <w:rPr>
          <w:rFonts w:cs="Arial"/>
          <w:sz w:val="24"/>
          <w:szCs w:val="24"/>
          <w:lang w:val="en-AU"/>
        </w:rPr>
        <w:t>) and</w:t>
      </w:r>
      <w:r w:rsidR="00084ACF" w:rsidRPr="00DD5983">
        <w:rPr>
          <w:rFonts w:cs="Arial"/>
          <w:sz w:val="24"/>
          <w:szCs w:val="24"/>
          <w:lang w:val="en-AU"/>
        </w:rPr>
        <w:t xml:space="preserve"> </w:t>
      </w:r>
      <w:r w:rsidR="00FA2DDC" w:rsidRPr="00DD5983">
        <w:rPr>
          <w:rFonts w:cs="Arial"/>
          <w:sz w:val="24"/>
          <w:szCs w:val="24"/>
          <w:lang w:val="en-AU"/>
        </w:rPr>
        <w:t xml:space="preserve">spending on marketing. </w:t>
      </w:r>
      <w:r w:rsidR="006F424D" w:rsidRPr="00DD5983">
        <w:rPr>
          <w:rFonts w:cs="Arial"/>
          <w:sz w:val="24"/>
          <w:szCs w:val="24"/>
          <w:lang w:val="en-AU"/>
        </w:rPr>
        <w:t>However, i</w:t>
      </w:r>
      <w:r w:rsidR="00A82F04" w:rsidRPr="00DD5983">
        <w:rPr>
          <w:rFonts w:cs="Arial"/>
          <w:sz w:val="24"/>
          <w:szCs w:val="24"/>
          <w:lang w:val="en-AU"/>
        </w:rPr>
        <w:t>n managing growth, t</w:t>
      </w:r>
      <w:r w:rsidR="00F25EB9" w:rsidRPr="00DD5983">
        <w:rPr>
          <w:rFonts w:cs="Arial"/>
          <w:sz w:val="24"/>
          <w:szCs w:val="24"/>
          <w:lang w:val="en-AU"/>
        </w:rPr>
        <w:t xml:space="preserve">hey </w:t>
      </w:r>
      <w:r w:rsidR="00E90055" w:rsidRPr="00DD5983">
        <w:rPr>
          <w:rFonts w:cs="Arial"/>
          <w:sz w:val="24"/>
          <w:szCs w:val="24"/>
          <w:lang w:val="en-AU"/>
        </w:rPr>
        <w:t>must</w:t>
      </w:r>
      <w:r w:rsidR="00F25EB9" w:rsidRPr="00DD5983">
        <w:rPr>
          <w:rFonts w:cs="Arial"/>
          <w:sz w:val="24"/>
          <w:szCs w:val="24"/>
          <w:lang w:val="en-AU"/>
        </w:rPr>
        <w:t xml:space="preserve"> </w:t>
      </w:r>
      <w:r w:rsidR="00E90055" w:rsidRPr="00DD5983">
        <w:rPr>
          <w:rFonts w:cs="Arial"/>
          <w:sz w:val="24"/>
          <w:szCs w:val="24"/>
          <w:lang w:val="en-AU"/>
        </w:rPr>
        <w:t>plan for</w:t>
      </w:r>
      <w:r w:rsidR="00CE606D" w:rsidRPr="00DD5983">
        <w:rPr>
          <w:rFonts w:cs="Arial"/>
          <w:sz w:val="24"/>
          <w:szCs w:val="24"/>
          <w:lang w:val="en-AU"/>
        </w:rPr>
        <w:t>,</w:t>
      </w:r>
      <w:r w:rsidR="00E90055" w:rsidRPr="00DD5983">
        <w:rPr>
          <w:rFonts w:cs="Arial"/>
          <w:sz w:val="24"/>
          <w:szCs w:val="24"/>
          <w:lang w:val="en-AU"/>
        </w:rPr>
        <w:t xml:space="preserve"> and fund</w:t>
      </w:r>
      <w:r w:rsidR="00CE606D" w:rsidRPr="00DD5983">
        <w:rPr>
          <w:rFonts w:cs="Arial"/>
          <w:sz w:val="24"/>
          <w:szCs w:val="24"/>
          <w:lang w:val="en-AU"/>
        </w:rPr>
        <w:t>,</w:t>
      </w:r>
      <w:r w:rsidR="00E90055" w:rsidRPr="00DD5983">
        <w:rPr>
          <w:rFonts w:cs="Arial"/>
          <w:sz w:val="24"/>
          <w:szCs w:val="24"/>
          <w:lang w:val="en-AU"/>
        </w:rPr>
        <w:t xml:space="preserve"> the differences between the </w:t>
      </w:r>
      <w:r w:rsidR="00222802" w:rsidRPr="00DD5983">
        <w:rPr>
          <w:rFonts w:cs="Arial"/>
          <w:sz w:val="24"/>
          <w:szCs w:val="24"/>
          <w:lang w:val="en-AU"/>
        </w:rPr>
        <w:t xml:space="preserve">prospective </w:t>
      </w:r>
      <w:r w:rsidR="00E90055" w:rsidRPr="00DD5983">
        <w:rPr>
          <w:rFonts w:cs="Arial"/>
          <w:sz w:val="24"/>
          <w:szCs w:val="24"/>
          <w:lang w:val="en-AU"/>
        </w:rPr>
        <w:t>linear growth in revenue and the stepped growth in some costs</w:t>
      </w:r>
      <w:r w:rsidR="00E724EA" w:rsidRPr="00DD5983">
        <w:rPr>
          <w:rFonts w:cs="Arial"/>
          <w:sz w:val="24"/>
          <w:szCs w:val="24"/>
          <w:lang w:val="en-AU"/>
        </w:rPr>
        <w:t>, as well as</w:t>
      </w:r>
      <w:r w:rsidR="00E90055" w:rsidRPr="00DD5983">
        <w:rPr>
          <w:rFonts w:cs="Arial"/>
          <w:sz w:val="24"/>
          <w:szCs w:val="24"/>
          <w:lang w:val="en-AU"/>
        </w:rPr>
        <w:t xml:space="preserve"> match the pace of growth in staff</w:t>
      </w:r>
      <w:r w:rsidR="00030D02" w:rsidRPr="00DD5983">
        <w:rPr>
          <w:rFonts w:cs="Arial"/>
          <w:sz w:val="24"/>
          <w:szCs w:val="24"/>
          <w:lang w:val="en-AU"/>
        </w:rPr>
        <w:t xml:space="preserve"> numbers</w:t>
      </w:r>
      <w:r w:rsidR="00E90055" w:rsidRPr="00DD5983">
        <w:rPr>
          <w:rFonts w:cs="Arial"/>
          <w:sz w:val="24"/>
          <w:szCs w:val="24"/>
          <w:lang w:val="en-AU"/>
        </w:rPr>
        <w:t xml:space="preserve"> with the pace of growth in demand</w:t>
      </w:r>
      <w:r w:rsidR="00E724EA" w:rsidRPr="00DD5983">
        <w:rPr>
          <w:rFonts w:cs="Arial"/>
          <w:sz w:val="24"/>
          <w:szCs w:val="24"/>
          <w:lang w:val="en-AU"/>
        </w:rPr>
        <w:t>. T</w:t>
      </w:r>
      <w:r w:rsidR="007B7565" w:rsidRPr="00DD5983">
        <w:rPr>
          <w:rFonts w:cs="Arial"/>
          <w:sz w:val="24"/>
          <w:szCs w:val="24"/>
          <w:lang w:val="en-AU"/>
        </w:rPr>
        <w:t>he cost of</w:t>
      </w:r>
      <w:r w:rsidR="00030D02" w:rsidRPr="00DD5983">
        <w:rPr>
          <w:rFonts w:cs="Arial"/>
          <w:sz w:val="24"/>
          <w:szCs w:val="24"/>
          <w:lang w:val="en-AU"/>
        </w:rPr>
        <w:t xml:space="preserve"> </w:t>
      </w:r>
      <w:r w:rsidR="00E724EA" w:rsidRPr="00DD5983">
        <w:rPr>
          <w:rFonts w:cs="Arial"/>
          <w:sz w:val="24"/>
          <w:szCs w:val="24"/>
          <w:lang w:val="en-AU"/>
        </w:rPr>
        <w:t xml:space="preserve">any </w:t>
      </w:r>
      <w:r w:rsidR="00030D02" w:rsidRPr="00DD5983">
        <w:rPr>
          <w:rFonts w:cs="Arial"/>
          <w:sz w:val="24"/>
          <w:szCs w:val="24"/>
          <w:lang w:val="en-AU"/>
        </w:rPr>
        <w:t>unused staff hours</w:t>
      </w:r>
      <w:r w:rsidR="0045245A" w:rsidRPr="00DD5983">
        <w:rPr>
          <w:rFonts w:cs="Arial"/>
          <w:sz w:val="24"/>
          <w:szCs w:val="24"/>
          <w:lang w:val="en-AU"/>
        </w:rPr>
        <w:t xml:space="preserve"> </w:t>
      </w:r>
      <w:r w:rsidR="006F424D" w:rsidRPr="00DD5983">
        <w:rPr>
          <w:rFonts w:cs="Arial"/>
          <w:sz w:val="24"/>
          <w:szCs w:val="24"/>
          <w:lang w:val="en-AU"/>
        </w:rPr>
        <w:t>or</w:t>
      </w:r>
      <w:r w:rsidR="0045245A" w:rsidRPr="00DD5983">
        <w:rPr>
          <w:rFonts w:cs="Arial"/>
          <w:sz w:val="24"/>
          <w:szCs w:val="24"/>
          <w:lang w:val="en-AU"/>
        </w:rPr>
        <w:t xml:space="preserve"> other resources</w:t>
      </w:r>
      <w:r w:rsidR="007B7565" w:rsidRPr="00DD5983">
        <w:rPr>
          <w:rFonts w:cs="Arial"/>
          <w:sz w:val="24"/>
          <w:szCs w:val="24"/>
          <w:lang w:val="en-AU"/>
        </w:rPr>
        <w:t xml:space="preserve"> must </w:t>
      </w:r>
      <w:r w:rsidR="00E04D55" w:rsidRPr="00DD5983">
        <w:rPr>
          <w:rFonts w:cs="Arial"/>
          <w:sz w:val="24"/>
          <w:szCs w:val="24"/>
          <w:lang w:val="en-AU"/>
        </w:rPr>
        <w:t>be absorbed, directly impacting financial results</w:t>
      </w:r>
      <w:r w:rsidR="00F25EB9" w:rsidRPr="00DD5983">
        <w:rPr>
          <w:rFonts w:cs="Arial"/>
          <w:sz w:val="24"/>
          <w:szCs w:val="24"/>
          <w:lang w:val="en-AU"/>
        </w:rPr>
        <w:t xml:space="preserve">. </w:t>
      </w:r>
    </w:p>
    <w:p w14:paraId="56E1B12E" w14:textId="04977598" w:rsidR="00971C52" w:rsidRPr="00DD5983" w:rsidRDefault="00971C52" w:rsidP="00971C52">
      <w:pPr>
        <w:pStyle w:val="BodyText1"/>
        <w:rPr>
          <w:rFonts w:cs="Arial"/>
          <w:sz w:val="24"/>
          <w:szCs w:val="24"/>
          <w:lang w:val="en-AU"/>
        </w:rPr>
      </w:pPr>
      <w:r w:rsidRPr="00DD5983">
        <w:rPr>
          <w:rFonts w:cs="Arial"/>
          <w:sz w:val="24"/>
          <w:szCs w:val="24"/>
          <w:lang w:val="en-AU"/>
        </w:rPr>
        <w:t>The total expenses incurred for transition and growth must be met by the orga</w:t>
      </w:r>
      <w:r w:rsidR="006F424D" w:rsidRPr="00DD5983">
        <w:rPr>
          <w:rFonts w:cs="Arial"/>
          <w:sz w:val="24"/>
          <w:szCs w:val="24"/>
          <w:lang w:val="en-AU"/>
        </w:rPr>
        <w:t>nisation</w:t>
      </w:r>
      <w:r w:rsidR="00BC118E" w:rsidRPr="00DD5983">
        <w:rPr>
          <w:rFonts w:cs="Arial"/>
          <w:sz w:val="24"/>
          <w:szCs w:val="24"/>
          <w:lang w:val="en-AU"/>
        </w:rPr>
        <w:t xml:space="preserve"> </w:t>
      </w:r>
      <w:r w:rsidRPr="00DD5983">
        <w:rPr>
          <w:rFonts w:cs="Arial"/>
          <w:sz w:val="24"/>
          <w:szCs w:val="24"/>
          <w:lang w:val="en-AU"/>
        </w:rPr>
        <w:t xml:space="preserve">from </w:t>
      </w:r>
      <w:r w:rsidR="006F424D" w:rsidRPr="00DD5983">
        <w:rPr>
          <w:rFonts w:cs="Arial"/>
          <w:sz w:val="24"/>
          <w:szCs w:val="24"/>
          <w:lang w:val="en-AU"/>
        </w:rPr>
        <w:t>their own resources (</w:t>
      </w:r>
      <w:r w:rsidRPr="00DD5983">
        <w:rPr>
          <w:rFonts w:cs="Arial"/>
          <w:sz w:val="24"/>
          <w:szCs w:val="24"/>
          <w:lang w:val="en-AU"/>
        </w:rPr>
        <w:t xml:space="preserve">current-year profits, </w:t>
      </w:r>
      <w:r w:rsidR="00BC118E" w:rsidRPr="00DD5983">
        <w:rPr>
          <w:rFonts w:cs="Arial"/>
          <w:sz w:val="24"/>
          <w:szCs w:val="24"/>
          <w:lang w:val="en-AU"/>
        </w:rPr>
        <w:t xml:space="preserve">donations, </w:t>
      </w:r>
      <w:r w:rsidRPr="00DD5983">
        <w:rPr>
          <w:rFonts w:cs="Arial"/>
          <w:sz w:val="24"/>
          <w:szCs w:val="24"/>
          <w:lang w:val="en-AU"/>
        </w:rPr>
        <w:t>reta</w:t>
      </w:r>
      <w:r w:rsidR="00BC118E" w:rsidRPr="00DD5983">
        <w:rPr>
          <w:rFonts w:cs="Arial"/>
          <w:sz w:val="24"/>
          <w:szCs w:val="24"/>
          <w:lang w:val="en-AU"/>
        </w:rPr>
        <w:t>ined earnings or sale of assets</w:t>
      </w:r>
      <w:r w:rsidR="006F424D" w:rsidRPr="00DD5983">
        <w:rPr>
          <w:rFonts w:cs="Arial"/>
          <w:sz w:val="24"/>
          <w:szCs w:val="24"/>
          <w:lang w:val="en-AU"/>
        </w:rPr>
        <w:t xml:space="preserve">) or from </w:t>
      </w:r>
      <w:r w:rsidRPr="00DD5983">
        <w:rPr>
          <w:rFonts w:cs="Arial"/>
          <w:sz w:val="24"/>
          <w:szCs w:val="24"/>
          <w:lang w:val="en-AU"/>
        </w:rPr>
        <w:t>debt (e.g. a loan from a bank).</w:t>
      </w:r>
      <w:r w:rsidR="006F424D" w:rsidRPr="00DD5983">
        <w:rPr>
          <w:rFonts w:cs="Arial"/>
          <w:sz w:val="24"/>
          <w:szCs w:val="24"/>
          <w:lang w:val="en-AU"/>
        </w:rPr>
        <w:t xml:space="preserve">  Furthermore, </w:t>
      </w:r>
      <w:r w:rsidR="00BC118E" w:rsidRPr="00DD5983">
        <w:rPr>
          <w:rFonts w:cs="Arial"/>
          <w:sz w:val="24"/>
          <w:szCs w:val="24"/>
          <w:lang w:val="en-AU"/>
        </w:rPr>
        <w:t>organisations</w:t>
      </w:r>
      <w:r w:rsidR="006F424D" w:rsidRPr="00DD5983">
        <w:rPr>
          <w:rFonts w:cs="Arial"/>
          <w:sz w:val="24"/>
          <w:szCs w:val="24"/>
          <w:lang w:val="en-AU"/>
        </w:rPr>
        <w:t xml:space="preserve"> must invest resources</w:t>
      </w:r>
      <w:r w:rsidR="00677B6C" w:rsidRPr="00DD5983">
        <w:rPr>
          <w:rFonts w:cs="Arial"/>
          <w:sz w:val="24"/>
          <w:szCs w:val="24"/>
          <w:lang w:val="en-AU"/>
        </w:rPr>
        <w:t xml:space="preserve"> many months or even years before they receive </w:t>
      </w:r>
      <w:r w:rsidR="006F424D" w:rsidRPr="00DD5983">
        <w:rPr>
          <w:rFonts w:cs="Arial"/>
          <w:sz w:val="24"/>
          <w:szCs w:val="24"/>
          <w:lang w:val="en-AU"/>
        </w:rPr>
        <w:t>income</w:t>
      </w:r>
      <w:r w:rsidR="00222802" w:rsidRPr="00DD5983">
        <w:rPr>
          <w:rFonts w:cs="Arial"/>
          <w:sz w:val="24"/>
          <w:szCs w:val="24"/>
          <w:lang w:val="en-AU"/>
        </w:rPr>
        <w:t xml:space="preserve"> growth</w:t>
      </w:r>
      <w:r w:rsidR="00677B6C" w:rsidRPr="00DD5983">
        <w:rPr>
          <w:rFonts w:cs="Arial"/>
          <w:sz w:val="24"/>
          <w:szCs w:val="24"/>
          <w:lang w:val="en-AU"/>
        </w:rPr>
        <w:t>.</w:t>
      </w:r>
    </w:p>
    <w:p w14:paraId="28FFAA01" w14:textId="50E6C6EF" w:rsidR="00833F45" w:rsidRPr="00DD5983" w:rsidRDefault="00833F45" w:rsidP="00833F45">
      <w:pPr>
        <w:pStyle w:val="BodyText1"/>
        <w:rPr>
          <w:rFonts w:cs="Arial"/>
          <w:sz w:val="24"/>
          <w:szCs w:val="24"/>
          <w:lang w:val="en-AU"/>
        </w:rPr>
      </w:pPr>
      <w:r w:rsidRPr="00DD5983">
        <w:rPr>
          <w:rFonts w:cs="Arial"/>
          <w:sz w:val="24"/>
          <w:szCs w:val="24"/>
          <w:lang w:val="en-AU"/>
        </w:rPr>
        <w:t>The findings from Wave 3 and previous Waves of this study show that the Panel is fully supportive of the NDIS policy, but many are reporting financial stress</w:t>
      </w:r>
      <w:r w:rsidR="0045245A" w:rsidRPr="00DD5983">
        <w:rPr>
          <w:rFonts w:cs="Arial"/>
          <w:sz w:val="24"/>
          <w:szCs w:val="24"/>
          <w:lang w:val="en-AU"/>
        </w:rPr>
        <w:t xml:space="preserve"> </w:t>
      </w:r>
      <w:r w:rsidR="00971C52" w:rsidRPr="00DD5983">
        <w:rPr>
          <w:rFonts w:cs="Arial"/>
          <w:sz w:val="24"/>
          <w:szCs w:val="24"/>
          <w:lang w:val="en-AU"/>
        </w:rPr>
        <w:t>regarding</w:t>
      </w:r>
      <w:r w:rsidR="0045245A" w:rsidRPr="00DD5983">
        <w:rPr>
          <w:rFonts w:cs="Arial"/>
          <w:sz w:val="24"/>
          <w:szCs w:val="24"/>
          <w:lang w:val="en-AU"/>
        </w:rPr>
        <w:t xml:space="preserve"> disability services and </w:t>
      </w:r>
      <w:r w:rsidRPr="00DD5983">
        <w:rPr>
          <w:rFonts w:cs="Arial"/>
          <w:sz w:val="24"/>
          <w:szCs w:val="24"/>
          <w:lang w:val="en-AU"/>
        </w:rPr>
        <w:t>are concerned about the viably of these services in future. They are also reporting that they do not expect to meet demand for services in 2016/17.</w:t>
      </w:r>
    </w:p>
    <w:p w14:paraId="0191F515" w14:textId="59996DBB" w:rsidR="00DD5983" w:rsidRPr="00DD5983" w:rsidRDefault="00677B6C" w:rsidP="000257DA">
      <w:pPr>
        <w:pStyle w:val="BodyText1"/>
        <w:rPr>
          <w:rFonts w:cs="Arial"/>
          <w:sz w:val="24"/>
          <w:szCs w:val="24"/>
          <w:lang w:val="en-AU"/>
        </w:rPr>
      </w:pPr>
      <w:r w:rsidRPr="00DD5983">
        <w:rPr>
          <w:rFonts w:cs="Arial"/>
          <w:sz w:val="24"/>
          <w:szCs w:val="24"/>
          <w:lang w:val="en-AU"/>
        </w:rPr>
        <w:t>Given the complex</w:t>
      </w:r>
      <w:r w:rsidR="00B30196" w:rsidRPr="00DD5983">
        <w:rPr>
          <w:rFonts w:cs="Arial"/>
          <w:sz w:val="24"/>
          <w:szCs w:val="24"/>
          <w:lang w:val="en-AU"/>
        </w:rPr>
        <w:t>ity of the</w:t>
      </w:r>
      <w:r w:rsidRPr="00DD5983">
        <w:rPr>
          <w:rFonts w:cs="Arial"/>
          <w:sz w:val="24"/>
          <w:szCs w:val="24"/>
          <w:lang w:val="en-AU"/>
        </w:rPr>
        <w:t xml:space="preserve"> changes they face</w:t>
      </w:r>
      <w:r w:rsidR="00E6796D" w:rsidRPr="00DD5983">
        <w:rPr>
          <w:rFonts w:cs="Arial"/>
          <w:sz w:val="24"/>
          <w:szCs w:val="24"/>
          <w:lang w:val="en-AU"/>
        </w:rPr>
        <w:t>, the resource requirements</w:t>
      </w:r>
      <w:r w:rsidR="00B30196" w:rsidRPr="00DD5983">
        <w:rPr>
          <w:rFonts w:cs="Arial"/>
          <w:sz w:val="24"/>
          <w:szCs w:val="24"/>
          <w:lang w:val="en-AU"/>
        </w:rPr>
        <w:t xml:space="preserve"> and risks</w:t>
      </w:r>
      <w:r w:rsidRPr="00DD5983">
        <w:rPr>
          <w:rFonts w:cs="Arial"/>
          <w:sz w:val="24"/>
          <w:szCs w:val="24"/>
          <w:lang w:val="en-AU"/>
        </w:rPr>
        <w:t>, Boards and Executives of disability services providers w</w:t>
      </w:r>
      <w:r w:rsidR="0098688C" w:rsidRPr="00DD5983">
        <w:rPr>
          <w:rFonts w:cs="Arial"/>
          <w:sz w:val="24"/>
          <w:szCs w:val="24"/>
          <w:lang w:val="en-AU"/>
        </w:rPr>
        <w:t>ill need a</w:t>
      </w:r>
      <w:r w:rsidRPr="00DD5983">
        <w:rPr>
          <w:rFonts w:cs="Arial"/>
          <w:sz w:val="24"/>
          <w:szCs w:val="24"/>
          <w:lang w:val="en-AU"/>
        </w:rPr>
        <w:t xml:space="preserve"> positive perception of</w:t>
      </w:r>
      <w:r w:rsidR="00E6796D" w:rsidRPr="00DD5983">
        <w:rPr>
          <w:rFonts w:cs="Arial"/>
          <w:sz w:val="24"/>
          <w:szCs w:val="24"/>
          <w:lang w:val="en-AU"/>
        </w:rPr>
        <w:t xml:space="preserve"> the</w:t>
      </w:r>
      <w:r w:rsidRPr="00DD5983">
        <w:rPr>
          <w:rFonts w:cs="Arial"/>
          <w:sz w:val="24"/>
          <w:szCs w:val="24"/>
          <w:lang w:val="en-AU"/>
        </w:rPr>
        <w:t xml:space="preserve"> future </w:t>
      </w:r>
      <w:r w:rsidR="00E6796D" w:rsidRPr="00DD5983">
        <w:rPr>
          <w:rFonts w:cs="Arial"/>
          <w:sz w:val="24"/>
          <w:szCs w:val="24"/>
          <w:lang w:val="en-AU"/>
        </w:rPr>
        <w:t>operating conditions</w:t>
      </w:r>
      <w:r w:rsidR="0062152B" w:rsidRPr="00DD5983">
        <w:rPr>
          <w:rFonts w:cs="Arial"/>
          <w:sz w:val="24"/>
          <w:szCs w:val="24"/>
          <w:lang w:val="en-AU"/>
        </w:rPr>
        <w:t xml:space="preserve"> if they are to invest in transition and growth</w:t>
      </w:r>
      <w:r w:rsidR="007B7565" w:rsidRPr="00DD5983">
        <w:rPr>
          <w:rFonts w:cs="Arial"/>
          <w:sz w:val="24"/>
          <w:szCs w:val="24"/>
          <w:lang w:val="en-AU"/>
        </w:rPr>
        <w:t xml:space="preserve">.  If leaders feel that the costs of transition are too high or their organisation is not viable in the new operating environment, then they will likely close (or exit the provision of disability services). At least two of the Panel members merged for this reason and others have indicated that they are expecting to discontinue their disability services. </w:t>
      </w:r>
    </w:p>
    <w:p w14:paraId="6E138E0D" w14:textId="77777777" w:rsidR="00DD5983" w:rsidRPr="00DD5983" w:rsidRDefault="00DD5983">
      <w:pPr>
        <w:rPr>
          <w:rFonts w:ascii="Arial" w:hAnsi="Arial" w:cs="Arial"/>
          <w:sz w:val="24"/>
          <w:szCs w:val="24"/>
          <w:lang w:val="en-AU"/>
        </w:rPr>
      </w:pPr>
      <w:r w:rsidRPr="00DD5983">
        <w:rPr>
          <w:rFonts w:ascii="Arial" w:hAnsi="Arial" w:cs="Arial"/>
          <w:sz w:val="24"/>
          <w:szCs w:val="24"/>
          <w:lang w:val="en-AU"/>
        </w:rPr>
        <w:br w:type="page"/>
      </w:r>
    </w:p>
    <w:p w14:paraId="77D24B23" w14:textId="77777777" w:rsidR="00DD5983" w:rsidRPr="00DD5983" w:rsidRDefault="00DD5983" w:rsidP="000257DA">
      <w:pPr>
        <w:pStyle w:val="BodyText1"/>
        <w:rPr>
          <w:rFonts w:cs="Arial"/>
          <w:sz w:val="24"/>
          <w:szCs w:val="24"/>
          <w:lang w:val="en-AU"/>
        </w:rPr>
      </w:pPr>
    </w:p>
    <w:p w14:paraId="6A86CE65" w14:textId="1693E1EE" w:rsidR="000257DA" w:rsidRPr="00DD5983" w:rsidRDefault="000257DA" w:rsidP="00DD5983">
      <w:pPr>
        <w:pStyle w:val="Heading2"/>
      </w:pPr>
      <w:bookmarkStart w:id="7" w:name="_Toc489891082"/>
      <w:bookmarkStart w:id="8" w:name="_Toc492645473"/>
      <w:r w:rsidRPr="00DD5983">
        <w:t>Key questions for policy makers</w:t>
      </w:r>
      <w:bookmarkEnd w:id="7"/>
      <w:bookmarkEnd w:id="8"/>
    </w:p>
    <w:p w14:paraId="7E85395B" w14:textId="490FF3C7" w:rsidR="00FE44B4" w:rsidRPr="00DD5983" w:rsidRDefault="00663456" w:rsidP="00663456">
      <w:pPr>
        <w:pStyle w:val="BodyText1"/>
        <w:rPr>
          <w:rFonts w:cs="Arial"/>
          <w:b/>
          <w:sz w:val="24"/>
          <w:szCs w:val="24"/>
          <w:lang w:val="en-AU"/>
        </w:rPr>
      </w:pPr>
      <w:r w:rsidRPr="00DD5983">
        <w:rPr>
          <w:rFonts w:cs="Arial"/>
          <w:b/>
          <w:sz w:val="24"/>
          <w:szCs w:val="24"/>
          <w:lang w:val="en-AU"/>
        </w:rPr>
        <w:t>If the low operating profit margin</w:t>
      </w:r>
      <w:r w:rsidR="00ED6A39" w:rsidRPr="00DD5983">
        <w:rPr>
          <w:rFonts w:cs="Arial"/>
          <w:b/>
          <w:sz w:val="24"/>
          <w:szCs w:val="24"/>
          <w:lang w:val="en-AU"/>
        </w:rPr>
        <w:t>s reported by</w:t>
      </w:r>
      <w:r w:rsidRPr="00DD5983">
        <w:rPr>
          <w:rFonts w:cs="Arial"/>
          <w:b/>
          <w:sz w:val="24"/>
          <w:szCs w:val="24"/>
          <w:lang w:val="en-AU"/>
        </w:rPr>
        <w:t xml:space="preserve"> disability services continue or worsen, then providers</w:t>
      </w:r>
      <w:r w:rsidR="0062152B" w:rsidRPr="00DD5983">
        <w:rPr>
          <w:rFonts w:cs="Arial"/>
          <w:b/>
          <w:sz w:val="24"/>
          <w:szCs w:val="24"/>
          <w:lang w:val="en-AU"/>
        </w:rPr>
        <w:t xml:space="preserve"> who are unable to at least breakeven</w:t>
      </w:r>
      <w:r w:rsidRPr="00DD5983">
        <w:rPr>
          <w:rFonts w:cs="Arial"/>
          <w:b/>
          <w:sz w:val="24"/>
          <w:szCs w:val="24"/>
          <w:lang w:val="en-AU"/>
        </w:rPr>
        <w:t xml:space="preserve"> </w:t>
      </w:r>
      <w:r w:rsidR="0062152B" w:rsidRPr="00DD5983">
        <w:rPr>
          <w:rFonts w:cs="Arial"/>
          <w:b/>
          <w:sz w:val="24"/>
          <w:szCs w:val="24"/>
          <w:lang w:val="en-AU"/>
        </w:rPr>
        <w:t>will</w:t>
      </w:r>
      <w:r w:rsidRPr="00DD5983">
        <w:rPr>
          <w:rFonts w:cs="Arial"/>
          <w:b/>
          <w:sz w:val="24"/>
          <w:szCs w:val="24"/>
          <w:lang w:val="en-AU"/>
        </w:rPr>
        <w:t xml:space="preserve"> have to close within two to three years unless they are willing to subsidise their</w:t>
      </w:r>
      <w:r w:rsidR="0062152B" w:rsidRPr="00DD5983">
        <w:rPr>
          <w:rFonts w:cs="Arial"/>
          <w:b/>
          <w:sz w:val="24"/>
          <w:szCs w:val="24"/>
          <w:lang w:val="en-AU"/>
        </w:rPr>
        <w:t xml:space="preserve"> disability services</w:t>
      </w:r>
      <w:r w:rsidRPr="00DD5983">
        <w:rPr>
          <w:rFonts w:cs="Arial"/>
          <w:b/>
          <w:sz w:val="24"/>
          <w:szCs w:val="24"/>
          <w:lang w:val="en-AU"/>
        </w:rPr>
        <w:t xml:space="preserve"> income from other services or donations</w:t>
      </w:r>
      <w:r w:rsidR="00BC626E" w:rsidRPr="00DD5983">
        <w:rPr>
          <w:rFonts w:cs="Arial"/>
          <w:b/>
          <w:sz w:val="24"/>
          <w:szCs w:val="24"/>
          <w:lang w:val="en-AU"/>
        </w:rPr>
        <w:t xml:space="preserve"> or sell assets</w:t>
      </w:r>
      <w:r w:rsidRPr="00DD5983">
        <w:rPr>
          <w:rFonts w:cs="Arial"/>
          <w:b/>
          <w:sz w:val="24"/>
          <w:szCs w:val="24"/>
          <w:lang w:val="en-AU"/>
        </w:rPr>
        <w:t>.  Based on the findings, some of these may be Large providers. Disability services markets will also be unattractive to new entrants, parti</w:t>
      </w:r>
      <w:r w:rsidR="00E34056" w:rsidRPr="00DD5983">
        <w:rPr>
          <w:rFonts w:cs="Arial"/>
          <w:b/>
          <w:sz w:val="24"/>
          <w:szCs w:val="24"/>
          <w:lang w:val="en-AU"/>
        </w:rPr>
        <w:t>cularly as aged care and other human services markets</w:t>
      </w:r>
      <w:r w:rsidRPr="00DD5983">
        <w:rPr>
          <w:rFonts w:cs="Arial"/>
          <w:b/>
          <w:sz w:val="24"/>
          <w:szCs w:val="24"/>
          <w:lang w:val="en-AU"/>
        </w:rPr>
        <w:t xml:space="preserve"> </w:t>
      </w:r>
      <w:r w:rsidR="00ED6A39" w:rsidRPr="00DD5983">
        <w:rPr>
          <w:rFonts w:cs="Arial"/>
          <w:b/>
          <w:sz w:val="24"/>
          <w:szCs w:val="24"/>
          <w:lang w:val="en-AU"/>
        </w:rPr>
        <w:t>offer higher returns</w:t>
      </w:r>
      <w:r w:rsidRPr="00DD5983">
        <w:rPr>
          <w:rFonts w:cs="Arial"/>
          <w:b/>
          <w:sz w:val="24"/>
          <w:szCs w:val="24"/>
          <w:lang w:val="en-AU"/>
        </w:rPr>
        <w:t xml:space="preserve">.  </w:t>
      </w:r>
    </w:p>
    <w:p w14:paraId="752FFFE7" w14:textId="460CD247" w:rsidR="00FE44B4" w:rsidRPr="00DD5983" w:rsidRDefault="0062152B" w:rsidP="00663456">
      <w:pPr>
        <w:pStyle w:val="BodyText1"/>
        <w:rPr>
          <w:rFonts w:cs="Arial"/>
          <w:b/>
          <w:sz w:val="24"/>
          <w:szCs w:val="24"/>
          <w:lang w:val="en-AU"/>
        </w:rPr>
      </w:pPr>
      <w:r w:rsidRPr="00DD5983">
        <w:rPr>
          <w:rFonts w:cs="Arial"/>
          <w:b/>
          <w:sz w:val="24"/>
          <w:szCs w:val="24"/>
          <w:lang w:val="en-AU"/>
        </w:rPr>
        <w:t xml:space="preserve">As a third of providers expect that they will not meet demand, </w:t>
      </w:r>
      <w:r w:rsidR="004D7CC4" w:rsidRPr="00DD5983">
        <w:rPr>
          <w:rFonts w:cs="Arial"/>
          <w:b/>
          <w:sz w:val="24"/>
          <w:szCs w:val="24"/>
          <w:lang w:val="en-AU"/>
        </w:rPr>
        <w:t>there is</w:t>
      </w:r>
      <w:r w:rsidR="00FE44B4" w:rsidRPr="00DD5983">
        <w:rPr>
          <w:rFonts w:cs="Arial"/>
          <w:b/>
          <w:sz w:val="24"/>
          <w:szCs w:val="24"/>
          <w:lang w:val="en-AU"/>
        </w:rPr>
        <w:t xml:space="preserve"> significant </w:t>
      </w:r>
      <w:r w:rsidR="0041056C" w:rsidRPr="00DD5983">
        <w:rPr>
          <w:rFonts w:cs="Arial"/>
          <w:b/>
          <w:sz w:val="24"/>
          <w:szCs w:val="24"/>
          <w:lang w:val="en-AU"/>
        </w:rPr>
        <w:t>risk of supply-side failure in the current operating conditions.</w:t>
      </w:r>
      <w:r w:rsidR="00FE44B4" w:rsidRPr="00DD5983">
        <w:rPr>
          <w:rFonts w:cs="Arial"/>
          <w:b/>
          <w:sz w:val="24"/>
          <w:szCs w:val="24"/>
          <w:lang w:val="en-AU"/>
        </w:rPr>
        <w:t xml:space="preserve"> </w:t>
      </w:r>
    </w:p>
    <w:p w14:paraId="64DDA6BE" w14:textId="74EBBE6A" w:rsidR="00FF3C65" w:rsidRPr="00DD5983" w:rsidRDefault="00BC626E" w:rsidP="000930CE">
      <w:pPr>
        <w:pStyle w:val="BodyText1"/>
        <w:rPr>
          <w:rFonts w:cs="Arial"/>
          <w:sz w:val="24"/>
          <w:szCs w:val="24"/>
          <w:lang w:val="en-AU"/>
        </w:rPr>
      </w:pPr>
      <w:r w:rsidRPr="00DD5983">
        <w:rPr>
          <w:rFonts w:cs="Arial"/>
          <w:sz w:val="24"/>
          <w:szCs w:val="24"/>
          <w:lang w:val="en-AU"/>
        </w:rPr>
        <w:t>A</w:t>
      </w:r>
      <w:r w:rsidR="000257DA" w:rsidRPr="00DD5983">
        <w:rPr>
          <w:rFonts w:cs="Arial"/>
          <w:sz w:val="24"/>
          <w:szCs w:val="24"/>
          <w:lang w:val="en-AU"/>
        </w:rPr>
        <w:t xml:space="preserve"> reduction in profits is to be expected across a sector undergoing transition or in the early sta</w:t>
      </w:r>
      <w:r w:rsidR="004D7CC4" w:rsidRPr="00DD5983">
        <w:rPr>
          <w:rFonts w:cs="Arial"/>
          <w:sz w:val="24"/>
          <w:szCs w:val="24"/>
          <w:lang w:val="en-AU"/>
        </w:rPr>
        <w:t>ges of growth</w:t>
      </w:r>
      <w:r w:rsidR="008E5D2D" w:rsidRPr="00DD5983">
        <w:rPr>
          <w:rFonts w:cs="Arial"/>
          <w:sz w:val="24"/>
          <w:szCs w:val="24"/>
          <w:lang w:val="en-AU"/>
        </w:rPr>
        <w:t xml:space="preserve"> and is being absorbed by providers</w:t>
      </w:r>
      <w:r w:rsidR="00CE7E06" w:rsidRPr="00DD5983">
        <w:rPr>
          <w:rFonts w:cs="Arial"/>
          <w:sz w:val="24"/>
          <w:szCs w:val="24"/>
          <w:lang w:val="en-AU"/>
        </w:rPr>
        <w:t xml:space="preserve">. </w:t>
      </w:r>
      <w:r w:rsidR="004D7CC4" w:rsidRPr="00DD5983">
        <w:rPr>
          <w:rFonts w:cs="Arial"/>
          <w:sz w:val="24"/>
          <w:szCs w:val="24"/>
          <w:lang w:val="en-AU"/>
        </w:rPr>
        <w:t xml:space="preserve"> T</w:t>
      </w:r>
      <w:r w:rsidR="00A44ACB" w:rsidRPr="00DD5983">
        <w:rPr>
          <w:rFonts w:cs="Arial"/>
          <w:sz w:val="24"/>
          <w:szCs w:val="24"/>
          <w:lang w:val="en-AU"/>
        </w:rPr>
        <w:t xml:space="preserve">he key questions for sector leaders – including policy makers – </w:t>
      </w:r>
      <w:r w:rsidR="00F13A7F" w:rsidRPr="00DD5983">
        <w:rPr>
          <w:rFonts w:cs="Arial"/>
          <w:sz w:val="24"/>
          <w:szCs w:val="24"/>
          <w:lang w:val="en-AU"/>
        </w:rPr>
        <w:t>is whether the sector has sufficient, suitable and available assets to</w:t>
      </w:r>
      <w:r w:rsidR="008E5D2D" w:rsidRPr="00DD5983">
        <w:rPr>
          <w:rFonts w:cs="Arial"/>
          <w:sz w:val="24"/>
          <w:szCs w:val="24"/>
          <w:lang w:val="en-AU"/>
        </w:rPr>
        <w:t xml:space="preserve"> continue to</w:t>
      </w:r>
      <w:r w:rsidR="00F13A7F" w:rsidRPr="00DD5983">
        <w:rPr>
          <w:rFonts w:cs="Arial"/>
          <w:sz w:val="24"/>
          <w:szCs w:val="24"/>
          <w:lang w:val="en-AU"/>
        </w:rPr>
        <w:t xml:space="preserve"> fund the </w:t>
      </w:r>
      <w:r w:rsidR="00FF3C65" w:rsidRPr="00DD5983">
        <w:rPr>
          <w:rFonts w:cs="Arial"/>
          <w:sz w:val="24"/>
          <w:szCs w:val="24"/>
          <w:lang w:val="en-AU"/>
        </w:rPr>
        <w:t>transition and sufficient incentive to do so.</w:t>
      </w:r>
    </w:p>
    <w:p w14:paraId="4E389D52" w14:textId="3E2D48AE" w:rsidR="00F13A7F" w:rsidRPr="00DD5983" w:rsidRDefault="00F13A7F" w:rsidP="000930CE">
      <w:pPr>
        <w:pStyle w:val="BodyText1"/>
        <w:rPr>
          <w:rFonts w:cs="Arial"/>
          <w:sz w:val="24"/>
          <w:szCs w:val="24"/>
          <w:lang w:val="en-AU"/>
        </w:rPr>
      </w:pPr>
      <w:r w:rsidRPr="00DD5983">
        <w:rPr>
          <w:rFonts w:cs="Arial"/>
          <w:sz w:val="24"/>
          <w:szCs w:val="24"/>
          <w:lang w:val="en-AU"/>
        </w:rPr>
        <w:t>To answer this requires an understanding of the resources available to organisations (presented in this report) as</w:t>
      </w:r>
      <w:r w:rsidR="003C5E7B" w:rsidRPr="00DD5983">
        <w:rPr>
          <w:rFonts w:cs="Arial"/>
          <w:sz w:val="24"/>
          <w:szCs w:val="24"/>
          <w:lang w:val="en-AU"/>
        </w:rPr>
        <w:t xml:space="preserve"> well as considering the </w:t>
      </w:r>
      <w:r w:rsidRPr="00DD5983">
        <w:rPr>
          <w:rFonts w:cs="Arial"/>
          <w:sz w:val="24"/>
          <w:szCs w:val="24"/>
          <w:lang w:val="en-AU"/>
        </w:rPr>
        <w:t>outlook</w:t>
      </w:r>
      <w:r w:rsidR="003C5E7B" w:rsidRPr="00DD5983">
        <w:rPr>
          <w:rFonts w:cs="Arial"/>
          <w:sz w:val="24"/>
          <w:szCs w:val="24"/>
          <w:lang w:val="en-AU"/>
        </w:rPr>
        <w:t xml:space="preserve"> for providers</w:t>
      </w:r>
      <w:r w:rsidRPr="00DD5983">
        <w:rPr>
          <w:rFonts w:cs="Arial"/>
          <w:sz w:val="24"/>
          <w:szCs w:val="24"/>
          <w:lang w:val="en-AU"/>
        </w:rPr>
        <w:t xml:space="preserve"> from the</w:t>
      </w:r>
      <w:r w:rsidR="003C5E7B" w:rsidRPr="00DD5983">
        <w:rPr>
          <w:rFonts w:cs="Arial"/>
          <w:sz w:val="24"/>
          <w:szCs w:val="24"/>
          <w:lang w:val="en-AU"/>
        </w:rPr>
        <w:t xml:space="preserve">ir perspective.  </w:t>
      </w:r>
    </w:p>
    <w:p w14:paraId="05FD8360" w14:textId="6A4A016B" w:rsidR="00F13A7F" w:rsidRPr="00DD5983" w:rsidRDefault="003C5E7B" w:rsidP="000257DA">
      <w:pPr>
        <w:pStyle w:val="BodyText-Table"/>
        <w:keepLines w:val="0"/>
        <w:spacing w:after="120" w:line="276" w:lineRule="auto"/>
        <w:contextualSpacing w:val="0"/>
        <w:rPr>
          <w:rFonts w:cs="Arial"/>
          <w:sz w:val="24"/>
          <w:szCs w:val="24"/>
        </w:rPr>
      </w:pPr>
      <w:r w:rsidRPr="00DD5983">
        <w:rPr>
          <w:rFonts w:cs="Arial"/>
          <w:sz w:val="24"/>
          <w:szCs w:val="24"/>
        </w:rPr>
        <w:t>Service providers have increased choice and control over the services they provide and t</w:t>
      </w:r>
      <w:r w:rsidR="00F13A7F" w:rsidRPr="00DD5983">
        <w:rPr>
          <w:rFonts w:cs="Arial"/>
          <w:sz w:val="24"/>
          <w:szCs w:val="24"/>
        </w:rPr>
        <w:t>o invest in change and growth, providers need to know</w:t>
      </w:r>
      <w:r w:rsidR="00D37701" w:rsidRPr="00DD5983">
        <w:rPr>
          <w:rFonts w:cs="Arial"/>
          <w:sz w:val="24"/>
          <w:szCs w:val="24"/>
        </w:rPr>
        <w:t xml:space="preserve"> the following</w:t>
      </w:r>
      <w:r w:rsidR="00BF6024" w:rsidRPr="00DD5983">
        <w:rPr>
          <w:rFonts w:cs="Arial"/>
          <w:sz w:val="24"/>
          <w:szCs w:val="24"/>
        </w:rPr>
        <w:t>:</w:t>
      </w:r>
    </w:p>
    <w:p w14:paraId="712941AD" w14:textId="77777777" w:rsidR="00572086" w:rsidRPr="00DD5983" w:rsidRDefault="00572086" w:rsidP="00572086">
      <w:pPr>
        <w:pStyle w:val="BodyText1"/>
        <w:numPr>
          <w:ilvl w:val="0"/>
          <w:numId w:val="44"/>
        </w:numPr>
        <w:rPr>
          <w:rFonts w:cs="Arial"/>
          <w:sz w:val="24"/>
          <w:szCs w:val="24"/>
        </w:rPr>
      </w:pPr>
      <w:r w:rsidRPr="00DD5983">
        <w:rPr>
          <w:rFonts w:cs="Arial"/>
          <w:sz w:val="24"/>
          <w:szCs w:val="24"/>
        </w:rPr>
        <w:t xml:space="preserve">The total costs of transition.  </w:t>
      </w:r>
    </w:p>
    <w:p w14:paraId="56C98B3F" w14:textId="5FAEB7BA" w:rsidR="00572086" w:rsidRPr="00DD5983" w:rsidRDefault="00572086" w:rsidP="00572086">
      <w:pPr>
        <w:pStyle w:val="BodyText1"/>
        <w:numPr>
          <w:ilvl w:val="0"/>
          <w:numId w:val="44"/>
        </w:numPr>
        <w:rPr>
          <w:rFonts w:cs="Arial"/>
          <w:sz w:val="24"/>
          <w:szCs w:val="24"/>
        </w:rPr>
      </w:pPr>
      <w:r w:rsidRPr="00DD5983">
        <w:rPr>
          <w:rFonts w:cs="Arial"/>
          <w:sz w:val="24"/>
          <w:szCs w:val="24"/>
        </w:rPr>
        <w:t xml:space="preserve">The </w:t>
      </w:r>
      <w:r w:rsidR="00D37701" w:rsidRPr="00DD5983">
        <w:rPr>
          <w:rFonts w:cs="Arial"/>
          <w:sz w:val="24"/>
          <w:szCs w:val="24"/>
        </w:rPr>
        <w:t xml:space="preserve">price of services and the </w:t>
      </w:r>
      <w:r w:rsidRPr="00DD5983">
        <w:rPr>
          <w:rFonts w:cs="Arial"/>
          <w:sz w:val="24"/>
          <w:szCs w:val="24"/>
        </w:rPr>
        <w:t>potential profitability of the</w:t>
      </w:r>
      <w:r w:rsidR="00464317" w:rsidRPr="00DD5983">
        <w:rPr>
          <w:rFonts w:cs="Arial"/>
          <w:sz w:val="24"/>
          <w:szCs w:val="24"/>
        </w:rPr>
        <w:t xml:space="preserve"> ‘new market’, </w:t>
      </w:r>
      <w:r w:rsidR="00BF6024" w:rsidRPr="00DD5983">
        <w:rPr>
          <w:rFonts w:cs="Arial"/>
          <w:sz w:val="24"/>
          <w:szCs w:val="24"/>
        </w:rPr>
        <w:t>whether it is likely to</w:t>
      </w:r>
      <w:r w:rsidRPr="00DD5983">
        <w:rPr>
          <w:rFonts w:cs="Arial"/>
          <w:sz w:val="24"/>
          <w:szCs w:val="24"/>
        </w:rPr>
        <w:t xml:space="preserve"> be sufficient to enable organisations to return to profitably, and if so, how long it will take for them to rebuild their balance sheets. </w:t>
      </w:r>
    </w:p>
    <w:p w14:paraId="0CEFE467" w14:textId="77777777" w:rsidR="00572086" w:rsidRPr="00DD5983" w:rsidRDefault="00572086" w:rsidP="00572086">
      <w:pPr>
        <w:pStyle w:val="BodyText1"/>
        <w:numPr>
          <w:ilvl w:val="0"/>
          <w:numId w:val="44"/>
        </w:numPr>
        <w:rPr>
          <w:rFonts w:cs="Arial"/>
          <w:sz w:val="24"/>
          <w:szCs w:val="24"/>
        </w:rPr>
      </w:pPr>
      <w:r w:rsidRPr="00DD5983">
        <w:rPr>
          <w:rFonts w:cs="Arial"/>
          <w:sz w:val="24"/>
          <w:szCs w:val="24"/>
        </w:rPr>
        <w:t>The rate of growth and timing of expenditure in comparison with the growth in revenue.</w:t>
      </w:r>
    </w:p>
    <w:p w14:paraId="6A1A0833" w14:textId="4585C946" w:rsidR="00572086" w:rsidRPr="00DD5983" w:rsidRDefault="00572086" w:rsidP="00572086">
      <w:pPr>
        <w:pStyle w:val="BodyText1"/>
        <w:numPr>
          <w:ilvl w:val="0"/>
          <w:numId w:val="44"/>
        </w:numPr>
        <w:rPr>
          <w:rFonts w:cs="Arial"/>
          <w:sz w:val="24"/>
          <w:szCs w:val="24"/>
        </w:rPr>
      </w:pPr>
      <w:r w:rsidRPr="00DD5983">
        <w:rPr>
          <w:rFonts w:cs="Arial"/>
          <w:sz w:val="24"/>
          <w:szCs w:val="24"/>
        </w:rPr>
        <w:t>The asset reserves of organisations.</w:t>
      </w:r>
    </w:p>
    <w:p w14:paraId="34B0AED1" w14:textId="052030A9" w:rsidR="00020666" w:rsidRPr="00DD5983" w:rsidRDefault="00572086" w:rsidP="00572086">
      <w:pPr>
        <w:pStyle w:val="BodyText1"/>
        <w:numPr>
          <w:ilvl w:val="0"/>
          <w:numId w:val="44"/>
        </w:numPr>
        <w:rPr>
          <w:rFonts w:cs="Arial"/>
          <w:sz w:val="24"/>
          <w:szCs w:val="24"/>
        </w:rPr>
      </w:pPr>
      <w:r w:rsidRPr="00DD5983">
        <w:rPr>
          <w:rFonts w:cs="Arial"/>
          <w:sz w:val="24"/>
          <w:szCs w:val="24"/>
        </w:rPr>
        <w:t>The length of time organisations will need to fund investment before they receive returns. That is, will they run out of available assets before they can return to profit?</w:t>
      </w:r>
    </w:p>
    <w:p w14:paraId="1F19A2A1" w14:textId="3C557FE1" w:rsidR="00D37701" w:rsidRPr="00DD5983" w:rsidRDefault="00D37701" w:rsidP="000257DA">
      <w:pPr>
        <w:pStyle w:val="BodyText-Table"/>
        <w:keepLines w:val="0"/>
        <w:spacing w:after="120" w:line="276" w:lineRule="auto"/>
        <w:contextualSpacing w:val="0"/>
        <w:rPr>
          <w:rFonts w:cs="Arial"/>
          <w:sz w:val="24"/>
          <w:szCs w:val="24"/>
        </w:rPr>
      </w:pPr>
      <w:r w:rsidRPr="00DD5983">
        <w:rPr>
          <w:rFonts w:cs="Arial"/>
          <w:sz w:val="24"/>
          <w:szCs w:val="24"/>
        </w:rPr>
        <w:t>This information is needed</w:t>
      </w:r>
      <w:r w:rsidR="0097775B" w:rsidRPr="00DD5983">
        <w:rPr>
          <w:rFonts w:cs="Arial"/>
          <w:sz w:val="24"/>
          <w:szCs w:val="24"/>
        </w:rPr>
        <w:t xml:space="preserve"> at</w:t>
      </w:r>
      <w:r w:rsidRPr="00DD5983">
        <w:rPr>
          <w:rFonts w:cs="Arial"/>
          <w:sz w:val="24"/>
          <w:szCs w:val="24"/>
        </w:rPr>
        <w:t xml:space="preserve"> the service level. </w:t>
      </w:r>
    </w:p>
    <w:p w14:paraId="4C25F3A6" w14:textId="697CFAD6" w:rsidR="00F13A7F" w:rsidRPr="00DD5983" w:rsidRDefault="007C382D" w:rsidP="000257DA">
      <w:pPr>
        <w:pStyle w:val="BodyText-Table"/>
        <w:keepLines w:val="0"/>
        <w:spacing w:after="120" w:line="276" w:lineRule="auto"/>
        <w:contextualSpacing w:val="0"/>
        <w:rPr>
          <w:rFonts w:cs="Arial"/>
          <w:sz w:val="24"/>
          <w:szCs w:val="24"/>
        </w:rPr>
      </w:pPr>
      <w:r w:rsidRPr="00DD5983">
        <w:rPr>
          <w:rFonts w:cs="Arial"/>
          <w:sz w:val="24"/>
          <w:szCs w:val="24"/>
        </w:rPr>
        <w:t>The Commonwealth Government, via the relevant agencies</w:t>
      </w:r>
      <w:r w:rsidR="0097775B" w:rsidRPr="00DD5983">
        <w:rPr>
          <w:rFonts w:cs="Arial"/>
          <w:sz w:val="24"/>
          <w:szCs w:val="24"/>
        </w:rPr>
        <w:t>,</w:t>
      </w:r>
      <w:r w:rsidR="00D56AA2" w:rsidRPr="00DD5983">
        <w:rPr>
          <w:rFonts w:cs="Arial"/>
          <w:sz w:val="24"/>
          <w:szCs w:val="24"/>
        </w:rPr>
        <w:t xml:space="preserve"> can influence the outcomes or provide guidance on the answers to some of these que</w:t>
      </w:r>
      <w:r w:rsidR="008B4987" w:rsidRPr="00DD5983">
        <w:rPr>
          <w:rFonts w:cs="Arial"/>
          <w:sz w:val="24"/>
          <w:szCs w:val="24"/>
        </w:rPr>
        <w:t>stions and doing so would greatly improve the efficiency and speed of transition</w:t>
      </w:r>
      <w:r w:rsidR="00464317" w:rsidRPr="00DD5983">
        <w:rPr>
          <w:rFonts w:cs="Arial"/>
          <w:sz w:val="24"/>
          <w:szCs w:val="24"/>
        </w:rPr>
        <w:t>,</w:t>
      </w:r>
      <w:r w:rsidR="008B4987" w:rsidRPr="00DD5983">
        <w:rPr>
          <w:rFonts w:cs="Arial"/>
          <w:sz w:val="24"/>
          <w:szCs w:val="24"/>
        </w:rPr>
        <w:t xml:space="preserve"> and encourage sector growth.</w:t>
      </w:r>
    </w:p>
    <w:p w14:paraId="7D4E64C9" w14:textId="736279CB" w:rsidR="008B4987" w:rsidRPr="00DD5983" w:rsidRDefault="007C382D" w:rsidP="000257DA">
      <w:pPr>
        <w:pStyle w:val="BodyText-Table"/>
        <w:keepLines w:val="0"/>
        <w:spacing w:after="120" w:line="276" w:lineRule="auto"/>
        <w:contextualSpacing w:val="0"/>
        <w:rPr>
          <w:rFonts w:cs="Arial"/>
          <w:sz w:val="24"/>
          <w:szCs w:val="24"/>
        </w:rPr>
      </w:pPr>
      <w:r w:rsidRPr="00DD5983">
        <w:rPr>
          <w:rFonts w:cs="Arial"/>
          <w:sz w:val="24"/>
          <w:szCs w:val="24"/>
        </w:rPr>
        <w:t xml:space="preserve">Specifically, </w:t>
      </w:r>
    </w:p>
    <w:p w14:paraId="23E75DCE" w14:textId="7C32CDB5" w:rsidR="007C382D" w:rsidRPr="00DD5983" w:rsidRDefault="007C382D" w:rsidP="008B4987">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 xml:space="preserve">The price of services must be set with precision so that there is a balance </w:t>
      </w:r>
      <w:r w:rsidR="008471B5" w:rsidRPr="00DD5983">
        <w:rPr>
          <w:rFonts w:cs="Arial"/>
          <w:sz w:val="24"/>
          <w:szCs w:val="24"/>
        </w:rPr>
        <w:t>between achieving</w:t>
      </w:r>
      <w:r w:rsidRPr="00DD5983">
        <w:rPr>
          <w:rFonts w:cs="Arial"/>
          <w:sz w:val="24"/>
          <w:szCs w:val="24"/>
        </w:rPr>
        <w:t xml:space="preserve"> </w:t>
      </w:r>
      <w:r w:rsidR="009E7D9E" w:rsidRPr="00DD5983">
        <w:rPr>
          <w:rFonts w:cs="Arial"/>
          <w:sz w:val="24"/>
          <w:szCs w:val="24"/>
        </w:rPr>
        <w:t xml:space="preserve">value for money with creating a </w:t>
      </w:r>
      <w:r w:rsidRPr="00DD5983">
        <w:rPr>
          <w:rFonts w:cs="Arial"/>
          <w:sz w:val="24"/>
          <w:szCs w:val="24"/>
        </w:rPr>
        <w:t>market</w:t>
      </w:r>
      <w:r w:rsidR="009E7D9E" w:rsidRPr="00DD5983">
        <w:rPr>
          <w:rFonts w:cs="Arial"/>
          <w:sz w:val="24"/>
          <w:szCs w:val="24"/>
        </w:rPr>
        <w:t xml:space="preserve"> that is</w:t>
      </w:r>
      <w:r w:rsidRPr="00DD5983">
        <w:rPr>
          <w:rFonts w:cs="Arial"/>
          <w:sz w:val="24"/>
          <w:szCs w:val="24"/>
        </w:rPr>
        <w:t xml:space="preserve"> sufficiently attractive to new entrants</w:t>
      </w:r>
      <w:r w:rsidR="000B346C" w:rsidRPr="00DD5983">
        <w:rPr>
          <w:rFonts w:cs="Arial"/>
          <w:sz w:val="24"/>
          <w:szCs w:val="24"/>
        </w:rPr>
        <w:t xml:space="preserve"> and existing providers</w:t>
      </w:r>
      <w:r w:rsidRPr="00DD5983">
        <w:rPr>
          <w:rFonts w:cs="Arial"/>
          <w:sz w:val="24"/>
          <w:szCs w:val="24"/>
        </w:rPr>
        <w:t>.</w:t>
      </w:r>
      <w:r w:rsidR="00B42EC1" w:rsidRPr="00DD5983">
        <w:rPr>
          <w:rFonts w:cs="Arial"/>
          <w:sz w:val="24"/>
          <w:szCs w:val="24"/>
        </w:rPr>
        <w:t xml:space="preserve"> The National Disability Insurance Agency (NDIA)</w:t>
      </w:r>
      <w:r w:rsidR="00C77569" w:rsidRPr="00DD5983">
        <w:rPr>
          <w:rFonts w:cs="Arial"/>
          <w:sz w:val="24"/>
          <w:szCs w:val="24"/>
        </w:rPr>
        <w:t xml:space="preserve"> have </w:t>
      </w:r>
      <w:r w:rsidR="00EC1EA3" w:rsidRPr="00DD5983">
        <w:rPr>
          <w:rFonts w:cs="Arial"/>
          <w:sz w:val="24"/>
          <w:szCs w:val="24"/>
        </w:rPr>
        <w:t xml:space="preserve">also </w:t>
      </w:r>
      <w:r w:rsidR="00C77569" w:rsidRPr="00DD5983">
        <w:rPr>
          <w:rFonts w:cs="Arial"/>
          <w:sz w:val="24"/>
          <w:szCs w:val="24"/>
        </w:rPr>
        <w:t xml:space="preserve">stated </w:t>
      </w:r>
      <w:r w:rsidR="00E75A56" w:rsidRPr="00DD5983">
        <w:rPr>
          <w:rFonts w:cs="Arial"/>
          <w:sz w:val="24"/>
          <w:szCs w:val="24"/>
        </w:rPr>
        <w:t>that this is a key consideration</w:t>
      </w:r>
      <w:r w:rsidR="00C77569" w:rsidRPr="00DD5983">
        <w:rPr>
          <w:rFonts w:cs="Arial"/>
          <w:sz w:val="24"/>
          <w:szCs w:val="24"/>
        </w:rPr>
        <w:t xml:space="preserve"> in determining price controls</w:t>
      </w:r>
      <w:r w:rsidR="00C77569" w:rsidRPr="00DD5983">
        <w:rPr>
          <w:rStyle w:val="FootnoteReference"/>
          <w:rFonts w:cs="Arial"/>
          <w:sz w:val="24"/>
          <w:szCs w:val="24"/>
        </w:rPr>
        <w:footnoteReference w:id="1"/>
      </w:r>
      <w:r w:rsidR="00C77569" w:rsidRPr="00DD5983">
        <w:rPr>
          <w:rFonts w:cs="Arial"/>
          <w:sz w:val="24"/>
          <w:szCs w:val="24"/>
        </w:rPr>
        <w:t xml:space="preserve">. </w:t>
      </w:r>
      <w:r w:rsidRPr="00DD5983">
        <w:rPr>
          <w:rFonts w:cs="Arial"/>
          <w:sz w:val="24"/>
          <w:szCs w:val="24"/>
        </w:rPr>
        <w:t xml:space="preserve"> </w:t>
      </w:r>
      <w:r w:rsidR="00EA0529" w:rsidRPr="00DD5983">
        <w:rPr>
          <w:rFonts w:cs="Arial"/>
          <w:sz w:val="24"/>
          <w:szCs w:val="24"/>
        </w:rPr>
        <w:t>If returns appear</w:t>
      </w:r>
      <w:r w:rsidR="00464317" w:rsidRPr="00DD5983">
        <w:rPr>
          <w:rFonts w:cs="Arial"/>
          <w:sz w:val="24"/>
          <w:szCs w:val="24"/>
        </w:rPr>
        <w:t xml:space="preserve"> low</w:t>
      </w:r>
      <w:r w:rsidR="00CC17B4" w:rsidRPr="00DD5983">
        <w:rPr>
          <w:rFonts w:cs="Arial"/>
          <w:sz w:val="24"/>
          <w:szCs w:val="24"/>
        </w:rPr>
        <w:t>,</w:t>
      </w:r>
      <w:r w:rsidR="00464317" w:rsidRPr="00DD5983">
        <w:rPr>
          <w:rFonts w:cs="Arial"/>
          <w:sz w:val="24"/>
          <w:szCs w:val="24"/>
        </w:rPr>
        <w:t xml:space="preserve"> </w:t>
      </w:r>
      <w:r w:rsidR="00EA0529" w:rsidRPr="00DD5983">
        <w:rPr>
          <w:rFonts w:cs="Arial"/>
          <w:sz w:val="24"/>
          <w:szCs w:val="24"/>
        </w:rPr>
        <w:t>providers</w:t>
      </w:r>
      <w:r w:rsidR="008471B5" w:rsidRPr="00DD5983">
        <w:rPr>
          <w:rFonts w:cs="Arial"/>
          <w:sz w:val="24"/>
          <w:szCs w:val="24"/>
        </w:rPr>
        <w:t xml:space="preserve"> will </w:t>
      </w:r>
      <w:r w:rsidR="009E7D9E" w:rsidRPr="00DD5983">
        <w:rPr>
          <w:rFonts w:cs="Arial"/>
          <w:sz w:val="24"/>
          <w:szCs w:val="24"/>
        </w:rPr>
        <w:t xml:space="preserve">invest elsewhere or </w:t>
      </w:r>
      <w:r w:rsidR="008471B5" w:rsidRPr="00DD5983">
        <w:rPr>
          <w:rFonts w:cs="Arial"/>
          <w:sz w:val="24"/>
          <w:szCs w:val="24"/>
        </w:rPr>
        <w:t>exit service provision</w:t>
      </w:r>
      <w:r w:rsidR="0097775B" w:rsidRPr="00DD5983">
        <w:rPr>
          <w:rFonts w:cs="Arial"/>
          <w:sz w:val="24"/>
          <w:szCs w:val="24"/>
        </w:rPr>
        <w:t xml:space="preserve">, in many cases in order to protect </w:t>
      </w:r>
      <w:r w:rsidR="00CC17B4" w:rsidRPr="00DD5983">
        <w:rPr>
          <w:rFonts w:cs="Arial"/>
          <w:sz w:val="24"/>
          <w:szCs w:val="24"/>
        </w:rPr>
        <w:t xml:space="preserve">the sustainability of </w:t>
      </w:r>
      <w:r w:rsidR="0097775B" w:rsidRPr="00DD5983">
        <w:rPr>
          <w:rFonts w:cs="Arial"/>
          <w:sz w:val="24"/>
          <w:szCs w:val="24"/>
        </w:rPr>
        <w:t>other human services they provide</w:t>
      </w:r>
      <w:r w:rsidR="008471B5" w:rsidRPr="00DD5983">
        <w:rPr>
          <w:rFonts w:cs="Arial"/>
          <w:sz w:val="24"/>
          <w:szCs w:val="24"/>
        </w:rPr>
        <w:t>.</w:t>
      </w:r>
      <w:r w:rsidR="003C5E7B" w:rsidRPr="00DD5983">
        <w:rPr>
          <w:rFonts w:cs="Arial"/>
          <w:sz w:val="24"/>
          <w:szCs w:val="24"/>
        </w:rPr>
        <w:t xml:space="preserve">  The data set developed for this study provides essential information for price monitoring.</w:t>
      </w:r>
    </w:p>
    <w:p w14:paraId="00D71DFF" w14:textId="4C7B19E6" w:rsidR="00A72A74" w:rsidRPr="00DD5983" w:rsidRDefault="009E7D9E" w:rsidP="00290A3E">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The NDIA s</w:t>
      </w:r>
      <w:r w:rsidR="008B4987" w:rsidRPr="00DD5983">
        <w:rPr>
          <w:rFonts w:cs="Arial"/>
          <w:sz w:val="24"/>
          <w:szCs w:val="24"/>
        </w:rPr>
        <w:t xml:space="preserve">hould be fully transparent about all aspects of the volume and speed of the rollout of services, client numbers and </w:t>
      </w:r>
      <w:r w:rsidR="001164F0" w:rsidRPr="00DD5983">
        <w:rPr>
          <w:rFonts w:cs="Arial"/>
          <w:sz w:val="24"/>
          <w:szCs w:val="24"/>
        </w:rPr>
        <w:t xml:space="preserve">the price of </w:t>
      </w:r>
      <w:r w:rsidR="008B4987" w:rsidRPr="00DD5983">
        <w:rPr>
          <w:rFonts w:cs="Arial"/>
          <w:sz w:val="24"/>
          <w:szCs w:val="24"/>
        </w:rPr>
        <w:t>service</w:t>
      </w:r>
      <w:r w:rsidR="001164F0" w:rsidRPr="00DD5983">
        <w:rPr>
          <w:rFonts w:cs="Arial"/>
          <w:sz w:val="24"/>
          <w:szCs w:val="24"/>
        </w:rPr>
        <w:t>s</w:t>
      </w:r>
      <w:r w:rsidR="008B4987" w:rsidRPr="00DD5983">
        <w:rPr>
          <w:rFonts w:cs="Arial"/>
          <w:sz w:val="24"/>
          <w:szCs w:val="24"/>
        </w:rPr>
        <w:t xml:space="preserve">. </w:t>
      </w:r>
      <w:r w:rsidR="000B1D33" w:rsidRPr="00DD5983">
        <w:rPr>
          <w:rFonts w:cs="Arial"/>
          <w:sz w:val="24"/>
          <w:szCs w:val="24"/>
        </w:rPr>
        <w:t xml:space="preserve">While policy level data is available, such as that found in the bilateral agreements between the Commonwealth and states and territories, </w:t>
      </w:r>
      <w:r w:rsidR="000B1D33" w:rsidRPr="00DD5983">
        <w:rPr>
          <w:rFonts w:eastAsia="Times New Roman" w:cs="Arial"/>
          <w:color w:val="000000"/>
          <w:sz w:val="24"/>
          <w:szCs w:val="24"/>
          <w:shd w:val="clear" w:color="auto" w:fill="FFFFFF"/>
        </w:rPr>
        <w:t>t</w:t>
      </w:r>
      <w:r w:rsidR="00E75A56" w:rsidRPr="00DD5983">
        <w:rPr>
          <w:rFonts w:eastAsia="Times New Roman" w:cs="Arial"/>
          <w:color w:val="000000"/>
          <w:sz w:val="24"/>
          <w:szCs w:val="24"/>
          <w:shd w:val="clear" w:color="auto" w:fill="FFFFFF"/>
        </w:rPr>
        <w:t xml:space="preserve">his transparency should be provided at the </w:t>
      </w:r>
      <w:r w:rsidR="00E75A56" w:rsidRPr="00DD5983">
        <w:rPr>
          <w:rFonts w:cs="Arial"/>
          <w:sz w:val="24"/>
          <w:szCs w:val="24"/>
        </w:rPr>
        <w:t>lowest possible level of granularity—that is b</w:t>
      </w:r>
      <w:r w:rsidR="00E377C9" w:rsidRPr="00DD5983">
        <w:rPr>
          <w:rFonts w:cs="Arial"/>
          <w:sz w:val="24"/>
          <w:szCs w:val="24"/>
        </w:rPr>
        <w:t>y service types and by location</w:t>
      </w:r>
      <w:r w:rsidR="00CC17B4" w:rsidRPr="00DD5983">
        <w:rPr>
          <w:rFonts w:cs="Arial"/>
          <w:sz w:val="24"/>
          <w:szCs w:val="24"/>
        </w:rPr>
        <w:t>--</w:t>
      </w:r>
      <w:r w:rsidR="00E75A56" w:rsidRPr="00DD5983">
        <w:rPr>
          <w:rFonts w:cs="Arial"/>
          <w:sz w:val="24"/>
          <w:szCs w:val="24"/>
        </w:rPr>
        <w:t>as</w:t>
      </w:r>
      <w:r w:rsidR="00CC17B4" w:rsidRPr="00DD5983">
        <w:rPr>
          <w:rFonts w:cs="Arial"/>
          <w:sz w:val="24"/>
          <w:szCs w:val="24"/>
        </w:rPr>
        <w:t xml:space="preserve"> </w:t>
      </w:r>
      <w:r w:rsidR="00E75A56" w:rsidRPr="00DD5983">
        <w:rPr>
          <w:rFonts w:cs="Arial"/>
          <w:sz w:val="24"/>
          <w:szCs w:val="24"/>
        </w:rPr>
        <w:t>the current inf</w:t>
      </w:r>
      <w:r w:rsidR="006B20EB" w:rsidRPr="00DD5983">
        <w:rPr>
          <w:rFonts w:cs="Arial"/>
          <w:sz w:val="24"/>
          <w:szCs w:val="24"/>
        </w:rPr>
        <w:t xml:space="preserve">ormation that is obtainable </w:t>
      </w:r>
      <w:r w:rsidR="00290A3E" w:rsidRPr="00DD5983">
        <w:rPr>
          <w:rFonts w:cs="Arial"/>
          <w:sz w:val="24"/>
          <w:szCs w:val="24"/>
        </w:rPr>
        <w:t>in</w:t>
      </w:r>
      <w:r w:rsidR="00E75A56" w:rsidRPr="00DD5983">
        <w:rPr>
          <w:rFonts w:cs="Arial"/>
          <w:sz w:val="24"/>
          <w:szCs w:val="24"/>
        </w:rPr>
        <w:t xml:space="preserve"> each jurisdiction is not sufficiently specif</w:t>
      </w:r>
      <w:r w:rsidR="00C150B8" w:rsidRPr="00DD5983">
        <w:rPr>
          <w:rFonts w:cs="Arial"/>
          <w:sz w:val="24"/>
          <w:szCs w:val="24"/>
        </w:rPr>
        <w:t>ic to facilitate planning.</w:t>
      </w:r>
    </w:p>
    <w:p w14:paraId="6738096B" w14:textId="08EB4732" w:rsidR="002B63B2" w:rsidRPr="00DD5983" w:rsidRDefault="002B63B2" w:rsidP="00A72A74">
      <w:pPr>
        <w:pStyle w:val="BodyText-Table"/>
        <w:keepLines w:val="0"/>
        <w:spacing w:after="120" w:line="276" w:lineRule="auto"/>
        <w:ind w:left="720"/>
        <w:contextualSpacing w:val="0"/>
        <w:rPr>
          <w:rFonts w:cs="Arial"/>
          <w:sz w:val="24"/>
          <w:szCs w:val="24"/>
        </w:rPr>
      </w:pPr>
      <w:r w:rsidRPr="00DD5983">
        <w:rPr>
          <w:rFonts w:cs="Arial"/>
          <w:sz w:val="24"/>
          <w:szCs w:val="24"/>
        </w:rPr>
        <w:t xml:space="preserve">Organisations </w:t>
      </w:r>
      <w:r w:rsidR="001164F0" w:rsidRPr="00DD5983">
        <w:rPr>
          <w:rFonts w:cs="Arial"/>
          <w:sz w:val="24"/>
          <w:szCs w:val="24"/>
        </w:rPr>
        <w:t>will invest in change if they have some confidence in the future operating environment. Therefore,</w:t>
      </w:r>
      <w:r w:rsidRPr="00DD5983">
        <w:rPr>
          <w:rFonts w:cs="Arial"/>
          <w:sz w:val="24"/>
          <w:szCs w:val="24"/>
        </w:rPr>
        <w:t xml:space="preserve"> this information s</w:t>
      </w:r>
      <w:r w:rsidR="001164F0" w:rsidRPr="00DD5983">
        <w:rPr>
          <w:rFonts w:cs="Arial"/>
          <w:sz w:val="24"/>
          <w:szCs w:val="24"/>
        </w:rPr>
        <w:t xml:space="preserve">hould be provided </w:t>
      </w:r>
      <w:r w:rsidR="00464317" w:rsidRPr="00DD5983">
        <w:rPr>
          <w:rFonts w:cs="Arial"/>
          <w:sz w:val="24"/>
          <w:szCs w:val="24"/>
        </w:rPr>
        <w:t>in advance</w:t>
      </w:r>
      <w:r w:rsidR="00CC17B4" w:rsidRPr="00DD5983">
        <w:rPr>
          <w:rFonts w:cs="Arial"/>
          <w:sz w:val="24"/>
          <w:szCs w:val="24"/>
        </w:rPr>
        <w:t>--</w:t>
      </w:r>
      <w:r w:rsidR="001164F0" w:rsidRPr="00DD5983">
        <w:rPr>
          <w:rFonts w:cs="Arial"/>
          <w:sz w:val="24"/>
          <w:szCs w:val="24"/>
        </w:rPr>
        <w:t>ideally</w:t>
      </w:r>
      <w:r w:rsidR="00CC17B4" w:rsidRPr="00DD5983">
        <w:rPr>
          <w:rFonts w:cs="Arial"/>
          <w:sz w:val="24"/>
          <w:szCs w:val="24"/>
        </w:rPr>
        <w:t xml:space="preserve"> </w:t>
      </w:r>
      <w:r w:rsidRPr="00DD5983">
        <w:rPr>
          <w:rFonts w:cs="Arial"/>
          <w:sz w:val="24"/>
          <w:szCs w:val="24"/>
        </w:rPr>
        <w:t xml:space="preserve">at least three years </w:t>
      </w:r>
      <w:r w:rsidR="00464317" w:rsidRPr="00DD5983">
        <w:rPr>
          <w:rFonts w:cs="Arial"/>
          <w:sz w:val="24"/>
          <w:szCs w:val="24"/>
        </w:rPr>
        <w:t>ahead</w:t>
      </w:r>
      <w:r w:rsidR="001164F0" w:rsidRPr="00DD5983">
        <w:rPr>
          <w:rFonts w:cs="Arial"/>
          <w:sz w:val="24"/>
          <w:szCs w:val="24"/>
        </w:rPr>
        <w:t xml:space="preserve">.  It should also be reliable.  That is, </w:t>
      </w:r>
      <w:r w:rsidR="008F241B" w:rsidRPr="00DD5983">
        <w:rPr>
          <w:rFonts w:cs="Arial"/>
          <w:sz w:val="24"/>
          <w:szCs w:val="24"/>
        </w:rPr>
        <w:t xml:space="preserve">NDIS should commit to </w:t>
      </w:r>
      <w:r w:rsidR="001164F0" w:rsidRPr="00DD5983">
        <w:rPr>
          <w:rFonts w:cs="Arial"/>
          <w:sz w:val="24"/>
          <w:szCs w:val="24"/>
        </w:rPr>
        <w:t xml:space="preserve">prices (at least during rollout) </w:t>
      </w:r>
      <w:r w:rsidR="008F241B" w:rsidRPr="00DD5983">
        <w:rPr>
          <w:rFonts w:cs="Arial"/>
          <w:sz w:val="24"/>
          <w:szCs w:val="24"/>
        </w:rPr>
        <w:t>several years in advance</w:t>
      </w:r>
      <w:r w:rsidR="008E65C5" w:rsidRPr="00DD5983">
        <w:rPr>
          <w:rFonts w:cs="Arial"/>
          <w:sz w:val="24"/>
          <w:szCs w:val="24"/>
        </w:rPr>
        <w:t xml:space="preserve"> and in a way that is fully transparent and builds confidence in providers.</w:t>
      </w:r>
    </w:p>
    <w:p w14:paraId="4F65E56F" w14:textId="1C663871" w:rsidR="007F687A" w:rsidRPr="00DD5983" w:rsidRDefault="009E7D9E">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The NDIA s</w:t>
      </w:r>
      <w:r w:rsidR="00343869" w:rsidRPr="00DD5983">
        <w:rPr>
          <w:rFonts w:cs="Arial"/>
          <w:sz w:val="24"/>
          <w:szCs w:val="24"/>
        </w:rPr>
        <w:t>hould be fully aware of the impact that any delay or changes in service volumes will have on organisations costs and viability.</w:t>
      </w:r>
      <w:r w:rsidR="00D735CA" w:rsidRPr="00DD5983">
        <w:rPr>
          <w:rFonts w:cs="Arial"/>
          <w:sz w:val="24"/>
          <w:szCs w:val="24"/>
        </w:rPr>
        <w:t xml:space="preserve"> </w:t>
      </w:r>
      <w:r w:rsidR="00464317" w:rsidRPr="00DD5983">
        <w:rPr>
          <w:rFonts w:cs="Arial"/>
          <w:sz w:val="24"/>
          <w:szCs w:val="24"/>
        </w:rPr>
        <w:t xml:space="preserve">If any </w:t>
      </w:r>
      <w:r w:rsidR="000C196B" w:rsidRPr="00DD5983">
        <w:rPr>
          <w:rFonts w:cs="Arial"/>
          <w:sz w:val="24"/>
          <w:szCs w:val="24"/>
        </w:rPr>
        <w:t>alterations</w:t>
      </w:r>
      <w:r w:rsidR="00464317" w:rsidRPr="00DD5983">
        <w:rPr>
          <w:rFonts w:cs="Arial"/>
          <w:sz w:val="24"/>
          <w:szCs w:val="24"/>
        </w:rPr>
        <w:t xml:space="preserve"> to forecast volumes must be made,</w:t>
      </w:r>
      <w:r w:rsidR="00A72A74" w:rsidRPr="00DD5983">
        <w:rPr>
          <w:rFonts w:cs="Arial"/>
          <w:sz w:val="24"/>
          <w:szCs w:val="24"/>
        </w:rPr>
        <w:t xml:space="preserve"> this information should be provided to providers at least a year ahead, and ideally in the first quarter of the year so they can adjust budgets.</w:t>
      </w:r>
      <w:r w:rsidR="0097775B" w:rsidRPr="00DD5983">
        <w:rPr>
          <w:rFonts w:cs="Arial"/>
          <w:sz w:val="24"/>
          <w:szCs w:val="24"/>
        </w:rPr>
        <w:t xml:space="preserve"> </w:t>
      </w:r>
    </w:p>
    <w:p w14:paraId="2DD445DE" w14:textId="490174F2" w:rsidR="00CC17B4" w:rsidRPr="00DD5983" w:rsidRDefault="00CC17B4">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Prices should be based on the comprehensive cost of service delivery.</w:t>
      </w:r>
    </w:p>
    <w:p w14:paraId="1D757A66" w14:textId="67067927" w:rsidR="009E7D9E" w:rsidRPr="00DD5983" w:rsidRDefault="009E7D9E" w:rsidP="007F687A">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T</w:t>
      </w:r>
      <w:r w:rsidR="00E17AED" w:rsidRPr="00DD5983">
        <w:rPr>
          <w:rFonts w:cs="Arial"/>
          <w:sz w:val="24"/>
          <w:szCs w:val="24"/>
        </w:rPr>
        <w:t>he success of the NDIS is predicated on the existence of a strong and health</w:t>
      </w:r>
      <w:r w:rsidR="0097775B" w:rsidRPr="00DD5983">
        <w:rPr>
          <w:rFonts w:cs="Arial"/>
          <w:sz w:val="24"/>
          <w:szCs w:val="24"/>
        </w:rPr>
        <w:t>y</w:t>
      </w:r>
      <w:r w:rsidR="00E17AED" w:rsidRPr="00DD5983">
        <w:rPr>
          <w:rFonts w:cs="Arial"/>
          <w:sz w:val="24"/>
          <w:szCs w:val="24"/>
        </w:rPr>
        <w:t xml:space="preserve"> supply of service. To ensure the sector is not depleted</w:t>
      </w:r>
      <w:r w:rsidR="007F687A" w:rsidRPr="00DD5983">
        <w:rPr>
          <w:rFonts w:cs="Arial"/>
          <w:sz w:val="24"/>
          <w:szCs w:val="24"/>
        </w:rPr>
        <w:t xml:space="preserve"> during transition and growth</w:t>
      </w:r>
      <w:r w:rsidR="00E17AED" w:rsidRPr="00DD5983">
        <w:rPr>
          <w:rFonts w:cs="Arial"/>
          <w:sz w:val="24"/>
          <w:szCs w:val="24"/>
        </w:rPr>
        <w:t>, t</w:t>
      </w:r>
      <w:r w:rsidRPr="00DD5983">
        <w:rPr>
          <w:rFonts w:cs="Arial"/>
          <w:sz w:val="24"/>
          <w:szCs w:val="24"/>
        </w:rPr>
        <w:t xml:space="preserve">he full costs of transition and growth </w:t>
      </w:r>
      <w:r w:rsidR="00E17AED" w:rsidRPr="00DD5983">
        <w:rPr>
          <w:rFonts w:cs="Arial"/>
          <w:sz w:val="24"/>
          <w:szCs w:val="24"/>
        </w:rPr>
        <w:t>of organisation</w:t>
      </w:r>
      <w:r w:rsidR="0097775B" w:rsidRPr="00DD5983">
        <w:rPr>
          <w:rFonts w:cs="Arial"/>
          <w:sz w:val="24"/>
          <w:szCs w:val="24"/>
        </w:rPr>
        <w:t>s</w:t>
      </w:r>
      <w:r w:rsidR="00E17AED" w:rsidRPr="00DD5983">
        <w:rPr>
          <w:rFonts w:cs="Arial"/>
          <w:sz w:val="24"/>
          <w:szCs w:val="24"/>
        </w:rPr>
        <w:t xml:space="preserve"> </w:t>
      </w:r>
      <w:r w:rsidRPr="00DD5983">
        <w:rPr>
          <w:rFonts w:cs="Arial"/>
          <w:sz w:val="24"/>
          <w:szCs w:val="24"/>
        </w:rPr>
        <w:t xml:space="preserve">should be assessed by </w:t>
      </w:r>
      <w:r w:rsidR="00E17AED" w:rsidRPr="00DD5983">
        <w:rPr>
          <w:rFonts w:cs="Arial"/>
          <w:sz w:val="24"/>
          <w:szCs w:val="24"/>
        </w:rPr>
        <w:t>the NDIA and compared with the capacity to access resources.  If there is a significant difference between the resources needed and</w:t>
      </w:r>
      <w:r w:rsidR="00D37701" w:rsidRPr="00DD5983">
        <w:rPr>
          <w:rFonts w:cs="Arial"/>
          <w:sz w:val="24"/>
          <w:szCs w:val="24"/>
        </w:rPr>
        <w:t xml:space="preserve"> those</w:t>
      </w:r>
      <w:r w:rsidR="00E17AED" w:rsidRPr="00DD5983">
        <w:rPr>
          <w:rFonts w:cs="Arial"/>
          <w:sz w:val="24"/>
          <w:szCs w:val="24"/>
        </w:rPr>
        <w:t xml:space="preserve"> available, the NDIA has various options for directly and indirectly supporting transition and growth, including funding infrastructure purchases, providing access to low int</w:t>
      </w:r>
      <w:r w:rsidR="000C196B" w:rsidRPr="00DD5983">
        <w:rPr>
          <w:rFonts w:cs="Arial"/>
          <w:sz w:val="24"/>
          <w:szCs w:val="24"/>
        </w:rPr>
        <w:t>erest loans, or other supports</w:t>
      </w:r>
      <w:r w:rsidR="00D37701" w:rsidRPr="00DD5983">
        <w:rPr>
          <w:rFonts w:cs="Arial"/>
          <w:sz w:val="24"/>
          <w:szCs w:val="24"/>
        </w:rPr>
        <w:t xml:space="preserve">. </w:t>
      </w:r>
    </w:p>
    <w:p w14:paraId="1B0D83F2" w14:textId="611B6D71" w:rsidR="00B9563A" w:rsidRPr="00DD5983" w:rsidRDefault="00F017CA" w:rsidP="007F687A">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These elements can be included in an industry plan that could be developed with a view to creating certainty, developing a longer-term view of the sector composition and structure, and which could then be used to assess progress and outcomes achieved.</w:t>
      </w:r>
    </w:p>
    <w:p w14:paraId="72BF4558" w14:textId="5946521D" w:rsidR="00C80ABB" w:rsidRPr="00DD5983" w:rsidRDefault="00453A2D" w:rsidP="00DD5983">
      <w:pPr>
        <w:pStyle w:val="BodyText-Table"/>
        <w:keepLines w:val="0"/>
        <w:numPr>
          <w:ilvl w:val="0"/>
          <w:numId w:val="43"/>
        </w:numPr>
        <w:spacing w:after="120" w:line="276" w:lineRule="auto"/>
        <w:contextualSpacing w:val="0"/>
        <w:rPr>
          <w:rFonts w:cs="Arial"/>
          <w:sz w:val="24"/>
          <w:szCs w:val="24"/>
        </w:rPr>
      </w:pPr>
      <w:r w:rsidRPr="00DD5983">
        <w:rPr>
          <w:rFonts w:cs="Arial"/>
          <w:sz w:val="24"/>
          <w:szCs w:val="24"/>
        </w:rPr>
        <w:t xml:space="preserve">This </w:t>
      </w:r>
      <w:r w:rsidR="00805D78" w:rsidRPr="00DD5983">
        <w:rPr>
          <w:rFonts w:cs="Arial"/>
          <w:sz w:val="24"/>
          <w:szCs w:val="24"/>
        </w:rPr>
        <w:t>study</w:t>
      </w:r>
      <w:r w:rsidRPr="00DD5983">
        <w:rPr>
          <w:rFonts w:cs="Arial"/>
          <w:sz w:val="24"/>
          <w:szCs w:val="24"/>
        </w:rPr>
        <w:t xml:space="preserve"> is due to finish at</w:t>
      </w:r>
      <w:r w:rsidR="00805D78" w:rsidRPr="00DD5983">
        <w:rPr>
          <w:rFonts w:cs="Arial"/>
          <w:sz w:val="24"/>
          <w:szCs w:val="24"/>
        </w:rPr>
        <w:t xml:space="preserve"> </w:t>
      </w:r>
      <w:r w:rsidRPr="00DD5983">
        <w:rPr>
          <w:rFonts w:cs="Arial"/>
          <w:sz w:val="24"/>
          <w:szCs w:val="24"/>
        </w:rPr>
        <w:t xml:space="preserve">the end of 2017.  </w:t>
      </w:r>
      <w:r w:rsidR="00AA4698" w:rsidRPr="00DD5983">
        <w:rPr>
          <w:rFonts w:cs="Arial"/>
          <w:sz w:val="24"/>
          <w:szCs w:val="24"/>
        </w:rPr>
        <w:t>T</w:t>
      </w:r>
      <w:r w:rsidRPr="00DD5983">
        <w:rPr>
          <w:rFonts w:cs="Arial"/>
          <w:sz w:val="24"/>
          <w:szCs w:val="24"/>
        </w:rPr>
        <w:t>here is no other data available to support efficient pricing and evaluate providers’ financial sustainability</w:t>
      </w:r>
      <w:r w:rsidR="0032140B" w:rsidRPr="00DD5983">
        <w:rPr>
          <w:rFonts w:cs="Arial"/>
          <w:sz w:val="24"/>
          <w:szCs w:val="24"/>
        </w:rPr>
        <w:t>. This data is critical to meeting the objectives of the NDIS and the infrastructure for this study is established which will facilitate the ongoing collection of relevant data. The Panel is now established and continuing to monitor its performance will provide essential information to reduce risk</w:t>
      </w:r>
      <w:r w:rsidR="002361BE" w:rsidRPr="00DD5983">
        <w:rPr>
          <w:rFonts w:cs="Arial"/>
          <w:sz w:val="24"/>
          <w:szCs w:val="24"/>
        </w:rPr>
        <w:t xml:space="preserve"> and inform policy development</w:t>
      </w:r>
      <w:r w:rsidRPr="00DD5983">
        <w:rPr>
          <w:rFonts w:cs="Arial"/>
          <w:sz w:val="24"/>
          <w:szCs w:val="24"/>
        </w:rPr>
        <w:t xml:space="preserve">, </w:t>
      </w:r>
      <w:r w:rsidR="00AA4698" w:rsidRPr="00DD5983">
        <w:rPr>
          <w:rFonts w:cs="Arial"/>
          <w:sz w:val="24"/>
          <w:szCs w:val="24"/>
        </w:rPr>
        <w:t xml:space="preserve">therefore </w:t>
      </w:r>
      <w:r w:rsidRPr="00DD5983">
        <w:rPr>
          <w:rFonts w:cs="Arial"/>
          <w:sz w:val="24"/>
          <w:szCs w:val="24"/>
        </w:rPr>
        <w:t>we strongly recommend this study is continued.</w:t>
      </w:r>
      <w:r w:rsidR="00704D55" w:rsidRPr="00DD5983">
        <w:rPr>
          <w:rFonts w:cs="Arial"/>
          <w:sz w:val="24"/>
          <w:szCs w:val="24"/>
        </w:rPr>
        <w:br w:type="page"/>
      </w:r>
    </w:p>
    <w:p w14:paraId="771B538E" w14:textId="7F3D70DF" w:rsidR="00C80ABB" w:rsidRPr="00DD5983" w:rsidRDefault="00704D55" w:rsidP="00DD5983">
      <w:pPr>
        <w:pStyle w:val="Heading4"/>
        <w:rPr>
          <w:rFonts w:ascii="Arial" w:hAnsi="Arial" w:cs="Arial"/>
          <w:sz w:val="24"/>
          <w:szCs w:val="24"/>
        </w:rPr>
      </w:pPr>
      <w:r w:rsidRPr="00DD5983">
        <w:rPr>
          <w:rFonts w:ascii="Arial" w:hAnsi="Arial" w:cs="Arial"/>
          <w:sz w:val="24"/>
          <w:szCs w:val="24"/>
        </w:rPr>
        <w:t xml:space="preserve">Acknowledgements </w:t>
      </w:r>
    </w:p>
    <w:p w14:paraId="20E82C61" w14:textId="1AFC5234" w:rsidR="00FB164A" w:rsidRPr="00DD5983" w:rsidRDefault="00FB164A" w:rsidP="00FB164A">
      <w:pPr>
        <w:pStyle w:val="BodyText1"/>
        <w:rPr>
          <w:rFonts w:cs="Arial"/>
          <w:sz w:val="24"/>
          <w:szCs w:val="24"/>
        </w:rPr>
      </w:pPr>
      <w:r w:rsidRPr="00DD5983">
        <w:rPr>
          <w:rFonts w:cs="Arial"/>
          <w:sz w:val="24"/>
          <w:szCs w:val="24"/>
        </w:rPr>
        <w:t>W</w:t>
      </w:r>
      <w:r w:rsidR="0087716E" w:rsidRPr="00DD5983">
        <w:rPr>
          <w:rFonts w:cs="Arial"/>
          <w:sz w:val="24"/>
          <w:szCs w:val="24"/>
        </w:rPr>
        <w:t xml:space="preserve">e acknowledge and thank all organisations </w:t>
      </w:r>
      <w:r w:rsidR="005F4ECD" w:rsidRPr="00DD5983">
        <w:rPr>
          <w:rFonts w:cs="Arial"/>
          <w:sz w:val="24"/>
          <w:szCs w:val="24"/>
        </w:rPr>
        <w:t xml:space="preserve">that are part of our </w:t>
      </w:r>
      <w:r w:rsidR="0051192F" w:rsidRPr="00DD5983">
        <w:rPr>
          <w:rFonts w:cs="Arial"/>
          <w:sz w:val="24"/>
          <w:szCs w:val="24"/>
        </w:rPr>
        <w:t>Panel</w:t>
      </w:r>
      <w:r w:rsidR="005F4ECD" w:rsidRPr="00DD5983">
        <w:rPr>
          <w:rFonts w:cs="Arial"/>
          <w:sz w:val="24"/>
          <w:szCs w:val="24"/>
        </w:rPr>
        <w:t xml:space="preserve"> </w:t>
      </w:r>
      <w:r w:rsidR="0087716E" w:rsidRPr="00DD5983">
        <w:rPr>
          <w:rFonts w:cs="Arial"/>
          <w:sz w:val="24"/>
          <w:szCs w:val="24"/>
        </w:rPr>
        <w:t>for their</w:t>
      </w:r>
      <w:r w:rsidRPr="00DD5983">
        <w:rPr>
          <w:rFonts w:cs="Arial"/>
          <w:sz w:val="24"/>
          <w:szCs w:val="24"/>
        </w:rPr>
        <w:t xml:space="preserve"> anonymous contribution to this study. These organisations range from some of Australia’s smallest to its largest disability service providers and for some, providing the data required was a time</w:t>
      </w:r>
      <w:r w:rsidR="005F4ECD" w:rsidRPr="00DD5983">
        <w:rPr>
          <w:rFonts w:cs="Arial"/>
          <w:sz w:val="24"/>
          <w:szCs w:val="24"/>
        </w:rPr>
        <w:t xml:space="preserve"> consuming and complex process, but they persevered </w:t>
      </w:r>
      <w:r w:rsidR="00115B8D" w:rsidRPr="00DD5983">
        <w:rPr>
          <w:rFonts w:cs="Arial"/>
          <w:sz w:val="24"/>
          <w:szCs w:val="24"/>
        </w:rPr>
        <w:t>in order to</w:t>
      </w:r>
      <w:r w:rsidR="005F4ECD" w:rsidRPr="00DD5983">
        <w:rPr>
          <w:rFonts w:cs="Arial"/>
          <w:sz w:val="24"/>
          <w:szCs w:val="24"/>
        </w:rPr>
        <w:t xml:space="preserve"> </w:t>
      </w:r>
      <w:r w:rsidR="00115B8D" w:rsidRPr="00DD5983">
        <w:rPr>
          <w:rFonts w:cs="Arial"/>
          <w:sz w:val="24"/>
          <w:szCs w:val="24"/>
        </w:rPr>
        <w:t>provide the evidence base</w:t>
      </w:r>
      <w:r w:rsidR="005F4ECD" w:rsidRPr="00DD5983">
        <w:rPr>
          <w:rFonts w:cs="Arial"/>
          <w:sz w:val="24"/>
          <w:szCs w:val="24"/>
        </w:rPr>
        <w:t xml:space="preserve"> needed to track performance in this </w:t>
      </w:r>
      <w:r w:rsidRPr="00DD5983">
        <w:rPr>
          <w:rFonts w:cs="Arial"/>
          <w:sz w:val="24"/>
          <w:szCs w:val="24"/>
        </w:rPr>
        <w:t>changing environment.</w:t>
      </w:r>
    </w:p>
    <w:p w14:paraId="4628EE5C" w14:textId="277BDB0F" w:rsidR="005F4ECD" w:rsidRPr="00DD5983" w:rsidRDefault="005F4ECD" w:rsidP="00FB164A">
      <w:pPr>
        <w:pStyle w:val="BodyText1"/>
        <w:rPr>
          <w:rFonts w:cs="Arial"/>
          <w:sz w:val="24"/>
          <w:szCs w:val="24"/>
        </w:rPr>
      </w:pPr>
      <w:r w:rsidRPr="00DD5983">
        <w:rPr>
          <w:rFonts w:cs="Arial"/>
          <w:sz w:val="24"/>
          <w:szCs w:val="24"/>
        </w:rPr>
        <w:t xml:space="preserve">We thank all current and past </w:t>
      </w:r>
      <w:r w:rsidR="0051192F" w:rsidRPr="00DD5983">
        <w:rPr>
          <w:rFonts w:cs="Arial"/>
          <w:sz w:val="24"/>
          <w:szCs w:val="24"/>
        </w:rPr>
        <w:t>Panel</w:t>
      </w:r>
      <w:r w:rsidRPr="00DD5983">
        <w:rPr>
          <w:rFonts w:cs="Arial"/>
          <w:sz w:val="24"/>
          <w:szCs w:val="24"/>
        </w:rPr>
        <w:t xml:space="preserve"> members for their support and </w:t>
      </w:r>
      <w:r w:rsidR="00115B8D" w:rsidRPr="00DD5983">
        <w:rPr>
          <w:rFonts w:cs="Arial"/>
          <w:sz w:val="24"/>
          <w:szCs w:val="24"/>
        </w:rPr>
        <w:t>hope you (and others) will continue to participate in this project</w:t>
      </w:r>
      <w:r w:rsidR="00ED7425" w:rsidRPr="00DD5983">
        <w:rPr>
          <w:rFonts w:cs="Arial"/>
          <w:sz w:val="24"/>
          <w:szCs w:val="24"/>
        </w:rPr>
        <w:t>.</w:t>
      </w:r>
    </w:p>
    <w:p w14:paraId="59E0EDFA" w14:textId="12E20639" w:rsidR="0087716E" w:rsidRPr="00DD5983" w:rsidRDefault="00FB164A" w:rsidP="00FB164A">
      <w:pPr>
        <w:pStyle w:val="BodyText1"/>
        <w:rPr>
          <w:rFonts w:cs="Arial"/>
          <w:sz w:val="24"/>
          <w:szCs w:val="24"/>
        </w:rPr>
      </w:pPr>
      <w:r w:rsidRPr="00DD5983">
        <w:rPr>
          <w:rFonts w:cs="Arial"/>
          <w:sz w:val="24"/>
          <w:szCs w:val="24"/>
        </w:rPr>
        <w:t xml:space="preserve">Australians with disability, their families and supporters, and ultimately the whole Australian community will benefit from a strong, efficient and innovative disability service sector. </w:t>
      </w:r>
    </w:p>
    <w:p w14:paraId="66BE0337" w14:textId="77777777" w:rsidR="00115B8D" w:rsidRPr="00DD5983" w:rsidRDefault="00115B8D" w:rsidP="00FB164A">
      <w:pPr>
        <w:pStyle w:val="BodyText1"/>
        <w:rPr>
          <w:rFonts w:cs="Arial"/>
          <w:sz w:val="24"/>
          <w:szCs w:val="24"/>
        </w:rPr>
      </w:pPr>
    </w:p>
    <w:p w14:paraId="6AC308D4" w14:textId="74302DB5" w:rsidR="0087716E" w:rsidRPr="00DD5983" w:rsidRDefault="0087716E" w:rsidP="0087716E">
      <w:pPr>
        <w:pStyle w:val="BodyText1"/>
        <w:rPr>
          <w:rFonts w:cs="Arial"/>
          <w:sz w:val="24"/>
          <w:szCs w:val="24"/>
        </w:rPr>
      </w:pPr>
      <w:r w:rsidRPr="00DD5983">
        <w:rPr>
          <w:rFonts w:cs="Arial"/>
          <w:sz w:val="24"/>
          <w:szCs w:val="24"/>
        </w:rPr>
        <w:t xml:space="preserve">This research was funded via a National Disability Research and Development Grant via the Research and Data Working Group (RDWG) and it is being undertaken in collaboration with the Centre for Applied Disability Research. </w:t>
      </w:r>
      <w:r w:rsidR="00786950" w:rsidRPr="00DD5983">
        <w:rPr>
          <w:rFonts w:cs="Arial"/>
          <w:sz w:val="24"/>
          <w:szCs w:val="24"/>
        </w:rPr>
        <w:t xml:space="preserve"> </w:t>
      </w:r>
      <w:r w:rsidR="00152E3E" w:rsidRPr="00DD5983">
        <w:rPr>
          <w:rFonts w:cs="Arial"/>
          <w:sz w:val="24"/>
          <w:szCs w:val="24"/>
        </w:rPr>
        <w:t>It was commenced by Curtin University and is now being undertaken by the University of Western Australia</w:t>
      </w:r>
      <w:r w:rsidRPr="00DD5983">
        <w:rPr>
          <w:rFonts w:cs="Arial"/>
          <w:sz w:val="24"/>
          <w:szCs w:val="24"/>
        </w:rPr>
        <w:t>. Th</w:t>
      </w:r>
      <w:r w:rsidR="00152E3E" w:rsidRPr="00DD5983">
        <w:rPr>
          <w:rFonts w:cs="Arial"/>
          <w:sz w:val="24"/>
          <w:szCs w:val="24"/>
        </w:rPr>
        <w:t xml:space="preserve">is report constitutes the second </w:t>
      </w:r>
      <w:r w:rsidRPr="00DD5983">
        <w:rPr>
          <w:rFonts w:cs="Arial"/>
          <w:sz w:val="24"/>
          <w:szCs w:val="24"/>
        </w:rPr>
        <w:t>output of the program.</w:t>
      </w:r>
    </w:p>
    <w:p w14:paraId="495B3E43" w14:textId="3668BCA3" w:rsidR="00115B8D" w:rsidRPr="00DD5983" w:rsidRDefault="00630DF2" w:rsidP="0087716E">
      <w:pPr>
        <w:pStyle w:val="BodyText1"/>
        <w:rPr>
          <w:rFonts w:cs="Arial"/>
          <w:b/>
          <w:sz w:val="24"/>
          <w:szCs w:val="24"/>
        </w:rPr>
      </w:pPr>
      <w:r w:rsidRPr="00DD5983">
        <w:rPr>
          <w:rFonts w:cs="Arial"/>
          <w:b/>
          <w:sz w:val="24"/>
          <w:szCs w:val="24"/>
        </w:rPr>
        <w:t>Citation</w:t>
      </w:r>
    </w:p>
    <w:p w14:paraId="330B9382" w14:textId="73200E09" w:rsidR="00FE4F75" w:rsidRPr="00DD5983" w:rsidRDefault="00FE4F75" w:rsidP="0087716E">
      <w:pPr>
        <w:pStyle w:val="BodyText1"/>
        <w:rPr>
          <w:rFonts w:cs="Arial"/>
          <w:sz w:val="24"/>
          <w:szCs w:val="24"/>
        </w:rPr>
      </w:pPr>
      <w:r w:rsidRPr="00DD5983">
        <w:rPr>
          <w:rFonts w:cs="Arial"/>
          <w:sz w:val="24"/>
          <w:szCs w:val="24"/>
        </w:rPr>
        <w:t>This report should be cited as follows: Gilchrist, D. J. and P. A. Knight, (2017), Australia’s Disability Sector 2017: Report 2 - Financial Performance -  Summary of Key Findings.</w:t>
      </w:r>
    </w:p>
    <w:p w14:paraId="57369577" w14:textId="77777777" w:rsidR="0087716E" w:rsidRPr="00DD5983" w:rsidRDefault="0087716E" w:rsidP="0087716E">
      <w:pPr>
        <w:pStyle w:val="BodyText1"/>
        <w:rPr>
          <w:rFonts w:cs="Arial"/>
          <w:b/>
          <w:sz w:val="24"/>
          <w:szCs w:val="24"/>
        </w:rPr>
      </w:pPr>
      <w:r w:rsidRPr="00DD5983">
        <w:rPr>
          <w:rFonts w:cs="Arial"/>
          <w:b/>
          <w:sz w:val="24"/>
          <w:szCs w:val="24"/>
        </w:rPr>
        <w:t>Enquires should be addressed to:</w:t>
      </w:r>
    </w:p>
    <w:p w14:paraId="16AFED09"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Gordon Duff</w:t>
      </w:r>
    </w:p>
    <w:p w14:paraId="76252F09"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General Manager – Sector Development and Research</w:t>
      </w:r>
      <w:r w:rsidRPr="00DD5983" w:rsidDel="009F5920">
        <w:rPr>
          <w:rFonts w:cs="Arial"/>
          <w:sz w:val="24"/>
          <w:szCs w:val="24"/>
          <w:lang w:val="en-AU"/>
        </w:rPr>
        <w:t xml:space="preserve"> </w:t>
      </w:r>
      <w:r w:rsidRPr="00DD5983">
        <w:rPr>
          <w:rFonts w:cs="Arial"/>
          <w:sz w:val="24"/>
          <w:szCs w:val="24"/>
          <w:lang w:val="en-AU"/>
        </w:rPr>
        <w:br/>
        <w:t>National Disability Services</w:t>
      </w:r>
    </w:p>
    <w:p w14:paraId="0B8A5207"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Gordon.duff@nds.org.au</w:t>
      </w:r>
    </w:p>
    <w:p w14:paraId="446B33A2" w14:textId="77777777" w:rsidR="00DD5983" w:rsidRPr="00DD5983" w:rsidRDefault="00DD5983" w:rsidP="00DD5983">
      <w:pPr>
        <w:pStyle w:val="BodyText1"/>
        <w:spacing w:after="0" w:line="240" w:lineRule="auto"/>
        <w:rPr>
          <w:rFonts w:cs="Arial"/>
          <w:sz w:val="24"/>
          <w:szCs w:val="24"/>
          <w:lang w:val="en-AU"/>
        </w:rPr>
      </w:pPr>
      <w:hyperlink r:id="rId15" w:history="1">
        <w:r w:rsidRPr="00DD5983">
          <w:rPr>
            <w:rStyle w:val="Hyperlink"/>
            <w:rFonts w:cs="Arial"/>
            <w:sz w:val="24"/>
            <w:szCs w:val="24"/>
            <w:lang w:val="en-AU"/>
          </w:rPr>
          <w:t>Gordon.Duff@nds.org.au</w:t>
        </w:r>
      </w:hyperlink>
    </w:p>
    <w:p w14:paraId="54797D6E" w14:textId="5FA8A9C9"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Ph: 02 9256 3117</w:t>
      </w:r>
    </w:p>
    <w:p w14:paraId="5CDFF467" w14:textId="77777777" w:rsidR="00DD5983" w:rsidRPr="00DD5983" w:rsidRDefault="00DD5983" w:rsidP="00DD5983">
      <w:pPr>
        <w:pStyle w:val="BodyText1"/>
        <w:spacing w:after="0" w:line="240" w:lineRule="auto"/>
        <w:rPr>
          <w:rFonts w:cs="Arial"/>
          <w:b/>
          <w:sz w:val="24"/>
          <w:szCs w:val="24"/>
        </w:rPr>
      </w:pPr>
    </w:p>
    <w:p w14:paraId="1C7CD88A"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Professor David Gilchrist</w:t>
      </w:r>
    </w:p>
    <w:p w14:paraId="7C8BE60B"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University of Western Australia</w:t>
      </w:r>
    </w:p>
    <w:p w14:paraId="1E0531E1" w14:textId="77777777"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David.gilchrist@uwa.edu.au</w:t>
      </w:r>
    </w:p>
    <w:p w14:paraId="55FA5D4E" w14:textId="4E1645DD" w:rsidR="00DD5983" w:rsidRPr="00DD5983" w:rsidRDefault="00DD5983" w:rsidP="00DD5983">
      <w:pPr>
        <w:pStyle w:val="BodyText1"/>
        <w:spacing w:after="0" w:line="240" w:lineRule="auto"/>
        <w:rPr>
          <w:rFonts w:cs="Arial"/>
          <w:color w:val="0000FF" w:themeColor="hyperlink"/>
          <w:sz w:val="24"/>
          <w:szCs w:val="24"/>
          <w:u w:val="single"/>
          <w:lang w:val="en-AU"/>
        </w:rPr>
      </w:pPr>
      <w:hyperlink r:id="rId16" w:history="1">
        <w:r w:rsidRPr="00DD5983">
          <w:rPr>
            <w:rStyle w:val="Hyperlink"/>
            <w:rFonts w:cs="Arial"/>
            <w:sz w:val="24"/>
            <w:szCs w:val="24"/>
            <w:lang w:val="en-AU"/>
          </w:rPr>
          <w:t>David.Gilchrist@uwa.edu.au</w:t>
        </w:r>
      </w:hyperlink>
    </w:p>
    <w:p w14:paraId="245E07A7" w14:textId="04966891" w:rsidR="00DD5983" w:rsidRPr="00DD5983" w:rsidRDefault="00DD5983" w:rsidP="00DD5983">
      <w:pPr>
        <w:pStyle w:val="BodyText1"/>
        <w:spacing w:after="0" w:line="240" w:lineRule="auto"/>
        <w:rPr>
          <w:rFonts w:cs="Arial"/>
          <w:sz w:val="24"/>
          <w:szCs w:val="24"/>
          <w:lang w:val="en-AU"/>
        </w:rPr>
      </w:pPr>
      <w:r w:rsidRPr="00DD5983">
        <w:rPr>
          <w:rFonts w:cs="Arial"/>
          <w:sz w:val="24"/>
          <w:szCs w:val="24"/>
          <w:lang w:val="en-AU"/>
        </w:rPr>
        <w:t>Ph: 0404 515 270</w:t>
      </w:r>
    </w:p>
    <w:p w14:paraId="19362FDC" w14:textId="77777777" w:rsidR="00DD5983" w:rsidRDefault="00DD5983">
      <w:pPr>
        <w:rPr>
          <w:rFonts w:ascii="Arial" w:hAnsi="Arial"/>
          <w:szCs w:val="24"/>
          <w:lang w:val="en-AU"/>
        </w:rPr>
      </w:pPr>
      <w:r>
        <w:rPr>
          <w:szCs w:val="24"/>
          <w:lang w:val="en-AU"/>
        </w:rPr>
        <w:br w:type="page"/>
      </w:r>
    </w:p>
    <w:p w14:paraId="1B8CD364" w14:textId="77777777" w:rsidR="00DD5983" w:rsidRPr="0037234F" w:rsidRDefault="00DD5983" w:rsidP="00DD5983">
      <w:pPr>
        <w:pStyle w:val="BodyText1"/>
        <w:spacing w:after="0" w:line="240" w:lineRule="auto"/>
        <w:rPr>
          <w:b/>
        </w:rPr>
      </w:pPr>
    </w:p>
    <w:bookmarkStart w:id="9" w:name="_Toc489891083" w:displacedByCustomXml="next"/>
    <w:sdt>
      <w:sdtPr>
        <w:rPr>
          <w:rFonts w:ascii="Calibri" w:eastAsiaTheme="minorHAnsi" w:hAnsi="Calibri" w:cstheme="minorBidi"/>
          <w:b w:val="0"/>
          <w:bCs w:val="0"/>
          <w:color w:val="auto"/>
          <w:sz w:val="22"/>
          <w:szCs w:val="22"/>
          <w:lang w:val="en-GB" w:eastAsia="en-US"/>
        </w:rPr>
        <w:id w:val="-1316101294"/>
        <w:docPartObj>
          <w:docPartGallery w:val="Table of Contents"/>
          <w:docPartUnique/>
        </w:docPartObj>
      </w:sdtPr>
      <w:sdtEndPr>
        <w:rPr>
          <w:rFonts w:ascii="Arial" w:hAnsi="Arial" w:cs="Arial"/>
          <w:noProof/>
          <w:sz w:val="24"/>
          <w:szCs w:val="24"/>
        </w:rPr>
      </w:sdtEndPr>
      <w:sdtContent>
        <w:p w14:paraId="3D2EBC62" w14:textId="5285241D" w:rsidR="00006CE5" w:rsidRPr="00DD5983" w:rsidRDefault="00006CE5" w:rsidP="00DD5983">
          <w:pPr>
            <w:pStyle w:val="TOCHeading"/>
            <w:spacing w:before="0"/>
            <w:rPr>
              <w:rFonts w:ascii="Arial" w:hAnsi="Arial" w:cs="Arial"/>
              <w:sz w:val="48"/>
            </w:rPr>
          </w:pPr>
          <w:r w:rsidRPr="00DD5983">
            <w:rPr>
              <w:rFonts w:ascii="Arial" w:hAnsi="Arial" w:cs="Arial"/>
              <w:sz w:val="48"/>
            </w:rPr>
            <w:t>Table of Contents</w:t>
          </w:r>
        </w:p>
        <w:p w14:paraId="71E4BE5A" w14:textId="77777777" w:rsidR="00006CE5" w:rsidRPr="00DD5983" w:rsidRDefault="00006CE5">
          <w:pPr>
            <w:pStyle w:val="TOC1"/>
            <w:tabs>
              <w:tab w:val="right" w:pos="9016"/>
            </w:tabs>
            <w:rPr>
              <w:rFonts w:ascii="Arial" w:eastAsiaTheme="minorEastAsia" w:hAnsi="Arial" w:cs="Arial"/>
              <w:b w:val="0"/>
              <w:bCs w:val="0"/>
              <w:noProof/>
              <w:color w:val="auto"/>
              <w:lang w:eastAsia="en-GB"/>
            </w:rPr>
          </w:pPr>
          <w:r w:rsidRPr="00DD5983">
            <w:rPr>
              <w:rFonts w:ascii="Arial" w:hAnsi="Arial" w:cs="Arial"/>
            </w:rPr>
            <w:fldChar w:fldCharType="begin"/>
          </w:r>
          <w:r w:rsidRPr="00DD5983">
            <w:rPr>
              <w:rFonts w:ascii="Arial" w:hAnsi="Arial" w:cs="Arial"/>
            </w:rPr>
            <w:instrText xml:space="preserve"> TOC \o "1-2" </w:instrText>
          </w:r>
          <w:r w:rsidRPr="00DD5983">
            <w:rPr>
              <w:rFonts w:ascii="Arial" w:hAnsi="Arial" w:cs="Arial"/>
            </w:rPr>
            <w:fldChar w:fldCharType="separate"/>
          </w:r>
          <w:r w:rsidRPr="00DD5983">
            <w:rPr>
              <w:rFonts w:ascii="Arial" w:hAnsi="Arial" w:cs="Arial"/>
              <w:noProof/>
            </w:rPr>
            <w:t>Executive Summary</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_Toc492645470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I</w:t>
          </w:r>
          <w:r w:rsidRPr="00DD5983">
            <w:rPr>
              <w:rFonts w:ascii="Arial" w:hAnsi="Arial" w:cs="Arial"/>
              <w:noProof/>
            </w:rPr>
            <w:fldChar w:fldCharType="end"/>
          </w:r>
        </w:p>
        <w:p w14:paraId="6F6770EA"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Key findings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_Toc492645471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I</w:t>
          </w:r>
          <w:r w:rsidRPr="00DD5983">
            <w:rPr>
              <w:rFonts w:ascii="Arial" w:hAnsi="Arial" w:cs="Arial"/>
              <w:noProof/>
              <w:sz w:val="24"/>
              <w:szCs w:val="24"/>
            </w:rPr>
            <w:fldChar w:fldCharType="end"/>
          </w:r>
        </w:p>
        <w:p w14:paraId="6E63A256"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Implications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_Toc492645472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III</w:t>
          </w:r>
          <w:r w:rsidRPr="00DD5983">
            <w:rPr>
              <w:rFonts w:ascii="Arial" w:hAnsi="Arial" w:cs="Arial"/>
              <w:noProof/>
              <w:sz w:val="24"/>
              <w:szCs w:val="24"/>
            </w:rPr>
            <w:fldChar w:fldCharType="end"/>
          </w:r>
        </w:p>
        <w:p w14:paraId="7F57BBA5"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Key questions for policy makers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_Toc492645473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IV</w:t>
          </w:r>
          <w:r w:rsidRPr="00DD5983">
            <w:rPr>
              <w:rFonts w:ascii="Arial" w:hAnsi="Arial" w:cs="Arial"/>
              <w:noProof/>
              <w:sz w:val="24"/>
              <w:szCs w:val="24"/>
            </w:rPr>
            <w:fldChar w:fldCharType="end"/>
          </w:r>
        </w:p>
        <w:p w14:paraId="63C69343" w14:textId="77777777" w:rsidR="00006CE5" w:rsidRPr="00DD5983" w:rsidRDefault="00006CE5">
          <w:pPr>
            <w:pStyle w:val="TOC1"/>
            <w:tabs>
              <w:tab w:val="right" w:pos="9016"/>
            </w:tabs>
            <w:rPr>
              <w:rFonts w:ascii="Arial" w:eastAsiaTheme="minorEastAsia" w:hAnsi="Arial" w:cs="Arial"/>
              <w:b w:val="0"/>
              <w:bCs w:val="0"/>
              <w:noProof/>
              <w:color w:val="auto"/>
              <w:lang w:eastAsia="en-GB"/>
            </w:rPr>
          </w:pPr>
          <w:r w:rsidRPr="00DD5983">
            <w:rPr>
              <w:rFonts w:ascii="Arial" w:hAnsi="Arial" w:cs="Arial"/>
              <w:noProof/>
            </w:rPr>
            <w:t>Introduction</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_Toc492645474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9</w:t>
          </w:r>
          <w:r w:rsidRPr="00DD5983">
            <w:rPr>
              <w:rFonts w:ascii="Arial" w:hAnsi="Arial" w:cs="Arial"/>
              <w:noProof/>
            </w:rPr>
            <w:fldChar w:fldCharType="end"/>
          </w:r>
        </w:p>
        <w:p w14:paraId="540C67F3"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Approach</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_Toc492645475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9</w:t>
          </w:r>
          <w:r w:rsidRPr="00DD5983">
            <w:rPr>
              <w:rFonts w:ascii="Arial" w:hAnsi="Arial" w:cs="Arial"/>
              <w:noProof/>
              <w:sz w:val="24"/>
              <w:szCs w:val="24"/>
            </w:rPr>
            <w:fldChar w:fldCharType="end"/>
          </w:r>
        </w:p>
        <w:p w14:paraId="7AFCC3B8"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This report</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_Toc492645476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10</w:t>
          </w:r>
          <w:r w:rsidRPr="00DD5983">
            <w:rPr>
              <w:rFonts w:ascii="Arial" w:hAnsi="Arial" w:cs="Arial"/>
              <w:noProof/>
              <w:sz w:val="24"/>
              <w:szCs w:val="24"/>
            </w:rPr>
            <w:fldChar w:fldCharType="end"/>
          </w:r>
        </w:p>
        <w:p w14:paraId="4DED600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The Panel</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_Toc492645477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10</w:t>
          </w:r>
          <w:r w:rsidRPr="00DD5983">
            <w:rPr>
              <w:rFonts w:ascii="Arial" w:hAnsi="Arial" w:cs="Arial"/>
              <w:noProof/>
              <w:sz w:val="24"/>
              <w:szCs w:val="24"/>
            </w:rPr>
            <w:fldChar w:fldCharType="end"/>
          </w:r>
        </w:p>
        <w:p w14:paraId="2688F170" w14:textId="77777777" w:rsidR="00006CE5" w:rsidRPr="00DD5983" w:rsidRDefault="00006CE5">
          <w:pPr>
            <w:pStyle w:val="TOC1"/>
            <w:tabs>
              <w:tab w:val="left" w:pos="440"/>
              <w:tab w:val="right" w:pos="9016"/>
            </w:tabs>
            <w:rPr>
              <w:rFonts w:ascii="Arial" w:eastAsiaTheme="minorEastAsia" w:hAnsi="Arial" w:cs="Arial"/>
              <w:b w:val="0"/>
              <w:bCs w:val="0"/>
              <w:noProof/>
              <w:color w:val="auto"/>
              <w:lang w:eastAsia="en-GB"/>
            </w:rPr>
          </w:pPr>
          <w:r w:rsidRPr="00DD5983">
            <w:rPr>
              <w:rFonts w:ascii="Arial" w:hAnsi="Arial" w:cs="Arial"/>
              <w:noProof/>
            </w:rPr>
            <w:t>1.</w:t>
          </w:r>
          <w:r w:rsidRPr="00DD5983">
            <w:rPr>
              <w:rFonts w:ascii="Arial" w:eastAsiaTheme="minorEastAsia" w:hAnsi="Arial" w:cs="Arial"/>
              <w:b w:val="0"/>
              <w:bCs w:val="0"/>
              <w:noProof/>
              <w:color w:val="auto"/>
              <w:lang w:eastAsia="en-GB"/>
            </w:rPr>
            <w:tab/>
          </w:r>
          <w:r w:rsidRPr="00DD5983">
            <w:rPr>
              <w:rFonts w:ascii="Arial" w:hAnsi="Arial" w:cs="Arial"/>
              <w:noProof/>
            </w:rPr>
            <w:t>The starting point: The Panel’s activity and outcomes for 2014/15</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_Toc492645478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14</w:t>
          </w:r>
          <w:r w:rsidRPr="00DD5983">
            <w:rPr>
              <w:rFonts w:ascii="Arial" w:hAnsi="Arial" w:cs="Arial"/>
              <w:noProof/>
            </w:rPr>
            <w:fldChar w:fldCharType="end"/>
          </w:r>
        </w:p>
        <w:p w14:paraId="6EA31ED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Income, expenditure and profit for 2014/15</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_Toc492645479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14</w:t>
          </w:r>
          <w:r w:rsidRPr="00DD5983">
            <w:rPr>
              <w:rFonts w:ascii="Arial" w:hAnsi="Arial" w:cs="Arial"/>
              <w:noProof/>
              <w:sz w:val="24"/>
              <w:szCs w:val="24"/>
            </w:rPr>
            <w:fldChar w:fldCharType="end"/>
          </w:r>
        </w:p>
        <w:p w14:paraId="02E21C8F"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Disability services income, expenses and profit for 2014/15</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_Toc492645480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20</w:t>
          </w:r>
          <w:r w:rsidRPr="00DD5983">
            <w:rPr>
              <w:rFonts w:ascii="Arial" w:hAnsi="Arial" w:cs="Arial"/>
              <w:noProof/>
              <w:sz w:val="24"/>
              <w:szCs w:val="24"/>
            </w:rPr>
            <w:fldChar w:fldCharType="end"/>
          </w:r>
        </w:p>
        <w:p w14:paraId="376E4B54"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The Balance Sheet as at 30 June 2016</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_Toc492645481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22</w:t>
          </w:r>
          <w:r w:rsidRPr="00DD5983">
            <w:rPr>
              <w:rFonts w:ascii="Arial" w:hAnsi="Arial" w:cs="Arial"/>
              <w:noProof/>
              <w:sz w:val="24"/>
              <w:szCs w:val="24"/>
            </w:rPr>
            <w:fldChar w:fldCharType="end"/>
          </w:r>
        </w:p>
        <w:p w14:paraId="1D4CA3E5"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Key ratios report card</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_Toc492645482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24</w:t>
          </w:r>
          <w:r w:rsidRPr="00DD5983">
            <w:rPr>
              <w:rFonts w:ascii="Arial" w:hAnsi="Arial" w:cs="Arial"/>
              <w:noProof/>
              <w:sz w:val="24"/>
              <w:szCs w:val="24"/>
            </w:rPr>
            <w:fldChar w:fldCharType="end"/>
          </w:r>
        </w:p>
        <w:p w14:paraId="20385286"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Ratings of overall financial strength</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_Toc492645483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27</w:t>
          </w:r>
          <w:r w:rsidRPr="00DD5983">
            <w:rPr>
              <w:rFonts w:ascii="Arial" w:hAnsi="Arial" w:cs="Arial"/>
              <w:noProof/>
              <w:sz w:val="24"/>
              <w:szCs w:val="24"/>
            </w:rPr>
            <w:fldChar w:fldCharType="end"/>
          </w:r>
        </w:p>
        <w:p w14:paraId="2BC2995A"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Staff profile – all and disability services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_Toc492645484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27</w:t>
          </w:r>
          <w:r w:rsidRPr="00DD5983">
            <w:rPr>
              <w:rFonts w:ascii="Arial" w:hAnsi="Arial" w:cs="Arial"/>
              <w:noProof/>
              <w:sz w:val="24"/>
              <w:szCs w:val="24"/>
            </w:rPr>
            <w:fldChar w:fldCharType="end"/>
          </w:r>
        </w:p>
        <w:p w14:paraId="6381CDC9"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Volunteers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_Toc492645485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29</w:t>
          </w:r>
          <w:r w:rsidRPr="00DD5983">
            <w:rPr>
              <w:rFonts w:ascii="Arial" w:hAnsi="Arial" w:cs="Arial"/>
              <w:noProof/>
              <w:sz w:val="24"/>
              <w:szCs w:val="24"/>
            </w:rPr>
            <w:fldChar w:fldCharType="end"/>
          </w:r>
        </w:p>
        <w:p w14:paraId="05C08BCA" w14:textId="77777777" w:rsidR="00006CE5" w:rsidRPr="00DD5983" w:rsidRDefault="00006CE5">
          <w:pPr>
            <w:pStyle w:val="TOC1"/>
            <w:tabs>
              <w:tab w:val="left" w:pos="440"/>
              <w:tab w:val="right" w:pos="9016"/>
            </w:tabs>
            <w:rPr>
              <w:rFonts w:ascii="Arial" w:eastAsiaTheme="minorEastAsia" w:hAnsi="Arial" w:cs="Arial"/>
              <w:b w:val="0"/>
              <w:bCs w:val="0"/>
              <w:noProof/>
              <w:color w:val="auto"/>
              <w:lang w:eastAsia="en-GB"/>
            </w:rPr>
          </w:pPr>
          <w:r w:rsidRPr="00DD5983">
            <w:rPr>
              <w:rFonts w:ascii="Arial" w:hAnsi="Arial" w:cs="Arial"/>
              <w:noProof/>
            </w:rPr>
            <w:t>2.</w:t>
          </w:r>
          <w:r w:rsidRPr="00DD5983">
            <w:rPr>
              <w:rFonts w:ascii="Arial" w:eastAsiaTheme="minorEastAsia" w:hAnsi="Arial" w:cs="Arial"/>
              <w:b w:val="0"/>
              <w:bCs w:val="0"/>
              <w:noProof/>
              <w:color w:val="auto"/>
              <w:lang w:eastAsia="en-GB"/>
            </w:rPr>
            <w:tab/>
          </w:r>
          <w:r w:rsidRPr="00DD5983">
            <w:rPr>
              <w:rFonts w:ascii="Arial" w:hAnsi="Arial" w:cs="Arial"/>
              <w:noProof/>
            </w:rPr>
            <w:t>How did the Panel perform in Year 2?</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_Toc492645486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30</w:t>
          </w:r>
          <w:r w:rsidRPr="00DD5983">
            <w:rPr>
              <w:rFonts w:ascii="Arial" w:hAnsi="Arial" w:cs="Arial"/>
              <w:noProof/>
            </w:rPr>
            <w:fldChar w:fldCharType="end"/>
          </w:r>
        </w:p>
        <w:p w14:paraId="46BF69D9"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Introduction</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_Toc492645487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30</w:t>
          </w:r>
          <w:r w:rsidRPr="00DD5983">
            <w:rPr>
              <w:rFonts w:ascii="Arial" w:hAnsi="Arial" w:cs="Arial"/>
              <w:noProof/>
              <w:sz w:val="24"/>
              <w:szCs w:val="24"/>
            </w:rPr>
            <w:fldChar w:fldCharType="end"/>
          </w:r>
        </w:p>
        <w:p w14:paraId="384C7CC7"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Changes in income, expenditure and profit 2014/15 and 2015/16</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_Toc492645488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30</w:t>
          </w:r>
          <w:r w:rsidRPr="00DD5983">
            <w:rPr>
              <w:rFonts w:ascii="Arial" w:hAnsi="Arial" w:cs="Arial"/>
              <w:noProof/>
              <w:sz w:val="24"/>
              <w:szCs w:val="24"/>
            </w:rPr>
            <w:fldChar w:fldCharType="end"/>
          </w:r>
        </w:p>
        <w:p w14:paraId="695BBB0D"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Comparison of disability services income, expenses and profit 2014/15 and 2015/16</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_Toc492645489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36</w:t>
          </w:r>
          <w:r w:rsidRPr="00DD5983">
            <w:rPr>
              <w:rFonts w:ascii="Arial" w:hAnsi="Arial" w:cs="Arial"/>
              <w:noProof/>
              <w:sz w:val="24"/>
              <w:szCs w:val="24"/>
            </w:rPr>
            <w:fldChar w:fldCharType="end"/>
          </w:r>
        </w:p>
        <w:p w14:paraId="7F23DCFA"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Clients and income by service</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_Toc492645490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41</w:t>
          </w:r>
          <w:r w:rsidRPr="00DD5983">
            <w:rPr>
              <w:rFonts w:ascii="Arial" w:hAnsi="Arial" w:cs="Arial"/>
              <w:noProof/>
              <w:sz w:val="24"/>
              <w:szCs w:val="24"/>
            </w:rPr>
            <w:fldChar w:fldCharType="end"/>
          </w:r>
        </w:p>
        <w:p w14:paraId="1DE15B4F"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How did the balance sheet change from 30 June 2015 to 30 June 2016?</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_Toc492645491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44</w:t>
          </w:r>
          <w:r w:rsidRPr="00DD5983">
            <w:rPr>
              <w:rFonts w:ascii="Arial" w:hAnsi="Arial" w:cs="Arial"/>
              <w:noProof/>
              <w:sz w:val="24"/>
              <w:szCs w:val="24"/>
            </w:rPr>
            <w:fldChar w:fldCharType="end"/>
          </w:r>
        </w:p>
        <w:p w14:paraId="69789C2B"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Changes in the key financial position ratios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_Toc492645492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45</w:t>
          </w:r>
          <w:r w:rsidRPr="00DD5983">
            <w:rPr>
              <w:rFonts w:ascii="Arial" w:hAnsi="Arial" w:cs="Arial"/>
              <w:noProof/>
              <w:sz w:val="24"/>
              <w:szCs w:val="24"/>
            </w:rPr>
            <w:fldChar w:fldCharType="end"/>
          </w:r>
        </w:p>
        <w:p w14:paraId="530C1FD8"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Changes in ratings of financial strength</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_Toc492645493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49</w:t>
          </w:r>
          <w:r w:rsidRPr="00DD5983">
            <w:rPr>
              <w:rFonts w:ascii="Arial" w:hAnsi="Arial" w:cs="Arial"/>
              <w:noProof/>
              <w:sz w:val="24"/>
              <w:szCs w:val="24"/>
            </w:rPr>
            <w:fldChar w:fldCharType="end"/>
          </w:r>
        </w:p>
        <w:p w14:paraId="132E95D6"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Staff</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_Toc492645494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51</w:t>
          </w:r>
          <w:r w:rsidRPr="00DD5983">
            <w:rPr>
              <w:rFonts w:ascii="Arial" w:hAnsi="Arial" w:cs="Arial"/>
              <w:noProof/>
              <w:sz w:val="24"/>
              <w:szCs w:val="24"/>
            </w:rPr>
            <w:fldChar w:fldCharType="end"/>
          </w:r>
        </w:p>
        <w:p w14:paraId="7D36E996"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Volunteering</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_Toc492645495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52</w:t>
          </w:r>
          <w:r w:rsidRPr="00DD5983">
            <w:rPr>
              <w:rFonts w:ascii="Arial" w:hAnsi="Arial" w:cs="Arial"/>
              <w:noProof/>
              <w:sz w:val="24"/>
              <w:szCs w:val="24"/>
            </w:rPr>
            <w:fldChar w:fldCharType="end"/>
          </w:r>
        </w:p>
        <w:p w14:paraId="3EAC1E32" w14:textId="77777777" w:rsidR="00006CE5" w:rsidRPr="00DD5983" w:rsidRDefault="00006CE5">
          <w:pPr>
            <w:pStyle w:val="TOC1"/>
            <w:tabs>
              <w:tab w:val="left" w:pos="440"/>
              <w:tab w:val="right" w:pos="9016"/>
            </w:tabs>
            <w:rPr>
              <w:rFonts w:ascii="Arial" w:eastAsiaTheme="minorEastAsia" w:hAnsi="Arial" w:cs="Arial"/>
              <w:b w:val="0"/>
              <w:bCs w:val="0"/>
              <w:noProof/>
              <w:color w:val="auto"/>
              <w:lang w:eastAsia="en-GB"/>
            </w:rPr>
          </w:pPr>
          <w:r w:rsidRPr="00DD5983">
            <w:rPr>
              <w:rFonts w:ascii="Arial" w:hAnsi="Arial" w:cs="Arial"/>
              <w:noProof/>
            </w:rPr>
            <w:t>3.</w:t>
          </w:r>
          <w:r w:rsidRPr="00DD5983">
            <w:rPr>
              <w:rFonts w:ascii="Arial" w:eastAsiaTheme="minorEastAsia" w:hAnsi="Arial" w:cs="Arial"/>
              <w:b w:val="0"/>
              <w:bCs w:val="0"/>
              <w:noProof/>
              <w:color w:val="auto"/>
              <w:lang w:eastAsia="en-GB"/>
            </w:rPr>
            <w:tab/>
          </w:r>
          <w:r w:rsidRPr="00DD5983">
            <w:rPr>
              <w:rFonts w:ascii="Arial" w:hAnsi="Arial" w:cs="Arial"/>
              <w:noProof/>
            </w:rPr>
            <w:t>The Panel’s Outlook</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_Toc492645496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53</w:t>
          </w:r>
          <w:r w:rsidRPr="00DD5983">
            <w:rPr>
              <w:rFonts w:ascii="Arial" w:hAnsi="Arial" w:cs="Arial"/>
              <w:noProof/>
            </w:rPr>
            <w:fldChar w:fldCharType="end"/>
          </w:r>
        </w:p>
        <w:p w14:paraId="6C0F43FF"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Demand for and supply of service</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_Toc492645497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53</w:t>
          </w:r>
          <w:r w:rsidRPr="00DD5983">
            <w:rPr>
              <w:rFonts w:ascii="Arial" w:hAnsi="Arial" w:cs="Arial"/>
              <w:noProof/>
              <w:sz w:val="24"/>
              <w:szCs w:val="24"/>
            </w:rPr>
            <w:fldChar w:fldCharType="end"/>
          </w:r>
        </w:p>
        <w:p w14:paraId="20B073B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Merger, exit and closure</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_Toc492645498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54</w:t>
          </w:r>
          <w:r w:rsidRPr="00DD5983">
            <w:rPr>
              <w:rFonts w:ascii="Arial" w:hAnsi="Arial" w:cs="Arial"/>
              <w:noProof/>
              <w:sz w:val="24"/>
              <w:szCs w:val="24"/>
            </w:rPr>
            <w:fldChar w:fldCharType="end"/>
          </w:r>
        </w:p>
        <w:p w14:paraId="2C531010" w14:textId="77777777" w:rsidR="00006CE5" w:rsidRPr="00DD5983" w:rsidRDefault="00006CE5">
          <w:pPr>
            <w:pStyle w:val="TOC1"/>
            <w:tabs>
              <w:tab w:val="right" w:pos="9016"/>
            </w:tabs>
            <w:rPr>
              <w:rFonts w:ascii="Arial" w:eastAsiaTheme="minorEastAsia" w:hAnsi="Arial" w:cs="Arial"/>
              <w:b w:val="0"/>
              <w:bCs w:val="0"/>
              <w:noProof/>
              <w:color w:val="auto"/>
              <w:lang w:eastAsia="en-GB"/>
            </w:rPr>
          </w:pPr>
          <w:r w:rsidRPr="00DD5983">
            <w:rPr>
              <w:rFonts w:ascii="Arial" w:hAnsi="Arial" w:cs="Arial"/>
              <w:noProof/>
            </w:rPr>
            <w:t>Glossary</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_Toc492645499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55</w:t>
          </w:r>
          <w:r w:rsidRPr="00DD5983">
            <w:rPr>
              <w:rFonts w:ascii="Arial" w:hAnsi="Arial" w:cs="Arial"/>
              <w:noProof/>
            </w:rPr>
            <w:fldChar w:fldCharType="end"/>
          </w:r>
        </w:p>
        <w:p w14:paraId="099C0996" w14:textId="77777777" w:rsidR="00006CE5" w:rsidRPr="00DD5983" w:rsidRDefault="00006CE5">
          <w:pPr>
            <w:pStyle w:val="TOC1"/>
            <w:tabs>
              <w:tab w:val="right" w:pos="9016"/>
            </w:tabs>
            <w:rPr>
              <w:rFonts w:ascii="Arial" w:eastAsiaTheme="minorEastAsia" w:hAnsi="Arial" w:cs="Arial"/>
              <w:b w:val="0"/>
              <w:bCs w:val="0"/>
              <w:noProof/>
              <w:color w:val="auto"/>
              <w:lang w:eastAsia="en-GB"/>
            </w:rPr>
          </w:pPr>
          <w:r w:rsidRPr="00DD5983">
            <w:rPr>
              <w:rFonts w:ascii="Arial" w:hAnsi="Arial" w:cs="Arial"/>
              <w:noProof/>
            </w:rPr>
            <w:t>Appendix 1 Research Method</w:t>
          </w:r>
          <w:r w:rsidRPr="00DD5983">
            <w:rPr>
              <w:rFonts w:ascii="Arial" w:hAnsi="Arial" w:cs="Arial"/>
              <w:noProof/>
            </w:rPr>
            <w:tab/>
          </w:r>
          <w:r w:rsidRPr="00DD5983">
            <w:rPr>
              <w:rFonts w:ascii="Arial" w:hAnsi="Arial" w:cs="Arial"/>
              <w:noProof/>
            </w:rPr>
            <w:fldChar w:fldCharType="begin"/>
          </w:r>
          <w:r w:rsidRPr="00DD5983">
            <w:rPr>
              <w:rFonts w:ascii="Arial" w:hAnsi="Arial" w:cs="Arial"/>
              <w:noProof/>
            </w:rPr>
            <w:instrText xml:space="preserve"> PAGEREF _Toc492645500 \h </w:instrText>
          </w:r>
          <w:r w:rsidRPr="00DD5983">
            <w:rPr>
              <w:rFonts w:ascii="Arial" w:hAnsi="Arial" w:cs="Arial"/>
              <w:noProof/>
            </w:rPr>
          </w:r>
          <w:r w:rsidRPr="00DD5983">
            <w:rPr>
              <w:rFonts w:ascii="Arial" w:hAnsi="Arial" w:cs="Arial"/>
              <w:noProof/>
            </w:rPr>
            <w:fldChar w:fldCharType="separate"/>
          </w:r>
          <w:r w:rsidRPr="00DD5983">
            <w:rPr>
              <w:rFonts w:ascii="Arial" w:hAnsi="Arial" w:cs="Arial"/>
              <w:noProof/>
            </w:rPr>
            <w:t>60</w:t>
          </w:r>
          <w:r w:rsidRPr="00DD5983">
            <w:rPr>
              <w:rFonts w:ascii="Arial" w:hAnsi="Arial" w:cs="Arial"/>
              <w:noProof/>
            </w:rPr>
            <w:fldChar w:fldCharType="end"/>
          </w:r>
        </w:p>
        <w:p w14:paraId="422875D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Background and aims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_Toc492645501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60</w:t>
          </w:r>
          <w:r w:rsidRPr="00DD5983">
            <w:rPr>
              <w:rFonts w:ascii="Arial" w:hAnsi="Arial" w:cs="Arial"/>
              <w:noProof/>
              <w:sz w:val="24"/>
              <w:szCs w:val="24"/>
            </w:rPr>
            <w:fldChar w:fldCharType="end"/>
          </w:r>
        </w:p>
        <w:p w14:paraId="253CA0DA"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Method</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_Toc492645502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60</w:t>
          </w:r>
          <w:r w:rsidRPr="00DD5983">
            <w:rPr>
              <w:rFonts w:ascii="Arial" w:hAnsi="Arial" w:cs="Arial"/>
              <w:noProof/>
              <w:sz w:val="24"/>
              <w:szCs w:val="24"/>
            </w:rPr>
            <w:fldChar w:fldCharType="end"/>
          </w:r>
        </w:p>
        <w:p w14:paraId="21F3A17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How representative is our Panel?</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_Toc492645503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63</w:t>
          </w:r>
          <w:r w:rsidRPr="00DD5983">
            <w:rPr>
              <w:rFonts w:ascii="Arial" w:hAnsi="Arial" w:cs="Arial"/>
              <w:noProof/>
              <w:sz w:val="24"/>
              <w:szCs w:val="24"/>
            </w:rPr>
            <w:fldChar w:fldCharType="end"/>
          </w:r>
        </w:p>
        <w:p w14:paraId="1A852227"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Interpreting the findings</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_Toc492645504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64</w:t>
          </w:r>
          <w:r w:rsidRPr="00DD5983">
            <w:rPr>
              <w:rFonts w:ascii="Arial" w:hAnsi="Arial" w:cs="Arial"/>
              <w:noProof/>
              <w:sz w:val="24"/>
              <w:szCs w:val="24"/>
            </w:rPr>
            <w:fldChar w:fldCharType="end"/>
          </w:r>
        </w:p>
        <w:p w14:paraId="007BEB31" w14:textId="77777777" w:rsidR="00006CE5" w:rsidRPr="00DD5983" w:rsidRDefault="00006CE5">
          <w:pPr>
            <w:pStyle w:val="TOC2"/>
            <w:tabs>
              <w:tab w:val="right" w:pos="9016"/>
            </w:tabs>
            <w:rPr>
              <w:rFonts w:ascii="Arial" w:eastAsiaTheme="minorEastAsia" w:hAnsi="Arial" w:cs="Arial"/>
              <w:noProof/>
              <w:sz w:val="24"/>
              <w:szCs w:val="24"/>
              <w:lang w:eastAsia="en-GB"/>
            </w:rPr>
          </w:pPr>
          <w:r w:rsidRPr="00DD5983">
            <w:rPr>
              <w:rFonts w:ascii="Arial" w:hAnsi="Arial" w:cs="Arial"/>
              <w:noProof/>
              <w:sz w:val="24"/>
              <w:szCs w:val="24"/>
            </w:rPr>
            <w:t>Data quality</w:t>
          </w:r>
          <w:r w:rsidRPr="00DD5983">
            <w:rPr>
              <w:rFonts w:ascii="Arial" w:hAnsi="Arial" w:cs="Arial"/>
              <w:noProof/>
              <w:sz w:val="24"/>
              <w:szCs w:val="24"/>
            </w:rPr>
            <w:tab/>
          </w:r>
          <w:r w:rsidRPr="00DD5983">
            <w:rPr>
              <w:rFonts w:ascii="Arial" w:hAnsi="Arial" w:cs="Arial"/>
              <w:noProof/>
              <w:sz w:val="24"/>
              <w:szCs w:val="24"/>
            </w:rPr>
            <w:fldChar w:fldCharType="begin"/>
          </w:r>
          <w:r w:rsidRPr="00DD5983">
            <w:rPr>
              <w:rFonts w:ascii="Arial" w:hAnsi="Arial" w:cs="Arial"/>
              <w:noProof/>
              <w:sz w:val="24"/>
              <w:szCs w:val="24"/>
            </w:rPr>
            <w:instrText xml:space="preserve"> PAGEREF _Toc492645505 \h </w:instrText>
          </w:r>
          <w:r w:rsidRPr="00DD5983">
            <w:rPr>
              <w:rFonts w:ascii="Arial" w:hAnsi="Arial" w:cs="Arial"/>
              <w:noProof/>
              <w:sz w:val="24"/>
              <w:szCs w:val="24"/>
            </w:rPr>
          </w:r>
          <w:r w:rsidRPr="00DD5983">
            <w:rPr>
              <w:rFonts w:ascii="Arial" w:hAnsi="Arial" w:cs="Arial"/>
              <w:noProof/>
              <w:sz w:val="24"/>
              <w:szCs w:val="24"/>
            </w:rPr>
            <w:fldChar w:fldCharType="separate"/>
          </w:r>
          <w:r w:rsidRPr="00DD5983">
            <w:rPr>
              <w:rFonts w:ascii="Arial" w:hAnsi="Arial" w:cs="Arial"/>
              <w:noProof/>
              <w:sz w:val="24"/>
              <w:szCs w:val="24"/>
            </w:rPr>
            <w:t>64</w:t>
          </w:r>
          <w:r w:rsidRPr="00DD5983">
            <w:rPr>
              <w:rFonts w:ascii="Arial" w:hAnsi="Arial" w:cs="Arial"/>
              <w:noProof/>
              <w:sz w:val="24"/>
              <w:szCs w:val="24"/>
            </w:rPr>
            <w:fldChar w:fldCharType="end"/>
          </w:r>
        </w:p>
        <w:p w14:paraId="70DEA219" w14:textId="3152FBD2" w:rsidR="003934B8" w:rsidRPr="00DD5983" w:rsidRDefault="00006CE5" w:rsidP="00DD5983">
          <w:r w:rsidRPr="00DD5983">
            <w:rPr>
              <w:rFonts w:ascii="Arial" w:hAnsi="Arial" w:cs="Arial"/>
              <w:color w:val="548DD4"/>
              <w:sz w:val="24"/>
              <w:szCs w:val="24"/>
            </w:rPr>
            <w:fldChar w:fldCharType="end"/>
          </w:r>
        </w:p>
      </w:sdtContent>
    </w:sdt>
    <w:bookmarkEnd w:id="9" w:displacedByCustomXml="prev"/>
    <w:sectPr w:rsidR="003934B8" w:rsidRPr="00DD5983" w:rsidSect="00C224F6">
      <w:footerReference w:type="default" r:id="rId1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7E82" w14:textId="77777777" w:rsidR="009F69CE" w:rsidRDefault="009F69CE" w:rsidP="00236B26">
      <w:pPr>
        <w:spacing w:after="0" w:line="240" w:lineRule="auto"/>
      </w:pPr>
      <w:r>
        <w:separator/>
      </w:r>
    </w:p>
  </w:endnote>
  <w:endnote w:type="continuationSeparator" w:id="0">
    <w:p w14:paraId="5CEC7380" w14:textId="77777777" w:rsidR="009F69CE" w:rsidRDefault="009F69CE" w:rsidP="0023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38BCE" w14:textId="433AFBC3" w:rsidR="00403BA2" w:rsidRPr="001F0FB5" w:rsidRDefault="00403BA2">
    <w:pPr>
      <w:pStyle w:val="Footer"/>
      <w:rPr>
        <w:lang w:val="en-AU"/>
      </w:rPr>
    </w:pPr>
    <w:r w:rsidRPr="00D22B6D">
      <w:rPr>
        <w:lang w:val="en-AU"/>
      </w:rPr>
      <w:fldChar w:fldCharType="begin"/>
    </w:r>
    <w:r w:rsidRPr="00D22B6D">
      <w:rPr>
        <w:lang w:val="en-AU"/>
      </w:rPr>
      <w:instrText xml:space="preserve"> PAGE   \* MERGEFORMAT </w:instrText>
    </w:r>
    <w:r w:rsidRPr="00D22B6D">
      <w:rPr>
        <w:lang w:val="en-AU"/>
      </w:rPr>
      <w:fldChar w:fldCharType="separate"/>
    </w:r>
    <w:r>
      <w:rPr>
        <w:noProof/>
        <w:lang w:val="en-AU"/>
      </w:rPr>
      <w:t>- 2 -</w:t>
    </w:r>
    <w:r w:rsidRPr="00D22B6D">
      <w:rPr>
        <w:noProof/>
        <w:lang w:val="en-AU"/>
      </w:rPr>
      <w:fldChar w:fldCharType="end"/>
    </w:r>
    <w:r>
      <w:rPr>
        <w:noProof/>
        <w:lang w:val="en-AU"/>
      </w:rPr>
      <w:tab/>
    </w:r>
    <w:r>
      <w:rPr>
        <w:noProof/>
        <w:lang w:val="en-AU" w:eastAsia="en-AU"/>
      </w:rPr>
      <w:drawing>
        <wp:inline distT="0" distB="0" distL="0" distR="0" wp14:anchorId="302E7093" wp14:editId="00A177C5">
          <wp:extent cx="1551800" cy="257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rtinUni_CMYK (1) copy.jpg"/>
                  <pic:cNvPicPr/>
                </pic:nvPicPr>
                <pic:blipFill>
                  <a:blip r:embed="rId1">
                    <a:extLst>
                      <a:ext uri="{28A0092B-C50C-407E-A947-70E740481C1C}">
                        <a14:useLocalDpi xmlns:a14="http://schemas.microsoft.com/office/drawing/2010/main" val="0"/>
                      </a:ext>
                    </a:extLst>
                  </a:blip>
                  <a:stretch>
                    <a:fillRect/>
                  </a:stretch>
                </pic:blipFill>
                <pic:spPr>
                  <a:xfrm>
                    <a:off x="0" y="0"/>
                    <a:ext cx="1555279" cy="257752"/>
                  </a:xfrm>
                  <a:prstGeom prst="rect">
                    <a:avLst/>
                  </a:prstGeom>
                </pic:spPr>
              </pic:pic>
            </a:graphicData>
          </a:graphic>
        </wp:inline>
      </w:drawing>
    </w:r>
    <w:r>
      <w:rPr>
        <w:noProof/>
        <w:lang w:val="en-AU"/>
      </w:rPr>
      <w:tab/>
    </w:r>
    <w:r>
      <w:rPr>
        <w:lang w:val="en-AU"/>
      </w:rPr>
      <w:t xml:space="preserve"> </w:t>
    </w:r>
    <w:sdt>
      <w:sdtPr>
        <w:rPr>
          <w:lang w:val="en-AU"/>
        </w:rPr>
        <w:alias w:val="Title"/>
        <w:tag w:val=""/>
        <w:id w:val="-1459570210"/>
        <w:dataBinding w:prefixMappings="xmlns:ns0='http://purl.org/dc/elements/1.1/' xmlns:ns1='http://schemas.openxmlformats.org/package/2006/metadata/core-properties' " w:xpath="/ns1:coreProperties[1]/ns0:title[1]" w:storeItemID="{6C3C8BC8-F283-45AE-878A-BAB7291924A1}"/>
        <w:text/>
      </w:sdtPr>
      <w:sdtEndPr/>
      <w:sdtContent>
        <w:r>
          <w:t>Australia’s Disability Services Sector 2017 - Report 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6571" w14:textId="468531C7" w:rsidR="00403BA2" w:rsidRPr="00B8693A" w:rsidRDefault="00403BA2" w:rsidP="0007287B">
    <w:pPr>
      <w:pStyle w:val="Footer"/>
    </w:pPr>
    <w:r>
      <w:t>Australia’s Disability Services Sector 2017 - Report 2</w:t>
    </w:r>
    <w:r>
      <w:tab/>
    </w:r>
    <w:r>
      <w:fldChar w:fldCharType="begin"/>
    </w:r>
    <w:r>
      <w:instrText xml:space="preserve"> PAGE   \* MERGEFORMAT </w:instrText>
    </w:r>
    <w:r>
      <w:fldChar w:fldCharType="separate"/>
    </w:r>
    <w:r w:rsidR="00DD5983">
      <w:rPr>
        <w:noProof/>
      </w:rPr>
      <w:t>2</w:t>
    </w:r>
    <w:r>
      <w:rPr>
        <w:noProof/>
      </w:rPr>
      <w:fldChar w:fldCharType="end"/>
    </w:r>
    <w:r>
      <w:t xml:space="preserve"> </w:t>
    </w:r>
  </w:p>
  <w:p w14:paraId="3B2568B5" w14:textId="77777777" w:rsidR="00403BA2" w:rsidRDefault="00403BA2" w:rsidP="0048480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3458" w14:textId="77777777" w:rsidR="00403BA2" w:rsidRDefault="00403BA2" w:rsidP="00732B0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66C1" w14:textId="5A8DC26C" w:rsidR="00403BA2" w:rsidRPr="00B8693A" w:rsidRDefault="00403BA2" w:rsidP="00B8693A">
    <w:pPr>
      <w:pStyle w:val="Footer"/>
    </w:pPr>
    <w:r>
      <w:t>Australia’s Disability Services Sector 2017 - Report 2</w:t>
    </w:r>
    <w:r>
      <w:tab/>
    </w:r>
    <w:r>
      <w:fldChar w:fldCharType="begin"/>
    </w:r>
    <w:r>
      <w:instrText xml:space="preserve"> PAGE   \* MERGEFORMAT </w:instrText>
    </w:r>
    <w:r>
      <w:fldChar w:fldCharType="separate"/>
    </w:r>
    <w:r w:rsidR="00DD5983">
      <w:rPr>
        <w:noProof/>
      </w:rPr>
      <w:t>4</w:t>
    </w:r>
    <w:r>
      <w:rPr>
        <w:noProof/>
      </w:rPr>
      <w:fldChar w:fldCharType="end"/>
    </w:r>
    <w:r>
      <w:t xml:space="preserve"> </w:t>
    </w:r>
  </w:p>
  <w:p w14:paraId="3678E77F" w14:textId="77777777" w:rsidR="008944AB" w:rsidRDefault="00894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B735" w14:textId="77777777" w:rsidR="009F69CE" w:rsidRDefault="009F69CE" w:rsidP="00236B26">
      <w:pPr>
        <w:spacing w:after="0" w:line="240" w:lineRule="auto"/>
      </w:pPr>
      <w:r>
        <w:separator/>
      </w:r>
    </w:p>
  </w:footnote>
  <w:footnote w:type="continuationSeparator" w:id="0">
    <w:p w14:paraId="48B1FFC3" w14:textId="77777777" w:rsidR="009F69CE" w:rsidRDefault="009F69CE" w:rsidP="00236B26">
      <w:pPr>
        <w:spacing w:after="0" w:line="240" w:lineRule="auto"/>
      </w:pPr>
      <w:r>
        <w:continuationSeparator/>
      </w:r>
    </w:p>
  </w:footnote>
  <w:footnote w:id="1">
    <w:p w14:paraId="03E8AE89" w14:textId="7197416B" w:rsidR="00403BA2" w:rsidRPr="00356776" w:rsidRDefault="00403BA2">
      <w:pPr>
        <w:pStyle w:val="FootnoteText"/>
        <w:rPr>
          <w:lang w:val="en-US"/>
        </w:rPr>
      </w:pPr>
      <w:r>
        <w:rPr>
          <w:rStyle w:val="FootnoteReference"/>
        </w:rPr>
        <w:footnoteRef/>
      </w:r>
      <w:r>
        <w:t xml:space="preserve"> National Disability Services 2017 Price Controls Review. Consultation on NDIS pricing arrangements Discussion Paper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73F4" w14:textId="7E3383FA" w:rsidR="00403BA2" w:rsidRDefault="0040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AEA"/>
    <w:multiLevelType w:val="hybridMultilevel"/>
    <w:tmpl w:val="70B64EAE"/>
    <w:lvl w:ilvl="0" w:tplc="08090001">
      <w:start w:val="1"/>
      <w:numFmt w:val="bullet"/>
      <w:lvlText w:val=""/>
      <w:lvlJc w:val="left"/>
      <w:pPr>
        <w:ind w:left="1440" w:hanging="360"/>
      </w:pPr>
      <w:rPr>
        <w:rFonts w:ascii="Symbol" w:hAnsi="Symbol" w:hint="default"/>
      </w:rPr>
    </w:lvl>
    <w:lvl w:ilvl="1" w:tplc="BC6038E0"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EE3E37"/>
    <w:multiLevelType w:val="hybridMultilevel"/>
    <w:tmpl w:val="E7BC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F6DF0"/>
    <w:multiLevelType w:val="hybridMultilevel"/>
    <w:tmpl w:val="E2EE5358"/>
    <w:lvl w:ilvl="0" w:tplc="04962F7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194E28"/>
    <w:multiLevelType w:val="multilevel"/>
    <w:tmpl w:val="70B64E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E8B27C3"/>
    <w:multiLevelType w:val="hybridMultilevel"/>
    <w:tmpl w:val="29004D3C"/>
    <w:lvl w:ilvl="0" w:tplc="56BAAB58">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846DF"/>
    <w:multiLevelType w:val="hybridMultilevel"/>
    <w:tmpl w:val="3488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76715"/>
    <w:multiLevelType w:val="multilevel"/>
    <w:tmpl w:val="898409DC"/>
    <w:lvl w:ilvl="0">
      <w:start w:val="1"/>
      <w:numFmt w:val="decimal"/>
      <w:lvlText w:val="%1."/>
      <w:lvlJc w:val="left"/>
      <w:pPr>
        <w:ind w:left="0" w:hanging="360"/>
      </w:pPr>
      <w:rPr>
        <w:rFonts w:hint="default"/>
      </w:rPr>
    </w:lvl>
    <w:lvl w:ilvl="1">
      <w:start w:val="1"/>
      <w:numFmt w:val="none"/>
      <w:lvlText w:val="1.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1D242374"/>
    <w:multiLevelType w:val="multilevel"/>
    <w:tmpl w:val="898409DC"/>
    <w:lvl w:ilvl="0">
      <w:start w:val="1"/>
      <w:numFmt w:val="decimal"/>
      <w:lvlText w:val="%1."/>
      <w:lvlJc w:val="left"/>
      <w:pPr>
        <w:ind w:left="0" w:hanging="360"/>
      </w:pPr>
      <w:rPr>
        <w:rFonts w:hint="default"/>
      </w:rPr>
    </w:lvl>
    <w:lvl w:ilvl="1">
      <w:start w:val="1"/>
      <w:numFmt w:val="none"/>
      <w:lvlText w:val="1.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1DF56DC3"/>
    <w:multiLevelType w:val="multilevel"/>
    <w:tmpl w:val="87EE5116"/>
    <w:lvl w:ilvl="0">
      <w:start w:val="1"/>
      <w:numFmt w:val="decimal"/>
      <w:lvlText w:val="%1."/>
      <w:lvlJc w:val="left"/>
      <w:pPr>
        <w:ind w:left="0" w:hanging="360"/>
      </w:pPr>
      <w:rPr>
        <w:rFonts w:hint="default"/>
      </w:rPr>
    </w:lvl>
    <w:lvl w:ilvl="1">
      <w:start w:val="1"/>
      <w:numFmt w:val="none"/>
      <w:lvlText w:val="2.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nsid w:val="210D370C"/>
    <w:multiLevelType w:val="multilevel"/>
    <w:tmpl w:val="DD34940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nsid w:val="23A35679"/>
    <w:multiLevelType w:val="hybridMultilevel"/>
    <w:tmpl w:val="330011B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E4811"/>
    <w:multiLevelType w:val="multilevel"/>
    <w:tmpl w:val="5404959E"/>
    <w:lvl w:ilvl="0">
      <w:start w:val="1"/>
      <w:numFmt w:val="decimal"/>
      <w:lvlText w:val="%1."/>
      <w:lvlJc w:val="left"/>
      <w:pPr>
        <w:ind w:left="360" w:hanging="360"/>
      </w:pPr>
      <w:rPr>
        <w:rFonts w:hint="default"/>
      </w:rPr>
    </w:lvl>
    <w:lvl w:ilvl="1">
      <w:start w:val="2"/>
      <w:numFmt w:val="none"/>
      <w:lvlText w:val="1.1"/>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5D6574"/>
    <w:multiLevelType w:val="hybridMultilevel"/>
    <w:tmpl w:val="E03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27549"/>
    <w:multiLevelType w:val="multilevel"/>
    <w:tmpl w:val="B1DA82E2"/>
    <w:lvl w:ilvl="0">
      <w:start w:val="1"/>
      <w:numFmt w:val="decimal"/>
      <w:lvlText w:val="%1."/>
      <w:lvlJc w:val="left"/>
      <w:pPr>
        <w:ind w:left="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30991794"/>
    <w:multiLevelType w:val="multilevel"/>
    <w:tmpl w:val="DD34940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36CC6773"/>
    <w:multiLevelType w:val="hybridMultilevel"/>
    <w:tmpl w:val="DDE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6673A"/>
    <w:multiLevelType w:val="hybridMultilevel"/>
    <w:tmpl w:val="E3E6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E7912"/>
    <w:multiLevelType w:val="multilevel"/>
    <w:tmpl w:val="E920243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nsid w:val="394E207B"/>
    <w:multiLevelType w:val="multilevel"/>
    <w:tmpl w:val="E920243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9">
    <w:nsid w:val="3B764D8C"/>
    <w:multiLevelType w:val="hybridMultilevel"/>
    <w:tmpl w:val="765E64E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nsid w:val="3B8F146D"/>
    <w:multiLevelType w:val="multilevel"/>
    <w:tmpl w:val="50FAF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DFC2A00"/>
    <w:multiLevelType w:val="hybridMultilevel"/>
    <w:tmpl w:val="E99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1C5093"/>
    <w:multiLevelType w:val="multilevel"/>
    <w:tmpl w:val="3FF4004C"/>
    <w:lvl w:ilvl="0">
      <w:start w:val="1"/>
      <w:numFmt w:val="decimal"/>
      <w:lvlText w:val="%1."/>
      <w:lvlJc w:val="left"/>
      <w:pPr>
        <w:ind w:left="0" w:hanging="360"/>
      </w:pPr>
      <w:rPr>
        <w:rFonts w:hint="default"/>
      </w:rPr>
    </w:lvl>
    <w:lvl w:ilvl="1">
      <w:start w:val="1"/>
      <w:numFmt w:val="none"/>
      <w:lvlText w:val="1.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nsid w:val="418D786A"/>
    <w:multiLevelType w:val="multilevel"/>
    <w:tmpl w:val="E920243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nsid w:val="42031EDB"/>
    <w:multiLevelType w:val="multilevel"/>
    <w:tmpl w:val="E920243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nsid w:val="462C4F8B"/>
    <w:multiLevelType w:val="hybridMultilevel"/>
    <w:tmpl w:val="87428DAE"/>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26">
    <w:nsid w:val="4D1A2982"/>
    <w:multiLevelType w:val="multilevel"/>
    <w:tmpl w:val="C81C840E"/>
    <w:lvl w:ilvl="0">
      <w:start w:val="1"/>
      <w:numFmt w:val="decimal"/>
      <w:lvlText w:val="%1."/>
      <w:lvlJc w:val="left"/>
      <w:pPr>
        <w:ind w:left="0" w:hanging="360"/>
      </w:pPr>
      <w:rPr>
        <w:rFonts w:hint="default"/>
      </w:rPr>
    </w:lvl>
    <w:lvl w:ilvl="1">
      <w:start w:val="1"/>
      <w:numFmt w:val="decimal"/>
      <w:lvlText w:val="3.%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7">
    <w:nsid w:val="4E456637"/>
    <w:multiLevelType w:val="hybridMultilevel"/>
    <w:tmpl w:val="7E0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71310"/>
    <w:multiLevelType w:val="multilevel"/>
    <w:tmpl w:val="87EE5116"/>
    <w:lvl w:ilvl="0">
      <w:start w:val="1"/>
      <w:numFmt w:val="decimal"/>
      <w:lvlText w:val="%1."/>
      <w:lvlJc w:val="left"/>
      <w:pPr>
        <w:ind w:left="0" w:hanging="360"/>
      </w:pPr>
      <w:rPr>
        <w:rFonts w:hint="default"/>
      </w:rPr>
    </w:lvl>
    <w:lvl w:ilvl="1">
      <w:start w:val="1"/>
      <w:numFmt w:val="none"/>
      <w:lvlText w:val="2.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9">
    <w:nsid w:val="545D4A64"/>
    <w:multiLevelType w:val="hybridMultilevel"/>
    <w:tmpl w:val="50FA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762DB"/>
    <w:multiLevelType w:val="hybridMultilevel"/>
    <w:tmpl w:val="132E0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D717F9"/>
    <w:multiLevelType w:val="hybridMultilevel"/>
    <w:tmpl w:val="CDDC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CE25A5"/>
    <w:multiLevelType w:val="multilevel"/>
    <w:tmpl w:val="0DF85E82"/>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3">
    <w:nsid w:val="6BF8654E"/>
    <w:multiLevelType w:val="multilevel"/>
    <w:tmpl w:val="34D2EB82"/>
    <w:lvl w:ilvl="0">
      <w:start w:val="1"/>
      <w:numFmt w:val="decimal"/>
      <w:lvlText w:val="%1."/>
      <w:lvlJc w:val="left"/>
      <w:pPr>
        <w:ind w:left="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4">
    <w:nsid w:val="6EE87D55"/>
    <w:multiLevelType w:val="hybridMultilevel"/>
    <w:tmpl w:val="132E0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967FD2"/>
    <w:multiLevelType w:val="hybridMultilevel"/>
    <w:tmpl w:val="6406C596"/>
    <w:lvl w:ilvl="0" w:tplc="73F88EBA">
      <w:start w:val="1"/>
      <w:numFmt w:val="decimal"/>
      <w:lvlText w:val="%1."/>
      <w:lvlJc w:val="left"/>
      <w:pPr>
        <w:ind w:left="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27655"/>
    <w:multiLevelType w:val="hybridMultilevel"/>
    <w:tmpl w:val="3C2E3CC4"/>
    <w:lvl w:ilvl="0" w:tplc="B39273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14"/>
  </w:num>
  <w:num w:numId="6">
    <w:abstractNumId w:val="8"/>
  </w:num>
  <w:num w:numId="7">
    <w:abstractNumId w:val="28"/>
  </w:num>
  <w:num w:numId="8">
    <w:abstractNumId w:val="13"/>
  </w:num>
  <w:num w:numId="9">
    <w:abstractNumId w:val="32"/>
  </w:num>
  <w:num w:numId="10">
    <w:abstractNumId w:val="33"/>
  </w:num>
  <w:num w:numId="11">
    <w:abstractNumId w:val="7"/>
  </w:num>
  <w:num w:numId="12">
    <w:abstractNumId w:val="9"/>
  </w:num>
  <w:num w:numId="13">
    <w:abstractNumId w:val="35"/>
  </w:num>
  <w:num w:numId="14">
    <w:abstractNumId w:val="4"/>
  </w:num>
  <w:num w:numId="15">
    <w:abstractNumId w:val="26"/>
  </w:num>
  <w:num w:numId="16">
    <w:abstractNumId w:val="22"/>
  </w:num>
  <w:num w:numId="17">
    <w:abstractNumId w:val="7"/>
  </w:num>
  <w:num w:numId="18">
    <w:abstractNumId w:val="6"/>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7"/>
  </w:num>
  <w:num w:numId="23">
    <w:abstractNumId w:val="23"/>
  </w:num>
  <w:num w:numId="24">
    <w:abstractNumId w:val="4"/>
  </w:num>
  <w:num w:numId="25">
    <w:abstractNumId w:val="4"/>
  </w:num>
  <w:num w:numId="26">
    <w:abstractNumId w:val="31"/>
  </w:num>
  <w:num w:numId="27">
    <w:abstractNumId w:val="27"/>
  </w:num>
  <w:num w:numId="28">
    <w:abstractNumId w:val="23"/>
  </w:num>
  <w:num w:numId="29">
    <w:abstractNumId w:val="16"/>
  </w:num>
  <w:num w:numId="30">
    <w:abstractNumId w:val="23"/>
  </w:num>
  <w:num w:numId="31">
    <w:abstractNumId w:val="18"/>
  </w:num>
  <w:num w:numId="32">
    <w:abstractNumId w:val="29"/>
  </w:num>
  <w:num w:numId="33">
    <w:abstractNumId w:val="20"/>
  </w:num>
  <w:num w:numId="34">
    <w:abstractNumId w:val="36"/>
  </w:num>
  <w:num w:numId="35">
    <w:abstractNumId w:val="36"/>
  </w:num>
  <w:num w:numId="36">
    <w:abstractNumId w:val="34"/>
  </w:num>
  <w:num w:numId="37">
    <w:abstractNumId w:val="12"/>
  </w:num>
  <w:num w:numId="38">
    <w:abstractNumId w:val="15"/>
  </w:num>
  <w:num w:numId="39">
    <w:abstractNumId w:val="21"/>
  </w:num>
  <w:num w:numId="40">
    <w:abstractNumId w:val="19"/>
  </w:num>
  <w:num w:numId="41">
    <w:abstractNumId w:val="25"/>
  </w:num>
  <w:num w:numId="42">
    <w:abstractNumId w:val="2"/>
  </w:num>
  <w:num w:numId="43">
    <w:abstractNumId w:val="1"/>
  </w:num>
  <w:num w:numId="44">
    <w:abstractNumId w:val="3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74"/>
    <w:rsid w:val="00000B92"/>
    <w:rsid w:val="0000419C"/>
    <w:rsid w:val="0000468E"/>
    <w:rsid w:val="0000539F"/>
    <w:rsid w:val="00006010"/>
    <w:rsid w:val="0000643C"/>
    <w:rsid w:val="00006CE5"/>
    <w:rsid w:val="0001008A"/>
    <w:rsid w:val="0001149D"/>
    <w:rsid w:val="00013499"/>
    <w:rsid w:val="00013C08"/>
    <w:rsid w:val="00014B61"/>
    <w:rsid w:val="00015C9C"/>
    <w:rsid w:val="000175AF"/>
    <w:rsid w:val="00020666"/>
    <w:rsid w:val="00021A8F"/>
    <w:rsid w:val="0002298D"/>
    <w:rsid w:val="00023508"/>
    <w:rsid w:val="0002379C"/>
    <w:rsid w:val="00024B4B"/>
    <w:rsid w:val="00025777"/>
    <w:rsid w:val="000257DA"/>
    <w:rsid w:val="00026A17"/>
    <w:rsid w:val="00026AB7"/>
    <w:rsid w:val="00027778"/>
    <w:rsid w:val="00030D02"/>
    <w:rsid w:val="000322D3"/>
    <w:rsid w:val="00033469"/>
    <w:rsid w:val="000338B0"/>
    <w:rsid w:val="000352B8"/>
    <w:rsid w:val="0003647C"/>
    <w:rsid w:val="000364FA"/>
    <w:rsid w:val="00036A03"/>
    <w:rsid w:val="00040CF2"/>
    <w:rsid w:val="000412C7"/>
    <w:rsid w:val="000418B0"/>
    <w:rsid w:val="00042CF1"/>
    <w:rsid w:val="00043F33"/>
    <w:rsid w:val="0004482F"/>
    <w:rsid w:val="00046CBD"/>
    <w:rsid w:val="00052236"/>
    <w:rsid w:val="000543F4"/>
    <w:rsid w:val="00061F4C"/>
    <w:rsid w:val="000621A6"/>
    <w:rsid w:val="00062618"/>
    <w:rsid w:val="000629EC"/>
    <w:rsid w:val="00065459"/>
    <w:rsid w:val="00065F1F"/>
    <w:rsid w:val="0006623D"/>
    <w:rsid w:val="0006727A"/>
    <w:rsid w:val="00067C13"/>
    <w:rsid w:val="0007203A"/>
    <w:rsid w:val="0007287B"/>
    <w:rsid w:val="00073686"/>
    <w:rsid w:val="00081720"/>
    <w:rsid w:val="0008231E"/>
    <w:rsid w:val="000823E9"/>
    <w:rsid w:val="000826E1"/>
    <w:rsid w:val="00082DA5"/>
    <w:rsid w:val="000849A2"/>
    <w:rsid w:val="00084ACF"/>
    <w:rsid w:val="000904A0"/>
    <w:rsid w:val="00091A2C"/>
    <w:rsid w:val="00091EF1"/>
    <w:rsid w:val="000930CE"/>
    <w:rsid w:val="00093866"/>
    <w:rsid w:val="000952DC"/>
    <w:rsid w:val="00097AFA"/>
    <w:rsid w:val="00097D3A"/>
    <w:rsid w:val="000A0894"/>
    <w:rsid w:val="000A0CA6"/>
    <w:rsid w:val="000A22EF"/>
    <w:rsid w:val="000A3F2C"/>
    <w:rsid w:val="000A49A2"/>
    <w:rsid w:val="000B036D"/>
    <w:rsid w:val="000B14BA"/>
    <w:rsid w:val="000B1D33"/>
    <w:rsid w:val="000B1E33"/>
    <w:rsid w:val="000B346C"/>
    <w:rsid w:val="000B47AA"/>
    <w:rsid w:val="000B4E40"/>
    <w:rsid w:val="000B512F"/>
    <w:rsid w:val="000B53C4"/>
    <w:rsid w:val="000B5823"/>
    <w:rsid w:val="000B6678"/>
    <w:rsid w:val="000B7058"/>
    <w:rsid w:val="000C17D7"/>
    <w:rsid w:val="000C196B"/>
    <w:rsid w:val="000C2345"/>
    <w:rsid w:val="000C27DF"/>
    <w:rsid w:val="000C332F"/>
    <w:rsid w:val="000C394A"/>
    <w:rsid w:val="000C3AA7"/>
    <w:rsid w:val="000C419B"/>
    <w:rsid w:val="000C506D"/>
    <w:rsid w:val="000C54A9"/>
    <w:rsid w:val="000C54E0"/>
    <w:rsid w:val="000D4A66"/>
    <w:rsid w:val="000D7801"/>
    <w:rsid w:val="000E28F4"/>
    <w:rsid w:val="000E36CF"/>
    <w:rsid w:val="000E3E45"/>
    <w:rsid w:val="000E52C2"/>
    <w:rsid w:val="000E7C90"/>
    <w:rsid w:val="000F1D2A"/>
    <w:rsid w:val="000F6A02"/>
    <w:rsid w:val="000F71E0"/>
    <w:rsid w:val="000F7677"/>
    <w:rsid w:val="00100191"/>
    <w:rsid w:val="00100296"/>
    <w:rsid w:val="001014D3"/>
    <w:rsid w:val="00102F7D"/>
    <w:rsid w:val="001056EB"/>
    <w:rsid w:val="0010742E"/>
    <w:rsid w:val="00112351"/>
    <w:rsid w:val="00113276"/>
    <w:rsid w:val="00113682"/>
    <w:rsid w:val="00113972"/>
    <w:rsid w:val="00113BE9"/>
    <w:rsid w:val="00113F35"/>
    <w:rsid w:val="001146D7"/>
    <w:rsid w:val="00114A2A"/>
    <w:rsid w:val="00115766"/>
    <w:rsid w:val="00115B8D"/>
    <w:rsid w:val="00115E4D"/>
    <w:rsid w:val="001161D2"/>
    <w:rsid w:val="001164F0"/>
    <w:rsid w:val="00116EBF"/>
    <w:rsid w:val="00121C53"/>
    <w:rsid w:val="00121F06"/>
    <w:rsid w:val="0012355C"/>
    <w:rsid w:val="001237FF"/>
    <w:rsid w:val="00126C11"/>
    <w:rsid w:val="00126F20"/>
    <w:rsid w:val="001302A2"/>
    <w:rsid w:val="0013109E"/>
    <w:rsid w:val="001318A1"/>
    <w:rsid w:val="001322A1"/>
    <w:rsid w:val="00133B8A"/>
    <w:rsid w:val="00134A67"/>
    <w:rsid w:val="00134E4F"/>
    <w:rsid w:val="00135C10"/>
    <w:rsid w:val="00135EB9"/>
    <w:rsid w:val="00136D80"/>
    <w:rsid w:val="00137B76"/>
    <w:rsid w:val="001404B7"/>
    <w:rsid w:val="00140C3C"/>
    <w:rsid w:val="00141778"/>
    <w:rsid w:val="00146A1E"/>
    <w:rsid w:val="001477FE"/>
    <w:rsid w:val="00150DF0"/>
    <w:rsid w:val="0015120D"/>
    <w:rsid w:val="001529B5"/>
    <w:rsid w:val="00152E3E"/>
    <w:rsid w:val="00154515"/>
    <w:rsid w:val="00154C08"/>
    <w:rsid w:val="001562A6"/>
    <w:rsid w:val="00157C54"/>
    <w:rsid w:val="00161B0D"/>
    <w:rsid w:val="001629F8"/>
    <w:rsid w:val="0016348A"/>
    <w:rsid w:val="00165FF8"/>
    <w:rsid w:val="00167950"/>
    <w:rsid w:val="00170016"/>
    <w:rsid w:val="00170460"/>
    <w:rsid w:val="001725B7"/>
    <w:rsid w:val="001732CA"/>
    <w:rsid w:val="00173681"/>
    <w:rsid w:val="00174832"/>
    <w:rsid w:val="00175C21"/>
    <w:rsid w:val="00177B3A"/>
    <w:rsid w:val="001813C5"/>
    <w:rsid w:val="00182367"/>
    <w:rsid w:val="00185FD0"/>
    <w:rsid w:val="00186DB4"/>
    <w:rsid w:val="00187664"/>
    <w:rsid w:val="00187AF7"/>
    <w:rsid w:val="00190339"/>
    <w:rsid w:val="001909C7"/>
    <w:rsid w:val="00191576"/>
    <w:rsid w:val="00193C14"/>
    <w:rsid w:val="00194839"/>
    <w:rsid w:val="00195479"/>
    <w:rsid w:val="001954D6"/>
    <w:rsid w:val="00196811"/>
    <w:rsid w:val="001970B3"/>
    <w:rsid w:val="0019731D"/>
    <w:rsid w:val="00197B16"/>
    <w:rsid w:val="00197DDD"/>
    <w:rsid w:val="001A02AB"/>
    <w:rsid w:val="001A1308"/>
    <w:rsid w:val="001A2D2B"/>
    <w:rsid w:val="001A2EE1"/>
    <w:rsid w:val="001A3972"/>
    <w:rsid w:val="001A54C5"/>
    <w:rsid w:val="001A55E7"/>
    <w:rsid w:val="001A621C"/>
    <w:rsid w:val="001A6E54"/>
    <w:rsid w:val="001B0568"/>
    <w:rsid w:val="001B1AAC"/>
    <w:rsid w:val="001B1C57"/>
    <w:rsid w:val="001B2BD9"/>
    <w:rsid w:val="001B2F73"/>
    <w:rsid w:val="001B3C5A"/>
    <w:rsid w:val="001B4391"/>
    <w:rsid w:val="001B57B6"/>
    <w:rsid w:val="001B5CA6"/>
    <w:rsid w:val="001B71F7"/>
    <w:rsid w:val="001B7B01"/>
    <w:rsid w:val="001C022F"/>
    <w:rsid w:val="001C086F"/>
    <w:rsid w:val="001C2AB0"/>
    <w:rsid w:val="001C4C26"/>
    <w:rsid w:val="001C51D7"/>
    <w:rsid w:val="001C5899"/>
    <w:rsid w:val="001C5993"/>
    <w:rsid w:val="001C795D"/>
    <w:rsid w:val="001D0E17"/>
    <w:rsid w:val="001D112B"/>
    <w:rsid w:val="001D1322"/>
    <w:rsid w:val="001D37E0"/>
    <w:rsid w:val="001D532E"/>
    <w:rsid w:val="001E0149"/>
    <w:rsid w:val="001E34C0"/>
    <w:rsid w:val="001E4281"/>
    <w:rsid w:val="001E4BE2"/>
    <w:rsid w:val="001E5D1F"/>
    <w:rsid w:val="001E726A"/>
    <w:rsid w:val="001F0FB5"/>
    <w:rsid w:val="001F2544"/>
    <w:rsid w:val="001F3B46"/>
    <w:rsid w:val="001F5A85"/>
    <w:rsid w:val="002007F9"/>
    <w:rsid w:val="002011FD"/>
    <w:rsid w:val="00206ED2"/>
    <w:rsid w:val="00210C34"/>
    <w:rsid w:val="002114CD"/>
    <w:rsid w:val="00211790"/>
    <w:rsid w:val="00211AAD"/>
    <w:rsid w:val="00212382"/>
    <w:rsid w:val="0021327F"/>
    <w:rsid w:val="0021343A"/>
    <w:rsid w:val="002136C7"/>
    <w:rsid w:val="00220556"/>
    <w:rsid w:val="00222802"/>
    <w:rsid w:val="002249EF"/>
    <w:rsid w:val="00226C99"/>
    <w:rsid w:val="00226CEB"/>
    <w:rsid w:val="00230857"/>
    <w:rsid w:val="00232068"/>
    <w:rsid w:val="00233E4A"/>
    <w:rsid w:val="0023469C"/>
    <w:rsid w:val="00234B3E"/>
    <w:rsid w:val="00236174"/>
    <w:rsid w:val="002361BE"/>
    <w:rsid w:val="00236B26"/>
    <w:rsid w:val="0024094F"/>
    <w:rsid w:val="00241CB7"/>
    <w:rsid w:val="00242158"/>
    <w:rsid w:val="0024221C"/>
    <w:rsid w:val="00242468"/>
    <w:rsid w:val="00242833"/>
    <w:rsid w:val="0024389D"/>
    <w:rsid w:val="002438FA"/>
    <w:rsid w:val="00244473"/>
    <w:rsid w:val="002475E7"/>
    <w:rsid w:val="00247BEB"/>
    <w:rsid w:val="00251749"/>
    <w:rsid w:val="00253942"/>
    <w:rsid w:val="002539A8"/>
    <w:rsid w:val="00253C77"/>
    <w:rsid w:val="00253E17"/>
    <w:rsid w:val="00256956"/>
    <w:rsid w:val="00257629"/>
    <w:rsid w:val="00260618"/>
    <w:rsid w:val="002609C5"/>
    <w:rsid w:val="00261CE6"/>
    <w:rsid w:val="002646D1"/>
    <w:rsid w:val="0026475E"/>
    <w:rsid w:val="00265545"/>
    <w:rsid w:val="002656EE"/>
    <w:rsid w:val="00266DFA"/>
    <w:rsid w:val="00270883"/>
    <w:rsid w:val="00271B16"/>
    <w:rsid w:val="00271C14"/>
    <w:rsid w:val="00274B13"/>
    <w:rsid w:val="00275BF1"/>
    <w:rsid w:val="00275F56"/>
    <w:rsid w:val="002762FE"/>
    <w:rsid w:val="00277724"/>
    <w:rsid w:val="00277DE4"/>
    <w:rsid w:val="00277F8F"/>
    <w:rsid w:val="0028618C"/>
    <w:rsid w:val="00290A3E"/>
    <w:rsid w:val="00291940"/>
    <w:rsid w:val="00292639"/>
    <w:rsid w:val="00293433"/>
    <w:rsid w:val="002934F7"/>
    <w:rsid w:val="00293B2C"/>
    <w:rsid w:val="00294C03"/>
    <w:rsid w:val="002954B1"/>
    <w:rsid w:val="00295930"/>
    <w:rsid w:val="00296375"/>
    <w:rsid w:val="0029676F"/>
    <w:rsid w:val="002A0092"/>
    <w:rsid w:val="002A08D0"/>
    <w:rsid w:val="002A0D6A"/>
    <w:rsid w:val="002A4B06"/>
    <w:rsid w:val="002A4CDE"/>
    <w:rsid w:val="002A4D27"/>
    <w:rsid w:val="002A5E06"/>
    <w:rsid w:val="002A7214"/>
    <w:rsid w:val="002B2766"/>
    <w:rsid w:val="002B29F3"/>
    <w:rsid w:val="002B2C90"/>
    <w:rsid w:val="002B3623"/>
    <w:rsid w:val="002B5FBB"/>
    <w:rsid w:val="002B63B2"/>
    <w:rsid w:val="002C0970"/>
    <w:rsid w:val="002C34AD"/>
    <w:rsid w:val="002C5321"/>
    <w:rsid w:val="002C5817"/>
    <w:rsid w:val="002C5B59"/>
    <w:rsid w:val="002D0138"/>
    <w:rsid w:val="002D08EF"/>
    <w:rsid w:val="002D1B14"/>
    <w:rsid w:val="002D254B"/>
    <w:rsid w:val="002D2A6E"/>
    <w:rsid w:val="002D2DF2"/>
    <w:rsid w:val="002D4516"/>
    <w:rsid w:val="002D535D"/>
    <w:rsid w:val="002D6661"/>
    <w:rsid w:val="002E12E5"/>
    <w:rsid w:val="002E2DD0"/>
    <w:rsid w:val="002E376B"/>
    <w:rsid w:val="002E5442"/>
    <w:rsid w:val="002E77F9"/>
    <w:rsid w:val="002F1058"/>
    <w:rsid w:val="002F17D7"/>
    <w:rsid w:val="002F3239"/>
    <w:rsid w:val="002F70BF"/>
    <w:rsid w:val="002F7688"/>
    <w:rsid w:val="00300CE0"/>
    <w:rsid w:val="00303FC8"/>
    <w:rsid w:val="00304E46"/>
    <w:rsid w:val="00306148"/>
    <w:rsid w:val="00306326"/>
    <w:rsid w:val="0030641F"/>
    <w:rsid w:val="00307529"/>
    <w:rsid w:val="0030781A"/>
    <w:rsid w:val="003101E1"/>
    <w:rsid w:val="0031027D"/>
    <w:rsid w:val="00312000"/>
    <w:rsid w:val="00312A92"/>
    <w:rsid w:val="00314B31"/>
    <w:rsid w:val="00320985"/>
    <w:rsid w:val="0032140B"/>
    <w:rsid w:val="003227B6"/>
    <w:rsid w:val="0032436B"/>
    <w:rsid w:val="00324AB1"/>
    <w:rsid w:val="00324BAF"/>
    <w:rsid w:val="00326024"/>
    <w:rsid w:val="003309B7"/>
    <w:rsid w:val="00330CD0"/>
    <w:rsid w:val="00330FA2"/>
    <w:rsid w:val="00332C95"/>
    <w:rsid w:val="003348BC"/>
    <w:rsid w:val="00336DB2"/>
    <w:rsid w:val="0034031E"/>
    <w:rsid w:val="00341E9E"/>
    <w:rsid w:val="003423A4"/>
    <w:rsid w:val="0034248D"/>
    <w:rsid w:val="00343019"/>
    <w:rsid w:val="0034372E"/>
    <w:rsid w:val="00343869"/>
    <w:rsid w:val="00343A87"/>
    <w:rsid w:val="00345062"/>
    <w:rsid w:val="003457B0"/>
    <w:rsid w:val="003464D8"/>
    <w:rsid w:val="0035058A"/>
    <w:rsid w:val="003551F5"/>
    <w:rsid w:val="0035559C"/>
    <w:rsid w:val="003561F9"/>
    <w:rsid w:val="003563C2"/>
    <w:rsid w:val="00356776"/>
    <w:rsid w:val="00357FFE"/>
    <w:rsid w:val="00361D95"/>
    <w:rsid w:val="003624F5"/>
    <w:rsid w:val="0036276E"/>
    <w:rsid w:val="00364F77"/>
    <w:rsid w:val="0036688F"/>
    <w:rsid w:val="00366C04"/>
    <w:rsid w:val="00367D76"/>
    <w:rsid w:val="00371C2E"/>
    <w:rsid w:val="00371F32"/>
    <w:rsid w:val="00372098"/>
    <w:rsid w:val="00373756"/>
    <w:rsid w:val="00374078"/>
    <w:rsid w:val="00376E74"/>
    <w:rsid w:val="0037741F"/>
    <w:rsid w:val="0038056B"/>
    <w:rsid w:val="003809BB"/>
    <w:rsid w:val="003809E5"/>
    <w:rsid w:val="003812EC"/>
    <w:rsid w:val="0038190D"/>
    <w:rsid w:val="003821BF"/>
    <w:rsid w:val="0038417D"/>
    <w:rsid w:val="00384D0E"/>
    <w:rsid w:val="00384F6E"/>
    <w:rsid w:val="00385024"/>
    <w:rsid w:val="003865B9"/>
    <w:rsid w:val="00386899"/>
    <w:rsid w:val="00386AC0"/>
    <w:rsid w:val="0039090D"/>
    <w:rsid w:val="0039280D"/>
    <w:rsid w:val="003934B8"/>
    <w:rsid w:val="00393F19"/>
    <w:rsid w:val="00394646"/>
    <w:rsid w:val="00394933"/>
    <w:rsid w:val="00397BBB"/>
    <w:rsid w:val="003A1BBC"/>
    <w:rsid w:val="003A4491"/>
    <w:rsid w:val="003A756C"/>
    <w:rsid w:val="003B2A65"/>
    <w:rsid w:val="003B509B"/>
    <w:rsid w:val="003B534C"/>
    <w:rsid w:val="003B5C5F"/>
    <w:rsid w:val="003B5DE3"/>
    <w:rsid w:val="003B6858"/>
    <w:rsid w:val="003B6870"/>
    <w:rsid w:val="003C19A2"/>
    <w:rsid w:val="003C5E7B"/>
    <w:rsid w:val="003C7709"/>
    <w:rsid w:val="003C7C09"/>
    <w:rsid w:val="003D0584"/>
    <w:rsid w:val="003D167D"/>
    <w:rsid w:val="003D447F"/>
    <w:rsid w:val="003D476B"/>
    <w:rsid w:val="003D7324"/>
    <w:rsid w:val="003E0376"/>
    <w:rsid w:val="003E0E4E"/>
    <w:rsid w:val="003E1259"/>
    <w:rsid w:val="003E3647"/>
    <w:rsid w:val="003E4373"/>
    <w:rsid w:val="003E4606"/>
    <w:rsid w:val="003E676C"/>
    <w:rsid w:val="003E6AF0"/>
    <w:rsid w:val="003E712E"/>
    <w:rsid w:val="003E71F4"/>
    <w:rsid w:val="003E7B72"/>
    <w:rsid w:val="003E7F82"/>
    <w:rsid w:val="003F0DFB"/>
    <w:rsid w:val="003F2FC9"/>
    <w:rsid w:val="003F3789"/>
    <w:rsid w:val="003F3BC2"/>
    <w:rsid w:val="003F5E33"/>
    <w:rsid w:val="003F5E93"/>
    <w:rsid w:val="0040180D"/>
    <w:rsid w:val="00402249"/>
    <w:rsid w:val="00402373"/>
    <w:rsid w:val="00403849"/>
    <w:rsid w:val="00403BA2"/>
    <w:rsid w:val="00403F45"/>
    <w:rsid w:val="00406580"/>
    <w:rsid w:val="004065DF"/>
    <w:rsid w:val="00407164"/>
    <w:rsid w:val="0041056C"/>
    <w:rsid w:val="00411D8D"/>
    <w:rsid w:val="00412EC8"/>
    <w:rsid w:val="004139C6"/>
    <w:rsid w:val="004147C1"/>
    <w:rsid w:val="004152D9"/>
    <w:rsid w:val="004204C7"/>
    <w:rsid w:val="00420E71"/>
    <w:rsid w:val="00421051"/>
    <w:rsid w:val="0042106D"/>
    <w:rsid w:val="00422755"/>
    <w:rsid w:val="0042390B"/>
    <w:rsid w:val="00426410"/>
    <w:rsid w:val="00426A21"/>
    <w:rsid w:val="00427544"/>
    <w:rsid w:val="00431469"/>
    <w:rsid w:val="004324AE"/>
    <w:rsid w:val="00432B7F"/>
    <w:rsid w:val="00432C36"/>
    <w:rsid w:val="00433150"/>
    <w:rsid w:val="0043332A"/>
    <w:rsid w:val="00433E9F"/>
    <w:rsid w:val="00433F0C"/>
    <w:rsid w:val="00434398"/>
    <w:rsid w:val="00434456"/>
    <w:rsid w:val="004355FB"/>
    <w:rsid w:val="00436267"/>
    <w:rsid w:val="004377F0"/>
    <w:rsid w:val="004409E4"/>
    <w:rsid w:val="00440A7C"/>
    <w:rsid w:val="004410BD"/>
    <w:rsid w:val="00441CF6"/>
    <w:rsid w:val="00442BF5"/>
    <w:rsid w:val="00442C75"/>
    <w:rsid w:val="00445340"/>
    <w:rsid w:val="0044550B"/>
    <w:rsid w:val="004476B6"/>
    <w:rsid w:val="00447A77"/>
    <w:rsid w:val="00450713"/>
    <w:rsid w:val="004514A7"/>
    <w:rsid w:val="00451D5E"/>
    <w:rsid w:val="00452364"/>
    <w:rsid w:val="0045245A"/>
    <w:rsid w:val="00453A2D"/>
    <w:rsid w:val="00456914"/>
    <w:rsid w:val="00456939"/>
    <w:rsid w:val="00457C5F"/>
    <w:rsid w:val="00460E87"/>
    <w:rsid w:val="00460F32"/>
    <w:rsid w:val="0046103C"/>
    <w:rsid w:val="00461B15"/>
    <w:rsid w:val="00461C0C"/>
    <w:rsid w:val="004629C2"/>
    <w:rsid w:val="00464317"/>
    <w:rsid w:val="00464F34"/>
    <w:rsid w:val="00465A8C"/>
    <w:rsid w:val="0046762C"/>
    <w:rsid w:val="00467C46"/>
    <w:rsid w:val="004729D2"/>
    <w:rsid w:val="00475755"/>
    <w:rsid w:val="00476CDB"/>
    <w:rsid w:val="00480122"/>
    <w:rsid w:val="004828ED"/>
    <w:rsid w:val="004842FB"/>
    <w:rsid w:val="00484808"/>
    <w:rsid w:val="0048567F"/>
    <w:rsid w:val="004879BE"/>
    <w:rsid w:val="00487A48"/>
    <w:rsid w:val="004904C5"/>
    <w:rsid w:val="00490CC2"/>
    <w:rsid w:val="004917B9"/>
    <w:rsid w:val="004926C8"/>
    <w:rsid w:val="00492B59"/>
    <w:rsid w:val="0049346E"/>
    <w:rsid w:val="00494C70"/>
    <w:rsid w:val="00496368"/>
    <w:rsid w:val="004967C0"/>
    <w:rsid w:val="00496822"/>
    <w:rsid w:val="004977B5"/>
    <w:rsid w:val="004A1EAC"/>
    <w:rsid w:val="004A2E49"/>
    <w:rsid w:val="004A2E9E"/>
    <w:rsid w:val="004A34E9"/>
    <w:rsid w:val="004A3D81"/>
    <w:rsid w:val="004A4F5B"/>
    <w:rsid w:val="004A6E6C"/>
    <w:rsid w:val="004A716C"/>
    <w:rsid w:val="004B3677"/>
    <w:rsid w:val="004B432F"/>
    <w:rsid w:val="004B44A3"/>
    <w:rsid w:val="004B5456"/>
    <w:rsid w:val="004B5C19"/>
    <w:rsid w:val="004C0655"/>
    <w:rsid w:val="004C06DA"/>
    <w:rsid w:val="004C1214"/>
    <w:rsid w:val="004C1EB9"/>
    <w:rsid w:val="004C2B44"/>
    <w:rsid w:val="004C2C78"/>
    <w:rsid w:val="004C38D5"/>
    <w:rsid w:val="004C393D"/>
    <w:rsid w:val="004C52F0"/>
    <w:rsid w:val="004C6052"/>
    <w:rsid w:val="004C62E9"/>
    <w:rsid w:val="004C65C5"/>
    <w:rsid w:val="004D210F"/>
    <w:rsid w:val="004D3588"/>
    <w:rsid w:val="004D367D"/>
    <w:rsid w:val="004D45FB"/>
    <w:rsid w:val="004D4D8C"/>
    <w:rsid w:val="004D5111"/>
    <w:rsid w:val="004D5EDC"/>
    <w:rsid w:val="004D6D02"/>
    <w:rsid w:val="004D781A"/>
    <w:rsid w:val="004D7CC4"/>
    <w:rsid w:val="004E0411"/>
    <w:rsid w:val="004E0E48"/>
    <w:rsid w:val="004E35D4"/>
    <w:rsid w:val="004E39DE"/>
    <w:rsid w:val="004E569C"/>
    <w:rsid w:val="004E6D0C"/>
    <w:rsid w:val="004E72A0"/>
    <w:rsid w:val="004F0EB5"/>
    <w:rsid w:val="004F2478"/>
    <w:rsid w:val="004F28B1"/>
    <w:rsid w:val="004F2CF5"/>
    <w:rsid w:val="004F3BB1"/>
    <w:rsid w:val="004F517F"/>
    <w:rsid w:val="004F52E7"/>
    <w:rsid w:val="004F6EBA"/>
    <w:rsid w:val="004F7E0C"/>
    <w:rsid w:val="00501E93"/>
    <w:rsid w:val="005045D4"/>
    <w:rsid w:val="0050492D"/>
    <w:rsid w:val="005056DC"/>
    <w:rsid w:val="00506413"/>
    <w:rsid w:val="00506C50"/>
    <w:rsid w:val="005075BC"/>
    <w:rsid w:val="00507C88"/>
    <w:rsid w:val="00510862"/>
    <w:rsid w:val="0051192F"/>
    <w:rsid w:val="0051193B"/>
    <w:rsid w:val="00512B6B"/>
    <w:rsid w:val="00513091"/>
    <w:rsid w:val="00513591"/>
    <w:rsid w:val="00513F91"/>
    <w:rsid w:val="0051505D"/>
    <w:rsid w:val="00516306"/>
    <w:rsid w:val="00516CC6"/>
    <w:rsid w:val="00531956"/>
    <w:rsid w:val="00531FF9"/>
    <w:rsid w:val="00532876"/>
    <w:rsid w:val="00533160"/>
    <w:rsid w:val="00533938"/>
    <w:rsid w:val="005347C4"/>
    <w:rsid w:val="00534FCA"/>
    <w:rsid w:val="00537CEE"/>
    <w:rsid w:val="00540B19"/>
    <w:rsid w:val="005427FB"/>
    <w:rsid w:val="005441AA"/>
    <w:rsid w:val="0054435D"/>
    <w:rsid w:val="005446C8"/>
    <w:rsid w:val="00545492"/>
    <w:rsid w:val="0054600C"/>
    <w:rsid w:val="00546AFB"/>
    <w:rsid w:val="00547174"/>
    <w:rsid w:val="005476DC"/>
    <w:rsid w:val="00547AB7"/>
    <w:rsid w:val="00550694"/>
    <w:rsid w:val="00551CCF"/>
    <w:rsid w:val="00552FFE"/>
    <w:rsid w:val="00553776"/>
    <w:rsid w:val="00553B66"/>
    <w:rsid w:val="00554067"/>
    <w:rsid w:val="005558A3"/>
    <w:rsid w:val="00556BB9"/>
    <w:rsid w:val="00556CB9"/>
    <w:rsid w:val="0055782E"/>
    <w:rsid w:val="00557D1E"/>
    <w:rsid w:val="00561288"/>
    <w:rsid w:val="0056137D"/>
    <w:rsid w:val="00561CF2"/>
    <w:rsid w:val="00562085"/>
    <w:rsid w:val="0056299F"/>
    <w:rsid w:val="00564214"/>
    <w:rsid w:val="00564981"/>
    <w:rsid w:val="00570DE9"/>
    <w:rsid w:val="00570E22"/>
    <w:rsid w:val="005717C8"/>
    <w:rsid w:val="00572086"/>
    <w:rsid w:val="00573EDA"/>
    <w:rsid w:val="00574035"/>
    <w:rsid w:val="0057441C"/>
    <w:rsid w:val="005759D3"/>
    <w:rsid w:val="00575BD8"/>
    <w:rsid w:val="00575BE0"/>
    <w:rsid w:val="00580DE7"/>
    <w:rsid w:val="0058132A"/>
    <w:rsid w:val="00581945"/>
    <w:rsid w:val="005823DC"/>
    <w:rsid w:val="0058352A"/>
    <w:rsid w:val="00585A63"/>
    <w:rsid w:val="00587C84"/>
    <w:rsid w:val="00590CF1"/>
    <w:rsid w:val="00591B69"/>
    <w:rsid w:val="00592CFC"/>
    <w:rsid w:val="00594341"/>
    <w:rsid w:val="005944FA"/>
    <w:rsid w:val="0059532B"/>
    <w:rsid w:val="00595387"/>
    <w:rsid w:val="00596E02"/>
    <w:rsid w:val="005A3B82"/>
    <w:rsid w:val="005A3DAE"/>
    <w:rsid w:val="005B0C28"/>
    <w:rsid w:val="005B225B"/>
    <w:rsid w:val="005B2E78"/>
    <w:rsid w:val="005B2F46"/>
    <w:rsid w:val="005B2FC8"/>
    <w:rsid w:val="005B3810"/>
    <w:rsid w:val="005B3D2C"/>
    <w:rsid w:val="005B7329"/>
    <w:rsid w:val="005C0AA5"/>
    <w:rsid w:val="005C1E49"/>
    <w:rsid w:val="005C4641"/>
    <w:rsid w:val="005C4E7D"/>
    <w:rsid w:val="005C6091"/>
    <w:rsid w:val="005C618E"/>
    <w:rsid w:val="005C6CC2"/>
    <w:rsid w:val="005D00D1"/>
    <w:rsid w:val="005D0402"/>
    <w:rsid w:val="005D1735"/>
    <w:rsid w:val="005D3964"/>
    <w:rsid w:val="005D5063"/>
    <w:rsid w:val="005D653C"/>
    <w:rsid w:val="005D71DE"/>
    <w:rsid w:val="005D7B73"/>
    <w:rsid w:val="005E1A25"/>
    <w:rsid w:val="005E5947"/>
    <w:rsid w:val="005E66F4"/>
    <w:rsid w:val="005F02A0"/>
    <w:rsid w:val="005F08BB"/>
    <w:rsid w:val="005F0923"/>
    <w:rsid w:val="005F0C97"/>
    <w:rsid w:val="005F2D9F"/>
    <w:rsid w:val="005F43F7"/>
    <w:rsid w:val="005F4ECD"/>
    <w:rsid w:val="005F65D1"/>
    <w:rsid w:val="005F6AD7"/>
    <w:rsid w:val="005F77C5"/>
    <w:rsid w:val="00603883"/>
    <w:rsid w:val="006040C4"/>
    <w:rsid w:val="00604BE9"/>
    <w:rsid w:val="0060642D"/>
    <w:rsid w:val="0060781B"/>
    <w:rsid w:val="00610849"/>
    <w:rsid w:val="0061173E"/>
    <w:rsid w:val="00611BE1"/>
    <w:rsid w:val="006126E4"/>
    <w:rsid w:val="00616F84"/>
    <w:rsid w:val="0061756D"/>
    <w:rsid w:val="00617B78"/>
    <w:rsid w:val="0062093E"/>
    <w:rsid w:val="006211FC"/>
    <w:rsid w:val="0062152B"/>
    <w:rsid w:val="006235D7"/>
    <w:rsid w:val="00624789"/>
    <w:rsid w:val="00625C8D"/>
    <w:rsid w:val="0062680E"/>
    <w:rsid w:val="00630DF2"/>
    <w:rsid w:val="00630F95"/>
    <w:rsid w:val="0063131D"/>
    <w:rsid w:val="00631334"/>
    <w:rsid w:val="006313AF"/>
    <w:rsid w:val="00631E26"/>
    <w:rsid w:val="0063256A"/>
    <w:rsid w:val="00632AD6"/>
    <w:rsid w:val="00632F04"/>
    <w:rsid w:val="00633BF1"/>
    <w:rsid w:val="00634810"/>
    <w:rsid w:val="00635CC3"/>
    <w:rsid w:val="00640394"/>
    <w:rsid w:val="006437AE"/>
    <w:rsid w:val="00644E07"/>
    <w:rsid w:val="006529AD"/>
    <w:rsid w:val="006530BE"/>
    <w:rsid w:val="00653BFF"/>
    <w:rsid w:val="00653F12"/>
    <w:rsid w:val="006546A1"/>
    <w:rsid w:val="00654CEB"/>
    <w:rsid w:val="0065517F"/>
    <w:rsid w:val="006568DC"/>
    <w:rsid w:val="00660B00"/>
    <w:rsid w:val="006612B5"/>
    <w:rsid w:val="006616F4"/>
    <w:rsid w:val="00662CF9"/>
    <w:rsid w:val="00663456"/>
    <w:rsid w:val="006672F3"/>
    <w:rsid w:val="0066770C"/>
    <w:rsid w:val="00670870"/>
    <w:rsid w:val="00671FFA"/>
    <w:rsid w:val="0067234B"/>
    <w:rsid w:val="006730C2"/>
    <w:rsid w:val="0067332F"/>
    <w:rsid w:val="00673967"/>
    <w:rsid w:val="00673BBC"/>
    <w:rsid w:val="00673EB7"/>
    <w:rsid w:val="006747F0"/>
    <w:rsid w:val="00676D7A"/>
    <w:rsid w:val="00677AB3"/>
    <w:rsid w:val="00677B6C"/>
    <w:rsid w:val="0068119E"/>
    <w:rsid w:val="00682B1F"/>
    <w:rsid w:val="00685B43"/>
    <w:rsid w:val="00685ED4"/>
    <w:rsid w:val="00687747"/>
    <w:rsid w:val="00690052"/>
    <w:rsid w:val="0069268F"/>
    <w:rsid w:val="00692783"/>
    <w:rsid w:val="006928BA"/>
    <w:rsid w:val="00695486"/>
    <w:rsid w:val="006960E8"/>
    <w:rsid w:val="00697E06"/>
    <w:rsid w:val="006A2926"/>
    <w:rsid w:val="006A4890"/>
    <w:rsid w:val="006A65C4"/>
    <w:rsid w:val="006A691E"/>
    <w:rsid w:val="006B07B1"/>
    <w:rsid w:val="006B20EB"/>
    <w:rsid w:val="006B260E"/>
    <w:rsid w:val="006B34E9"/>
    <w:rsid w:val="006B4759"/>
    <w:rsid w:val="006B49CC"/>
    <w:rsid w:val="006B5AA2"/>
    <w:rsid w:val="006B7A00"/>
    <w:rsid w:val="006C0B5D"/>
    <w:rsid w:val="006C1C64"/>
    <w:rsid w:val="006C201C"/>
    <w:rsid w:val="006C203A"/>
    <w:rsid w:val="006C43D2"/>
    <w:rsid w:val="006C59B8"/>
    <w:rsid w:val="006C6155"/>
    <w:rsid w:val="006C6521"/>
    <w:rsid w:val="006C7827"/>
    <w:rsid w:val="006C7B3A"/>
    <w:rsid w:val="006D02CB"/>
    <w:rsid w:val="006D17FE"/>
    <w:rsid w:val="006D369A"/>
    <w:rsid w:val="006D49D2"/>
    <w:rsid w:val="006D56A9"/>
    <w:rsid w:val="006D7031"/>
    <w:rsid w:val="006E1DD8"/>
    <w:rsid w:val="006E2393"/>
    <w:rsid w:val="006E2536"/>
    <w:rsid w:val="006E2697"/>
    <w:rsid w:val="006E43C2"/>
    <w:rsid w:val="006E500B"/>
    <w:rsid w:val="006E6B9C"/>
    <w:rsid w:val="006F2B79"/>
    <w:rsid w:val="006F2C70"/>
    <w:rsid w:val="006F424D"/>
    <w:rsid w:val="006F5030"/>
    <w:rsid w:val="006F50DD"/>
    <w:rsid w:val="006F7E24"/>
    <w:rsid w:val="00700A7F"/>
    <w:rsid w:val="00701965"/>
    <w:rsid w:val="00701E11"/>
    <w:rsid w:val="00704D55"/>
    <w:rsid w:val="00705A2F"/>
    <w:rsid w:val="00705C45"/>
    <w:rsid w:val="007063A7"/>
    <w:rsid w:val="00706872"/>
    <w:rsid w:val="00707F5B"/>
    <w:rsid w:val="007123F1"/>
    <w:rsid w:val="007131D5"/>
    <w:rsid w:val="00713338"/>
    <w:rsid w:val="00713754"/>
    <w:rsid w:val="007138CD"/>
    <w:rsid w:val="00713BA9"/>
    <w:rsid w:val="00714CBC"/>
    <w:rsid w:val="00715E3B"/>
    <w:rsid w:val="007162F1"/>
    <w:rsid w:val="00716B78"/>
    <w:rsid w:val="007174B0"/>
    <w:rsid w:val="007175E1"/>
    <w:rsid w:val="00722CAE"/>
    <w:rsid w:val="0072366F"/>
    <w:rsid w:val="007244B4"/>
    <w:rsid w:val="007268D5"/>
    <w:rsid w:val="00727D9D"/>
    <w:rsid w:val="007307B2"/>
    <w:rsid w:val="00732B02"/>
    <w:rsid w:val="00733888"/>
    <w:rsid w:val="00742492"/>
    <w:rsid w:val="007432F0"/>
    <w:rsid w:val="00743511"/>
    <w:rsid w:val="00743707"/>
    <w:rsid w:val="00743E25"/>
    <w:rsid w:val="007463ED"/>
    <w:rsid w:val="00746534"/>
    <w:rsid w:val="00747028"/>
    <w:rsid w:val="00747231"/>
    <w:rsid w:val="00751F35"/>
    <w:rsid w:val="007521DF"/>
    <w:rsid w:val="00752C9B"/>
    <w:rsid w:val="007536FA"/>
    <w:rsid w:val="0075577B"/>
    <w:rsid w:val="00756C0C"/>
    <w:rsid w:val="00757CD3"/>
    <w:rsid w:val="00760AC2"/>
    <w:rsid w:val="007624B6"/>
    <w:rsid w:val="007626D4"/>
    <w:rsid w:val="007647CA"/>
    <w:rsid w:val="00764AA7"/>
    <w:rsid w:val="007677BC"/>
    <w:rsid w:val="0076787E"/>
    <w:rsid w:val="00767C62"/>
    <w:rsid w:val="007710C5"/>
    <w:rsid w:val="007747DF"/>
    <w:rsid w:val="00774C15"/>
    <w:rsid w:val="0077652A"/>
    <w:rsid w:val="007773E8"/>
    <w:rsid w:val="00780386"/>
    <w:rsid w:val="007806DB"/>
    <w:rsid w:val="00781415"/>
    <w:rsid w:val="00782C20"/>
    <w:rsid w:val="00783655"/>
    <w:rsid w:val="00783B98"/>
    <w:rsid w:val="00784044"/>
    <w:rsid w:val="00784A18"/>
    <w:rsid w:val="00785427"/>
    <w:rsid w:val="0078581A"/>
    <w:rsid w:val="00786950"/>
    <w:rsid w:val="007911A8"/>
    <w:rsid w:val="0079134A"/>
    <w:rsid w:val="00792DAB"/>
    <w:rsid w:val="00794087"/>
    <w:rsid w:val="00795C9A"/>
    <w:rsid w:val="007962F9"/>
    <w:rsid w:val="007A1DD0"/>
    <w:rsid w:val="007A1E37"/>
    <w:rsid w:val="007A2052"/>
    <w:rsid w:val="007A42F5"/>
    <w:rsid w:val="007A500A"/>
    <w:rsid w:val="007A7BA4"/>
    <w:rsid w:val="007B04FC"/>
    <w:rsid w:val="007B09AA"/>
    <w:rsid w:val="007B1360"/>
    <w:rsid w:val="007B2B5B"/>
    <w:rsid w:val="007B3F8E"/>
    <w:rsid w:val="007B53BA"/>
    <w:rsid w:val="007B7565"/>
    <w:rsid w:val="007B78B3"/>
    <w:rsid w:val="007B7AA5"/>
    <w:rsid w:val="007C06A4"/>
    <w:rsid w:val="007C09A4"/>
    <w:rsid w:val="007C0E1C"/>
    <w:rsid w:val="007C2233"/>
    <w:rsid w:val="007C238A"/>
    <w:rsid w:val="007C291D"/>
    <w:rsid w:val="007C3689"/>
    <w:rsid w:val="007C382D"/>
    <w:rsid w:val="007C43FB"/>
    <w:rsid w:val="007C4B01"/>
    <w:rsid w:val="007C4DA8"/>
    <w:rsid w:val="007C58CA"/>
    <w:rsid w:val="007C6238"/>
    <w:rsid w:val="007C7D7B"/>
    <w:rsid w:val="007D1AC5"/>
    <w:rsid w:val="007D1C02"/>
    <w:rsid w:val="007D337F"/>
    <w:rsid w:val="007D3A33"/>
    <w:rsid w:val="007D4A46"/>
    <w:rsid w:val="007D503B"/>
    <w:rsid w:val="007E20C7"/>
    <w:rsid w:val="007E24F8"/>
    <w:rsid w:val="007E3BB7"/>
    <w:rsid w:val="007E4D43"/>
    <w:rsid w:val="007E514F"/>
    <w:rsid w:val="007E587D"/>
    <w:rsid w:val="007E7790"/>
    <w:rsid w:val="007E7DEC"/>
    <w:rsid w:val="007F014E"/>
    <w:rsid w:val="007F0B72"/>
    <w:rsid w:val="007F2C33"/>
    <w:rsid w:val="007F2ED3"/>
    <w:rsid w:val="007F4C69"/>
    <w:rsid w:val="007F5B8E"/>
    <w:rsid w:val="007F66D9"/>
    <w:rsid w:val="007F687A"/>
    <w:rsid w:val="00801C10"/>
    <w:rsid w:val="00802EEE"/>
    <w:rsid w:val="00803264"/>
    <w:rsid w:val="00804C8F"/>
    <w:rsid w:val="00805BE7"/>
    <w:rsid w:val="00805D78"/>
    <w:rsid w:val="00805E86"/>
    <w:rsid w:val="00806110"/>
    <w:rsid w:val="00806812"/>
    <w:rsid w:val="00807573"/>
    <w:rsid w:val="00807AD3"/>
    <w:rsid w:val="008105F7"/>
    <w:rsid w:val="0081090D"/>
    <w:rsid w:val="00811BB5"/>
    <w:rsid w:val="00811D29"/>
    <w:rsid w:val="008128B3"/>
    <w:rsid w:val="0081312F"/>
    <w:rsid w:val="00813574"/>
    <w:rsid w:val="008139F3"/>
    <w:rsid w:val="00815CC6"/>
    <w:rsid w:val="008208B9"/>
    <w:rsid w:val="008212B6"/>
    <w:rsid w:val="00822BAA"/>
    <w:rsid w:val="00823753"/>
    <w:rsid w:val="00823768"/>
    <w:rsid w:val="00823A05"/>
    <w:rsid w:val="00823DB7"/>
    <w:rsid w:val="00825498"/>
    <w:rsid w:val="008255B3"/>
    <w:rsid w:val="00825EC9"/>
    <w:rsid w:val="00827ABC"/>
    <w:rsid w:val="00830DD9"/>
    <w:rsid w:val="00833F45"/>
    <w:rsid w:val="00836DC1"/>
    <w:rsid w:val="00837C42"/>
    <w:rsid w:val="00837DD5"/>
    <w:rsid w:val="00837FB9"/>
    <w:rsid w:val="00841393"/>
    <w:rsid w:val="00841657"/>
    <w:rsid w:val="008457D3"/>
    <w:rsid w:val="00846221"/>
    <w:rsid w:val="008471B5"/>
    <w:rsid w:val="008478F7"/>
    <w:rsid w:val="00851C33"/>
    <w:rsid w:val="008541BD"/>
    <w:rsid w:val="00854598"/>
    <w:rsid w:val="00855DAD"/>
    <w:rsid w:val="008577F8"/>
    <w:rsid w:val="00857E7F"/>
    <w:rsid w:val="0086035C"/>
    <w:rsid w:val="0086087F"/>
    <w:rsid w:val="00860B9E"/>
    <w:rsid w:val="00860BCC"/>
    <w:rsid w:val="00861E4F"/>
    <w:rsid w:val="008640FF"/>
    <w:rsid w:val="008645FA"/>
    <w:rsid w:val="00864F3E"/>
    <w:rsid w:val="00865864"/>
    <w:rsid w:val="0086607B"/>
    <w:rsid w:val="008660E4"/>
    <w:rsid w:val="00866355"/>
    <w:rsid w:val="00866D3B"/>
    <w:rsid w:val="00866F43"/>
    <w:rsid w:val="008704C9"/>
    <w:rsid w:val="008719BD"/>
    <w:rsid w:val="00874607"/>
    <w:rsid w:val="0087525B"/>
    <w:rsid w:val="00875445"/>
    <w:rsid w:val="0087716E"/>
    <w:rsid w:val="00877A89"/>
    <w:rsid w:val="00877DB8"/>
    <w:rsid w:val="00880D72"/>
    <w:rsid w:val="008820DE"/>
    <w:rsid w:val="008831D0"/>
    <w:rsid w:val="008845F7"/>
    <w:rsid w:val="00884B4C"/>
    <w:rsid w:val="0088569E"/>
    <w:rsid w:val="00886ED6"/>
    <w:rsid w:val="00887066"/>
    <w:rsid w:val="008909F2"/>
    <w:rsid w:val="0089281C"/>
    <w:rsid w:val="00893097"/>
    <w:rsid w:val="0089423D"/>
    <w:rsid w:val="008944AB"/>
    <w:rsid w:val="00895A6F"/>
    <w:rsid w:val="00895F02"/>
    <w:rsid w:val="008A14F9"/>
    <w:rsid w:val="008A281F"/>
    <w:rsid w:val="008A46E8"/>
    <w:rsid w:val="008A6AEE"/>
    <w:rsid w:val="008A6EF5"/>
    <w:rsid w:val="008A705A"/>
    <w:rsid w:val="008B0B6B"/>
    <w:rsid w:val="008B34D4"/>
    <w:rsid w:val="008B490B"/>
    <w:rsid w:val="008B4945"/>
    <w:rsid w:val="008B4987"/>
    <w:rsid w:val="008C0280"/>
    <w:rsid w:val="008C13B5"/>
    <w:rsid w:val="008C2B44"/>
    <w:rsid w:val="008C2CF8"/>
    <w:rsid w:val="008C4A3E"/>
    <w:rsid w:val="008C4A85"/>
    <w:rsid w:val="008C5BF5"/>
    <w:rsid w:val="008C7462"/>
    <w:rsid w:val="008D1508"/>
    <w:rsid w:val="008D2570"/>
    <w:rsid w:val="008D48A3"/>
    <w:rsid w:val="008D74FF"/>
    <w:rsid w:val="008E137A"/>
    <w:rsid w:val="008E1890"/>
    <w:rsid w:val="008E2E0E"/>
    <w:rsid w:val="008E4CCF"/>
    <w:rsid w:val="008E5D12"/>
    <w:rsid w:val="008E5D2D"/>
    <w:rsid w:val="008E64D0"/>
    <w:rsid w:val="008E65C5"/>
    <w:rsid w:val="008E69FC"/>
    <w:rsid w:val="008F0741"/>
    <w:rsid w:val="008F1E0F"/>
    <w:rsid w:val="008F241B"/>
    <w:rsid w:val="008F29D6"/>
    <w:rsid w:val="008F2A61"/>
    <w:rsid w:val="008F43B9"/>
    <w:rsid w:val="008F4411"/>
    <w:rsid w:val="008F72BF"/>
    <w:rsid w:val="008F7EDA"/>
    <w:rsid w:val="00901140"/>
    <w:rsid w:val="00901CC3"/>
    <w:rsid w:val="009046AE"/>
    <w:rsid w:val="00905B76"/>
    <w:rsid w:val="00906056"/>
    <w:rsid w:val="00906FF2"/>
    <w:rsid w:val="009126B7"/>
    <w:rsid w:val="00913200"/>
    <w:rsid w:val="00913A85"/>
    <w:rsid w:val="009205FF"/>
    <w:rsid w:val="0092261C"/>
    <w:rsid w:val="009252AC"/>
    <w:rsid w:val="0092534C"/>
    <w:rsid w:val="00925857"/>
    <w:rsid w:val="00925B33"/>
    <w:rsid w:val="009271F7"/>
    <w:rsid w:val="0093079D"/>
    <w:rsid w:val="0093159A"/>
    <w:rsid w:val="00931E58"/>
    <w:rsid w:val="00932D2E"/>
    <w:rsid w:val="009355AC"/>
    <w:rsid w:val="0093581C"/>
    <w:rsid w:val="00936D37"/>
    <w:rsid w:val="00937257"/>
    <w:rsid w:val="0093762C"/>
    <w:rsid w:val="00940A39"/>
    <w:rsid w:val="00943609"/>
    <w:rsid w:val="0094368B"/>
    <w:rsid w:val="00943F51"/>
    <w:rsid w:val="0094538A"/>
    <w:rsid w:val="00945A6F"/>
    <w:rsid w:val="00946BBB"/>
    <w:rsid w:val="00950154"/>
    <w:rsid w:val="00950E68"/>
    <w:rsid w:val="00951803"/>
    <w:rsid w:val="00951818"/>
    <w:rsid w:val="00951AFC"/>
    <w:rsid w:val="00951C38"/>
    <w:rsid w:val="0095233B"/>
    <w:rsid w:val="00952370"/>
    <w:rsid w:val="00952BB3"/>
    <w:rsid w:val="00955246"/>
    <w:rsid w:val="00956B74"/>
    <w:rsid w:val="0095705E"/>
    <w:rsid w:val="009579A0"/>
    <w:rsid w:val="009619D7"/>
    <w:rsid w:val="0096655D"/>
    <w:rsid w:val="00970F89"/>
    <w:rsid w:val="00971C52"/>
    <w:rsid w:val="00972FC1"/>
    <w:rsid w:val="00974CDE"/>
    <w:rsid w:val="00974CF9"/>
    <w:rsid w:val="0097775B"/>
    <w:rsid w:val="00980071"/>
    <w:rsid w:val="00981427"/>
    <w:rsid w:val="00982D13"/>
    <w:rsid w:val="00983343"/>
    <w:rsid w:val="00984924"/>
    <w:rsid w:val="009854DC"/>
    <w:rsid w:val="0098688C"/>
    <w:rsid w:val="00986FF1"/>
    <w:rsid w:val="00997EE1"/>
    <w:rsid w:val="009A16FD"/>
    <w:rsid w:val="009A258F"/>
    <w:rsid w:val="009A30CB"/>
    <w:rsid w:val="009A5A88"/>
    <w:rsid w:val="009A7A42"/>
    <w:rsid w:val="009B1639"/>
    <w:rsid w:val="009B6866"/>
    <w:rsid w:val="009B6DD9"/>
    <w:rsid w:val="009C1988"/>
    <w:rsid w:val="009C2778"/>
    <w:rsid w:val="009C4418"/>
    <w:rsid w:val="009C58AF"/>
    <w:rsid w:val="009C60AF"/>
    <w:rsid w:val="009C7CF0"/>
    <w:rsid w:val="009D0880"/>
    <w:rsid w:val="009D0B17"/>
    <w:rsid w:val="009D2D2F"/>
    <w:rsid w:val="009D3550"/>
    <w:rsid w:val="009D509C"/>
    <w:rsid w:val="009D6858"/>
    <w:rsid w:val="009E05CD"/>
    <w:rsid w:val="009E1C11"/>
    <w:rsid w:val="009E43E3"/>
    <w:rsid w:val="009E60FA"/>
    <w:rsid w:val="009E612C"/>
    <w:rsid w:val="009E67A9"/>
    <w:rsid w:val="009E6E09"/>
    <w:rsid w:val="009E7A1D"/>
    <w:rsid w:val="009E7D9E"/>
    <w:rsid w:val="009F1456"/>
    <w:rsid w:val="009F16F8"/>
    <w:rsid w:val="009F5DA0"/>
    <w:rsid w:val="009F69CE"/>
    <w:rsid w:val="009F7A8A"/>
    <w:rsid w:val="009F7BB6"/>
    <w:rsid w:val="00A01DDE"/>
    <w:rsid w:val="00A029C7"/>
    <w:rsid w:val="00A11454"/>
    <w:rsid w:val="00A11DCE"/>
    <w:rsid w:val="00A12262"/>
    <w:rsid w:val="00A12959"/>
    <w:rsid w:val="00A1418F"/>
    <w:rsid w:val="00A144AB"/>
    <w:rsid w:val="00A159D9"/>
    <w:rsid w:val="00A208AC"/>
    <w:rsid w:val="00A225C0"/>
    <w:rsid w:val="00A24959"/>
    <w:rsid w:val="00A24DB7"/>
    <w:rsid w:val="00A24F14"/>
    <w:rsid w:val="00A2725B"/>
    <w:rsid w:val="00A3057B"/>
    <w:rsid w:val="00A32AA8"/>
    <w:rsid w:val="00A32CCB"/>
    <w:rsid w:val="00A33226"/>
    <w:rsid w:val="00A3351E"/>
    <w:rsid w:val="00A33DE3"/>
    <w:rsid w:val="00A34038"/>
    <w:rsid w:val="00A34406"/>
    <w:rsid w:val="00A37263"/>
    <w:rsid w:val="00A40652"/>
    <w:rsid w:val="00A406E4"/>
    <w:rsid w:val="00A41C31"/>
    <w:rsid w:val="00A41CE6"/>
    <w:rsid w:val="00A43F6C"/>
    <w:rsid w:val="00A44ACB"/>
    <w:rsid w:val="00A45075"/>
    <w:rsid w:val="00A45E4E"/>
    <w:rsid w:val="00A46AF2"/>
    <w:rsid w:val="00A503EB"/>
    <w:rsid w:val="00A532EF"/>
    <w:rsid w:val="00A56D0F"/>
    <w:rsid w:val="00A56EC1"/>
    <w:rsid w:val="00A57510"/>
    <w:rsid w:val="00A6159A"/>
    <w:rsid w:val="00A61B90"/>
    <w:rsid w:val="00A628DF"/>
    <w:rsid w:val="00A63A4A"/>
    <w:rsid w:val="00A64403"/>
    <w:rsid w:val="00A671EF"/>
    <w:rsid w:val="00A673F4"/>
    <w:rsid w:val="00A701CA"/>
    <w:rsid w:val="00A7083D"/>
    <w:rsid w:val="00A71DF0"/>
    <w:rsid w:val="00A72A74"/>
    <w:rsid w:val="00A72F96"/>
    <w:rsid w:val="00A73092"/>
    <w:rsid w:val="00A73A32"/>
    <w:rsid w:val="00A74B58"/>
    <w:rsid w:val="00A74BE0"/>
    <w:rsid w:val="00A77DC1"/>
    <w:rsid w:val="00A80F1C"/>
    <w:rsid w:val="00A82F04"/>
    <w:rsid w:val="00A8335A"/>
    <w:rsid w:val="00A84F6E"/>
    <w:rsid w:val="00A85003"/>
    <w:rsid w:val="00A85E43"/>
    <w:rsid w:val="00A86010"/>
    <w:rsid w:val="00A860CB"/>
    <w:rsid w:val="00A869E9"/>
    <w:rsid w:val="00A86F25"/>
    <w:rsid w:val="00A877CA"/>
    <w:rsid w:val="00A91022"/>
    <w:rsid w:val="00A92F07"/>
    <w:rsid w:val="00AA0667"/>
    <w:rsid w:val="00AA0B35"/>
    <w:rsid w:val="00AA2C91"/>
    <w:rsid w:val="00AA38DB"/>
    <w:rsid w:val="00AA3A23"/>
    <w:rsid w:val="00AA4698"/>
    <w:rsid w:val="00AA48AB"/>
    <w:rsid w:val="00AA561B"/>
    <w:rsid w:val="00AA71F2"/>
    <w:rsid w:val="00AA7D28"/>
    <w:rsid w:val="00AB0C2B"/>
    <w:rsid w:val="00AB3D51"/>
    <w:rsid w:val="00AB43FE"/>
    <w:rsid w:val="00AB61CA"/>
    <w:rsid w:val="00AC08F6"/>
    <w:rsid w:val="00AC110F"/>
    <w:rsid w:val="00AC2398"/>
    <w:rsid w:val="00AC246D"/>
    <w:rsid w:val="00AC2AAA"/>
    <w:rsid w:val="00AC5B02"/>
    <w:rsid w:val="00AC5F7B"/>
    <w:rsid w:val="00AC7396"/>
    <w:rsid w:val="00AC782F"/>
    <w:rsid w:val="00AD1759"/>
    <w:rsid w:val="00AD1903"/>
    <w:rsid w:val="00AD20B4"/>
    <w:rsid w:val="00AD20D8"/>
    <w:rsid w:val="00AD2942"/>
    <w:rsid w:val="00AD3E45"/>
    <w:rsid w:val="00AD470A"/>
    <w:rsid w:val="00AD5C3A"/>
    <w:rsid w:val="00AD640B"/>
    <w:rsid w:val="00AD7A80"/>
    <w:rsid w:val="00AD7C38"/>
    <w:rsid w:val="00AE5CCF"/>
    <w:rsid w:val="00AF03B9"/>
    <w:rsid w:val="00AF07C2"/>
    <w:rsid w:val="00AF204A"/>
    <w:rsid w:val="00AF3F92"/>
    <w:rsid w:val="00AF4A1F"/>
    <w:rsid w:val="00AF599F"/>
    <w:rsid w:val="00AF665A"/>
    <w:rsid w:val="00AF7B6A"/>
    <w:rsid w:val="00AF7D9C"/>
    <w:rsid w:val="00B01566"/>
    <w:rsid w:val="00B01D38"/>
    <w:rsid w:val="00B03845"/>
    <w:rsid w:val="00B056B6"/>
    <w:rsid w:val="00B068AB"/>
    <w:rsid w:val="00B13D91"/>
    <w:rsid w:val="00B13FD5"/>
    <w:rsid w:val="00B151AF"/>
    <w:rsid w:val="00B16593"/>
    <w:rsid w:val="00B201E5"/>
    <w:rsid w:val="00B2066C"/>
    <w:rsid w:val="00B227C1"/>
    <w:rsid w:val="00B24431"/>
    <w:rsid w:val="00B2741D"/>
    <w:rsid w:val="00B30196"/>
    <w:rsid w:val="00B30254"/>
    <w:rsid w:val="00B318D1"/>
    <w:rsid w:val="00B32D39"/>
    <w:rsid w:val="00B331B6"/>
    <w:rsid w:val="00B34531"/>
    <w:rsid w:val="00B356AA"/>
    <w:rsid w:val="00B35BC5"/>
    <w:rsid w:val="00B40773"/>
    <w:rsid w:val="00B42EC1"/>
    <w:rsid w:val="00B449F1"/>
    <w:rsid w:val="00B46626"/>
    <w:rsid w:val="00B46FAF"/>
    <w:rsid w:val="00B5214B"/>
    <w:rsid w:val="00B52308"/>
    <w:rsid w:val="00B53F03"/>
    <w:rsid w:val="00B54706"/>
    <w:rsid w:val="00B56FB0"/>
    <w:rsid w:val="00B602BE"/>
    <w:rsid w:val="00B621C7"/>
    <w:rsid w:val="00B635B5"/>
    <w:rsid w:val="00B65DAC"/>
    <w:rsid w:val="00B6678B"/>
    <w:rsid w:val="00B67A58"/>
    <w:rsid w:val="00B67C55"/>
    <w:rsid w:val="00B70226"/>
    <w:rsid w:val="00B7118D"/>
    <w:rsid w:val="00B715B7"/>
    <w:rsid w:val="00B72045"/>
    <w:rsid w:val="00B73425"/>
    <w:rsid w:val="00B766A5"/>
    <w:rsid w:val="00B80FD6"/>
    <w:rsid w:val="00B82080"/>
    <w:rsid w:val="00B84321"/>
    <w:rsid w:val="00B848B0"/>
    <w:rsid w:val="00B8693A"/>
    <w:rsid w:val="00B87EEF"/>
    <w:rsid w:val="00B900BB"/>
    <w:rsid w:val="00B91A63"/>
    <w:rsid w:val="00B9250C"/>
    <w:rsid w:val="00B940DE"/>
    <w:rsid w:val="00B94430"/>
    <w:rsid w:val="00B94C05"/>
    <w:rsid w:val="00B9563A"/>
    <w:rsid w:val="00BA1D47"/>
    <w:rsid w:val="00BA2981"/>
    <w:rsid w:val="00BA4A7D"/>
    <w:rsid w:val="00BA4C08"/>
    <w:rsid w:val="00BA4FD0"/>
    <w:rsid w:val="00BA5291"/>
    <w:rsid w:val="00BA7046"/>
    <w:rsid w:val="00BA7CFB"/>
    <w:rsid w:val="00BB1552"/>
    <w:rsid w:val="00BB1C27"/>
    <w:rsid w:val="00BB2268"/>
    <w:rsid w:val="00BB4119"/>
    <w:rsid w:val="00BB41FC"/>
    <w:rsid w:val="00BB5013"/>
    <w:rsid w:val="00BB65AF"/>
    <w:rsid w:val="00BC1132"/>
    <w:rsid w:val="00BC118E"/>
    <w:rsid w:val="00BC2A04"/>
    <w:rsid w:val="00BC3898"/>
    <w:rsid w:val="00BC3ACE"/>
    <w:rsid w:val="00BC4525"/>
    <w:rsid w:val="00BC626E"/>
    <w:rsid w:val="00BC6E67"/>
    <w:rsid w:val="00BD21CC"/>
    <w:rsid w:val="00BD29C2"/>
    <w:rsid w:val="00BD66DF"/>
    <w:rsid w:val="00BD7CA3"/>
    <w:rsid w:val="00BD7E1B"/>
    <w:rsid w:val="00BE014A"/>
    <w:rsid w:val="00BE0E95"/>
    <w:rsid w:val="00BE1185"/>
    <w:rsid w:val="00BE2430"/>
    <w:rsid w:val="00BE3C74"/>
    <w:rsid w:val="00BE3F59"/>
    <w:rsid w:val="00BE4623"/>
    <w:rsid w:val="00BE4A6D"/>
    <w:rsid w:val="00BE5DB7"/>
    <w:rsid w:val="00BF1156"/>
    <w:rsid w:val="00BF27BF"/>
    <w:rsid w:val="00BF4961"/>
    <w:rsid w:val="00BF6024"/>
    <w:rsid w:val="00BF7376"/>
    <w:rsid w:val="00BF761B"/>
    <w:rsid w:val="00BF79EF"/>
    <w:rsid w:val="00C06D0D"/>
    <w:rsid w:val="00C07D1A"/>
    <w:rsid w:val="00C10589"/>
    <w:rsid w:val="00C10D65"/>
    <w:rsid w:val="00C1219F"/>
    <w:rsid w:val="00C126C8"/>
    <w:rsid w:val="00C1458E"/>
    <w:rsid w:val="00C150B8"/>
    <w:rsid w:val="00C1527E"/>
    <w:rsid w:val="00C1716F"/>
    <w:rsid w:val="00C17E8A"/>
    <w:rsid w:val="00C204FC"/>
    <w:rsid w:val="00C21081"/>
    <w:rsid w:val="00C221C9"/>
    <w:rsid w:val="00C224F6"/>
    <w:rsid w:val="00C22992"/>
    <w:rsid w:val="00C249D3"/>
    <w:rsid w:val="00C277BA"/>
    <w:rsid w:val="00C325EF"/>
    <w:rsid w:val="00C33992"/>
    <w:rsid w:val="00C377A1"/>
    <w:rsid w:val="00C40A13"/>
    <w:rsid w:val="00C420E1"/>
    <w:rsid w:val="00C42BDC"/>
    <w:rsid w:val="00C47682"/>
    <w:rsid w:val="00C5091A"/>
    <w:rsid w:val="00C51273"/>
    <w:rsid w:val="00C531E7"/>
    <w:rsid w:val="00C54CF6"/>
    <w:rsid w:val="00C54DAD"/>
    <w:rsid w:val="00C55462"/>
    <w:rsid w:val="00C555E9"/>
    <w:rsid w:val="00C56BD8"/>
    <w:rsid w:val="00C56E86"/>
    <w:rsid w:val="00C5747F"/>
    <w:rsid w:val="00C60173"/>
    <w:rsid w:val="00C62542"/>
    <w:rsid w:val="00C62D5C"/>
    <w:rsid w:val="00C6314D"/>
    <w:rsid w:val="00C63FF4"/>
    <w:rsid w:val="00C65FCA"/>
    <w:rsid w:val="00C70012"/>
    <w:rsid w:val="00C73743"/>
    <w:rsid w:val="00C74069"/>
    <w:rsid w:val="00C7427C"/>
    <w:rsid w:val="00C743C3"/>
    <w:rsid w:val="00C75535"/>
    <w:rsid w:val="00C77569"/>
    <w:rsid w:val="00C80ABB"/>
    <w:rsid w:val="00C81C11"/>
    <w:rsid w:val="00C83B33"/>
    <w:rsid w:val="00C85041"/>
    <w:rsid w:val="00C85606"/>
    <w:rsid w:val="00C931D4"/>
    <w:rsid w:val="00C937F3"/>
    <w:rsid w:val="00C94CAB"/>
    <w:rsid w:val="00C97BF5"/>
    <w:rsid w:val="00CA0C3A"/>
    <w:rsid w:val="00CA278D"/>
    <w:rsid w:val="00CA4F69"/>
    <w:rsid w:val="00CA657F"/>
    <w:rsid w:val="00CB0AAF"/>
    <w:rsid w:val="00CB0DCE"/>
    <w:rsid w:val="00CB4A38"/>
    <w:rsid w:val="00CB6712"/>
    <w:rsid w:val="00CB6EB2"/>
    <w:rsid w:val="00CB7005"/>
    <w:rsid w:val="00CC075A"/>
    <w:rsid w:val="00CC17B4"/>
    <w:rsid w:val="00CC1DD9"/>
    <w:rsid w:val="00CC27AC"/>
    <w:rsid w:val="00CC306E"/>
    <w:rsid w:val="00CC3B87"/>
    <w:rsid w:val="00CC3C5D"/>
    <w:rsid w:val="00CC3F5E"/>
    <w:rsid w:val="00CC4CCD"/>
    <w:rsid w:val="00CC4CD2"/>
    <w:rsid w:val="00CC548D"/>
    <w:rsid w:val="00CC68A4"/>
    <w:rsid w:val="00CD2302"/>
    <w:rsid w:val="00CD5474"/>
    <w:rsid w:val="00CD72D8"/>
    <w:rsid w:val="00CD7895"/>
    <w:rsid w:val="00CD7D0E"/>
    <w:rsid w:val="00CE0212"/>
    <w:rsid w:val="00CE15AC"/>
    <w:rsid w:val="00CE19EB"/>
    <w:rsid w:val="00CE3DF9"/>
    <w:rsid w:val="00CE415A"/>
    <w:rsid w:val="00CE487C"/>
    <w:rsid w:val="00CE5923"/>
    <w:rsid w:val="00CE606D"/>
    <w:rsid w:val="00CE69AD"/>
    <w:rsid w:val="00CE7E06"/>
    <w:rsid w:val="00CF5898"/>
    <w:rsid w:val="00CF6B89"/>
    <w:rsid w:val="00CF6D22"/>
    <w:rsid w:val="00D002DF"/>
    <w:rsid w:val="00D00BFC"/>
    <w:rsid w:val="00D01910"/>
    <w:rsid w:val="00D02063"/>
    <w:rsid w:val="00D04F22"/>
    <w:rsid w:val="00D05095"/>
    <w:rsid w:val="00D0537B"/>
    <w:rsid w:val="00D059C5"/>
    <w:rsid w:val="00D060A3"/>
    <w:rsid w:val="00D06905"/>
    <w:rsid w:val="00D07A84"/>
    <w:rsid w:val="00D1155B"/>
    <w:rsid w:val="00D14199"/>
    <w:rsid w:val="00D14A9C"/>
    <w:rsid w:val="00D1780E"/>
    <w:rsid w:val="00D17A54"/>
    <w:rsid w:val="00D223A2"/>
    <w:rsid w:val="00D22A54"/>
    <w:rsid w:val="00D22B6D"/>
    <w:rsid w:val="00D24496"/>
    <w:rsid w:val="00D24DD9"/>
    <w:rsid w:val="00D24FCC"/>
    <w:rsid w:val="00D25DBB"/>
    <w:rsid w:val="00D26A2A"/>
    <w:rsid w:val="00D318AD"/>
    <w:rsid w:val="00D338C6"/>
    <w:rsid w:val="00D338E8"/>
    <w:rsid w:val="00D33CC7"/>
    <w:rsid w:val="00D34C79"/>
    <w:rsid w:val="00D37701"/>
    <w:rsid w:val="00D4017C"/>
    <w:rsid w:val="00D41303"/>
    <w:rsid w:val="00D41DA4"/>
    <w:rsid w:val="00D43377"/>
    <w:rsid w:val="00D43E20"/>
    <w:rsid w:val="00D43F8E"/>
    <w:rsid w:val="00D457F1"/>
    <w:rsid w:val="00D468C1"/>
    <w:rsid w:val="00D47E62"/>
    <w:rsid w:val="00D50C8B"/>
    <w:rsid w:val="00D526B7"/>
    <w:rsid w:val="00D53460"/>
    <w:rsid w:val="00D53522"/>
    <w:rsid w:val="00D538AD"/>
    <w:rsid w:val="00D5556E"/>
    <w:rsid w:val="00D555FA"/>
    <w:rsid w:val="00D56AA2"/>
    <w:rsid w:val="00D62446"/>
    <w:rsid w:val="00D64637"/>
    <w:rsid w:val="00D65420"/>
    <w:rsid w:val="00D706E1"/>
    <w:rsid w:val="00D716BF"/>
    <w:rsid w:val="00D728C6"/>
    <w:rsid w:val="00D73293"/>
    <w:rsid w:val="00D735CA"/>
    <w:rsid w:val="00D73CFD"/>
    <w:rsid w:val="00D74692"/>
    <w:rsid w:val="00D7493B"/>
    <w:rsid w:val="00D74EA0"/>
    <w:rsid w:val="00D752AC"/>
    <w:rsid w:val="00D75CB3"/>
    <w:rsid w:val="00D75FBA"/>
    <w:rsid w:val="00D75FC0"/>
    <w:rsid w:val="00D76DBB"/>
    <w:rsid w:val="00D7729F"/>
    <w:rsid w:val="00D77E8D"/>
    <w:rsid w:val="00D80A2C"/>
    <w:rsid w:val="00D8130C"/>
    <w:rsid w:val="00D816C7"/>
    <w:rsid w:val="00D81827"/>
    <w:rsid w:val="00D82690"/>
    <w:rsid w:val="00D84512"/>
    <w:rsid w:val="00D85DDB"/>
    <w:rsid w:val="00D8618F"/>
    <w:rsid w:val="00D86204"/>
    <w:rsid w:val="00D874EF"/>
    <w:rsid w:val="00D9175D"/>
    <w:rsid w:val="00D91FC8"/>
    <w:rsid w:val="00D93492"/>
    <w:rsid w:val="00D94229"/>
    <w:rsid w:val="00D946BA"/>
    <w:rsid w:val="00D95418"/>
    <w:rsid w:val="00D95557"/>
    <w:rsid w:val="00D96BD6"/>
    <w:rsid w:val="00DA1645"/>
    <w:rsid w:val="00DA3590"/>
    <w:rsid w:val="00DA390C"/>
    <w:rsid w:val="00DA5F3E"/>
    <w:rsid w:val="00DB0674"/>
    <w:rsid w:val="00DB1238"/>
    <w:rsid w:val="00DB1882"/>
    <w:rsid w:val="00DB2037"/>
    <w:rsid w:val="00DB2162"/>
    <w:rsid w:val="00DB3D5B"/>
    <w:rsid w:val="00DB535D"/>
    <w:rsid w:val="00DB7CEC"/>
    <w:rsid w:val="00DC62DD"/>
    <w:rsid w:val="00DC6B10"/>
    <w:rsid w:val="00DC70D3"/>
    <w:rsid w:val="00DD19F4"/>
    <w:rsid w:val="00DD1EE6"/>
    <w:rsid w:val="00DD3ED5"/>
    <w:rsid w:val="00DD46BF"/>
    <w:rsid w:val="00DD54B9"/>
    <w:rsid w:val="00DD5983"/>
    <w:rsid w:val="00DD5ACB"/>
    <w:rsid w:val="00DD6D29"/>
    <w:rsid w:val="00DD7963"/>
    <w:rsid w:val="00DD7BA8"/>
    <w:rsid w:val="00DE0218"/>
    <w:rsid w:val="00DE06D0"/>
    <w:rsid w:val="00DE1DE6"/>
    <w:rsid w:val="00DE22DD"/>
    <w:rsid w:val="00DE36CE"/>
    <w:rsid w:val="00DE3C79"/>
    <w:rsid w:val="00DE5D77"/>
    <w:rsid w:val="00DE6ED7"/>
    <w:rsid w:val="00DF3867"/>
    <w:rsid w:val="00DF418B"/>
    <w:rsid w:val="00DF50CA"/>
    <w:rsid w:val="00E0047A"/>
    <w:rsid w:val="00E00787"/>
    <w:rsid w:val="00E02C64"/>
    <w:rsid w:val="00E02D43"/>
    <w:rsid w:val="00E030B6"/>
    <w:rsid w:val="00E03529"/>
    <w:rsid w:val="00E03E26"/>
    <w:rsid w:val="00E04B5C"/>
    <w:rsid w:val="00E04D55"/>
    <w:rsid w:val="00E063E3"/>
    <w:rsid w:val="00E069B9"/>
    <w:rsid w:val="00E06F15"/>
    <w:rsid w:val="00E07643"/>
    <w:rsid w:val="00E1008B"/>
    <w:rsid w:val="00E106EC"/>
    <w:rsid w:val="00E12F9A"/>
    <w:rsid w:val="00E15707"/>
    <w:rsid w:val="00E1618A"/>
    <w:rsid w:val="00E1661F"/>
    <w:rsid w:val="00E17660"/>
    <w:rsid w:val="00E17AED"/>
    <w:rsid w:val="00E17D3F"/>
    <w:rsid w:val="00E17E89"/>
    <w:rsid w:val="00E21A94"/>
    <w:rsid w:val="00E21DD8"/>
    <w:rsid w:val="00E229DC"/>
    <w:rsid w:val="00E23C9B"/>
    <w:rsid w:val="00E2474F"/>
    <w:rsid w:val="00E24991"/>
    <w:rsid w:val="00E25BE2"/>
    <w:rsid w:val="00E25C94"/>
    <w:rsid w:val="00E26EAD"/>
    <w:rsid w:val="00E274BC"/>
    <w:rsid w:val="00E2774F"/>
    <w:rsid w:val="00E30AAE"/>
    <w:rsid w:val="00E318EC"/>
    <w:rsid w:val="00E34056"/>
    <w:rsid w:val="00E34209"/>
    <w:rsid w:val="00E34643"/>
    <w:rsid w:val="00E34CB3"/>
    <w:rsid w:val="00E350FB"/>
    <w:rsid w:val="00E35BDB"/>
    <w:rsid w:val="00E360E3"/>
    <w:rsid w:val="00E3641F"/>
    <w:rsid w:val="00E377C9"/>
    <w:rsid w:val="00E40ED4"/>
    <w:rsid w:val="00E419B2"/>
    <w:rsid w:val="00E4312C"/>
    <w:rsid w:val="00E44AA1"/>
    <w:rsid w:val="00E45B26"/>
    <w:rsid w:val="00E45F56"/>
    <w:rsid w:val="00E462F4"/>
    <w:rsid w:val="00E463FB"/>
    <w:rsid w:val="00E46577"/>
    <w:rsid w:val="00E46E68"/>
    <w:rsid w:val="00E46F8E"/>
    <w:rsid w:val="00E5008E"/>
    <w:rsid w:val="00E51352"/>
    <w:rsid w:val="00E519CD"/>
    <w:rsid w:val="00E534B5"/>
    <w:rsid w:val="00E5351B"/>
    <w:rsid w:val="00E53B88"/>
    <w:rsid w:val="00E54E6A"/>
    <w:rsid w:val="00E55460"/>
    <w:rsid w:val="00E55885"/>
    <w:rsid w:val="00E5608C"/>
    <w:rsid w:val="00E57192"/>
    <w:rsid w:val="00E6167C"/>
    <w:rsid w:val="00E61755"/>
    <w:rsid w:val="00E61993"/>
    <w:rsid w:val="00E62E4F"/>
    <w:rsid w:val="00E64C99"/>
    <w:rsid w:val="00E653AC"/>
    <w:rsid w:val="00E6796D"/>
    <w:rsid w:val="00E70864"/>
    <w:rsid w:val="00E71165"/>
    <w:rsid w:val="00E7176C"/>
    <w:rsid w:val="00E71E0F"/>
    <w:rsid w:val="00E71E95"/>
    <w:rsid w:val="00E724EA"/>
    <w:rsid w:val="00E728AF"/>
    <w:rsid w:val="00E746C3"/>
    <w:rsid w:val="00E74DF3"/>
    <w:rsid w:val="00E75A56"/>
    <w:rsid w:val="00E76E6C"/>
    <w:rsid w:val="00E813D4"/>
    <w:rsid w:val="00E815BC"/>
    <w:rsid w:val="00E837F7"/>
    <w:rsid w:val="00E84180"/>
    <w:rsid w:val="00E846BF"/>
    <w:rsid w:val="00E86C1A"/>
    <w:rsid w:val="00E90055"/>
    <w:rsid w:val="00E91165"/>
    <w:rsid w:val="00E934E9"/>
    <w:rsid w:val="00E93552"/>
    <w:rsid w:val="00E942B4"/>
    <w:rsid w:val="00E952EB"/>
    <w:rsid w:val="00E95D40"/>
    <w:rsid w:val="00E977DB"/>
    <w:rsid w:val="00E97A25"/>
    <w:rsid w:val="00EA03A1"/>
    <w:rsid w:val="00EA0529"/>
    <w:rsid w:val="00EA2359"/>
    <w:rsid w:val="00EA4233"/>
    <w:rsid w:val="00EA4DA3"/>
    <w:rsid w:val="00EB13F7"/>
    <w:rsid w:val="00EB179B"/>
    <w:rsid w:val="00EB1A7E"/>
    <w:rsid w:val="00EB394F"/>
    <w:rsid w:val="00EB3B2A"/>
    <w:rsid w:val="00EC1442"/>
    <w:rsid w:val="00EC19B8"/>
    <w:rsid w:val="00EC1EA3"/>
    <w:rsid w:val="00EC282D"/>
    <w:rsid w:val="00EC289B"/>
    <w:rsid w:val="00EC340F"/>
    <w:rsid w:val="00EC5213"/>
    <w:rsid w:val="00EC55D8"/>
    <w:rsid w:val="00EC726C"/>
    <w:rsid w:val="00EC7532"/>
    <w:rsid w:val="00ED03E5"/>
    <w:rsid w:val="00ED09CD"/>
    <w:rsid w:val="00ED114B"/>
    <w:rsid w:val="00ED138A"/>
    <w:rsid w:val="00ED1496"/>
    <w:rsid w:val="00ED2BA9"/>
    <w:rsid w:val="00ED42C6"/>
    <w:rsid w:val="00ED5C02"/>
    <w:rsid w:val="00ED6A39"/>
    <w:rsid w:val="00ED7425"/>
    <w:rsid w:val="00ED7478"/>
    <w:rsid w:val="00EE1E8C"/>
    <w:rsid w:val="00EE2BCE"/>
    <w:rsid w:val="00EE40CC"/>
    <w:rsid w:val="00EE4B2C"/>
    <w:rsid w:val="00EE50E8"/>
    <w:rsid w:val="00EE55BC"/>
    <w:rsid w:val="00EE6396"/>
    <w:rsid w:val="00EE642E"/>
    <w:rsid w:val="00EE7660"/>
    <w:rsid w:val="00EE7E9E"/>
    <w:rsid w:val="00EF01B7"/>
    <w:rsid w:val="00EF129D"/>
    <w:rsid w:val="00EF633B"/>
    <w:rsid w:val="00EF6F0E"/>
    <w:rsid w:val="00F0028F"/>
    <w:rsid w:val="00F00ADF"/>
    <w:rsid w:val="00F01418"/>
    <w:rsid w:val="00F017CA"/>
    <w:rsid w:val="00F0408F"/>
    <w:rsid w:val="00F04A77"/>
    <w:rsid w:val="00F05325"/>
    <w:rsid w:val="00F063A7"/>
    <w:rsid w:val="00F06B08"/>
    <w:rsid w:val="00F073B5"/>
    <w:rsid w:val="00F07445"/>
    <w:rsid w:val="00F0790C"/>
    <w:rsid w:val="00F079D7"/>
    <w:rsid w:val="00F07C68"/>
    <w:rsid w:val="00F12593"/>
    <w:rsid w:val="00F12675"/>
    <w:rsid w:val="00F12AEF"/>
    <w:rsid w:val="00F13A7F"/>
    <w:rsid w:val="00F141DB"/>
    <w:rsid w:val="00F14717"/>
    <w:rsid w:val="00F1475B"/>
    <w:rsid w:val="00F16EF4"/>
    <w:rsid w:val="00F208FC"/>
    <w:rsid w:val="00F2173F"/>
    <w:rsid w:val="00F22684"/>
    <w:rsid w:val="00F25308"/>
    <w:rsid w:val="00F25D81"/>
    <w:rsid w:val="00F25EB9"/>
    <w:rsid w:val="00F27CFC"/>
    <w:rsid w:val="00F30511"/>
    <w:rsid w:val="00F30E13"/>
    <w:rsid w:val="00F31A4C"/>
    <w:rsid w:val="00F3203A"/>
    <w:rsid w:val="00F33AD5"/>
    <w:rsid w:val="00F33B35"/>
    <w:rsid w:val="00F342AC"/>
    <w:rsid w:val="00F3792E"/>
    <w:rsid w:val="00F3797F"/>
    <w:rsid w:val="00F37DCB"/>
    <w:rsid w:val="00F37FF8"/>
    <w:rsid w:val="00F4155C"/>
    <w:rsid w:val="00F432C8"/>
    <w:rsid w:val="00F43621"/>
    <w:rsid w:val="00F4547C"/>
    <w:rsid w:val="00F4564C"/>
    <w:rsid w:val="00F45776"/>
    <w:rsid w:val="00F52CA6"/>
    <w:rsid w:val="00F53524"/>
    <w:rsid w:val="00F548FB"/>
    <w:rsid w:val="00F60142"/>
    <w:rsid w:val="00F61AA8"/>
    <w:rsid w:val="00F629AD"/>
    <w:rsid w:val="00F62DF5"/>
    <w:rsid w:val="00F635E4"/>
    <w:rsid w:val="00F635F9"/>
    <w:rsid w:val="00F6366E"/>
    <w:rsid w:val="00F6432F"/>
    <w:rsid w:val="00F6439A"/>
    <w:rsid w:val="00F6645F"/>
    <w:rsid w:val="00F665DF"/>
    <w:rsid w:val="00F67669"/>
    <w:rsid w:val="00F70141"/>
    <w:rsid w:val="00F71F9A"/>
    <w:rsid w:val="00F7274B"/>
    <w:rsid w:val="00F7294C"/>
    <w:rsid w:val="00F7296C"/>
    <w:rsid w:val="00F72EA7"/>
    <w:rsid w:val="00F734CD"/>
    <w:rsid w:val="00F73DE9"/>
    <w:rsid w:val="00F74E68"/>
    <w:rsid w:val="00F75BED"/>
    <w:rsid w:val="00F76C31"/>
    <w:rsid w:val="00F77266"/>
    <w:rsid w:val="00F80185"/>
    <w:rsid w:val="00F81A77"/>
    <w:rsid w:val="00F820B3"/>
    <w:rsid w:val="00F825FC"/>
    <w:rsid w:val="00F82D8E"/>
    <w:rsid w:val="00F8438D"/>
    <w:rsid w:val="00F85491"/>
    <w:rsid w:val="00F86F6F"/>
    <w:rsid w:val="00F8731C"/>
    <w:rsid w:val="00F96395"/>
    <w:rsid w:val="00FA0235"/>
    <w:rsid w:val="00FA192A"/>
    <w:rsid w:val="00FA2DDC"/>
    <w:rsid w:val="00FA432E"/>
    <w:rsid w:val="00FA4B3E"/>
    <w:rsid w:val="00FA4BFC"/>
    <w:rsid w:val="00FA510A"/>
    <w:rsid w:val="00FA54E5"/>
    <w:rsid w:val="00FA6DB7"/>
    <w:rsid w:val="00FA72B3"/>
    <w:rsid w:val="00FA7840"/>
    <w:rsid w:val="00FA7AF1"/>
    <w:rsid w:val="00FB1377"/>
    <w:rsid w:val="00FB164A"/>
    <w:rsid w:val="00FB1A9B"/>
    <w:rsid w:val="00FB21AA"/>
    <w:rsid w:val="00FB2E3B"/>
    <w:rsid w:val="00FB3566"/>
    <w:rsid w:val="00FB37F1"/>
    <w:rsid w:val="00FB3902"/>
    <w:rsid w:val="00FB47E9"/>
    <w:rsid w:val="00FB6114"/>
    <w:rsid w:val="00FB6727"/>
    <w:rsid w:val="00FB7014"/>
    <w:rsid w:val="00FC2303"/>
    <w:rsid w:val="00FC24CC"/>
    <w:rsid w:val="00FC2867"/>
    <w:rsid w:val="00FC53E8"/>
    <w:rsid w:val="00FC63C9"/>
    <w:rsid w:val="00FC6A16"/>
    <w:rsid w:val="00FD0CF2"/>
    <w:rsid w:val="00FD2201"/>
    <w:rsid w:val="00FD2FFB"/>
    <w:rsid w:val="00FD3F3E"/>
    <w:rsid w:val="00FD6443"/>
    <w:rsid w:val="00FD7506"/>
    <w:rsid w:val="00FD77FB"/>
    <w:rsid w:val="00FD7961"/>
    <w:rsid w:val="00FE022F"/>
    <w:rsid w:val="00FE0A86"/>
    <w:rsid w:val="00FE21C8"/>
    <w:rsid w:val="00FE260B"/>
    <w:rsid w:val="00FE44B4"/>
    <w:rsid w:val="00FE4F75"/>
    <w:rsid w:val="00FE58DB"/>
    <w:rsid w:val="00FE664F"/>
    <w:rsid w:val="00FE6B8C"/>
    <w:rsid w:val="00FE6EFE"/>
    <w:rsid w:val="00FE7295"/>
    <w:rsid w:val="00FF1857"/>
    <w:rsid w:val="00FF247D"/>
    <w:rsid w:val="00FF3C65"/>
    <w:rsid w:val="00FF4040"/>
    <w:rsid w:val="00FF5BA2"/>
    <w:rsid w:val="00FF6BD0"/>
    <w:rsid w:val="00FF72C5"/>
    <w:rsid w:val="00FF7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571CB3"/>
  <w15:docId w15:val="{7032B1D7-9B32-4B8C-8595-5EA4106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730C2"/>
    <w:pPr>
      <w:keepNext/>
      <w:keepLines/>
      <w:spacing w:before="480" w:after="0"/>
      <w:outlineLvl w:val="0"/>
    </w:pPr>
    <w:rPr>
      <w:rFonts w:asciiTheme="majorHAnsi" w:eastAsiaTheme="majorEastAsia" w:hAnsiTheme="majorHAnsi" w:cstheme="majorBidi"/>
      <w:b/>
      <w:bCs/>
      <w:color w:val="005686" w:themeColor="accent1" w:themeShade="BF"/>
      <w:sz w:val="28"/>
      <w:szCs w:val="28"/>
    </w:rPr>
  </w:style>
  <w:style w:type="paragraph" w:styleId="Heading2">
    <w:name w:val="heading 2"/>
    <w:basedOn w:val="Normal"/>
    <w:next w:val="Normal"/>
    <w:link w:val="Heading2Char"/>
    <w:autoRedefine/>
    <w:uiPriority w:val="9"/>
    <w:unhideWhenUsed/>
    <w:qFormat/>
    <w:rsid w:val="00DD5983"/>
    <w:pPr>
      <w:spacing w:line="240" w:lineRule="auto"/>
      <w:outlineLvl w:val="1"/>
    </w:pPr>
    <w:rPr>
      <w:b/>
      <w:sz w:val="28"/>
      <w:szCs w:val="28"/>
      <w:lang w:val="en-US"/>
    </w:rPr>
  </w:style>
  <w:style w:type="paragraph" w:styleId="Heading3">
    <w:name w:val="heading 3"/>
    <w:basedOn w:val="Normal"/>
    <w:next w:val="Normal"/>
    <w:link w:val="Heading3Char"/>
    <w:uiPriority w:val="9"/>
    <w:unhideWhenUsed/>
    <w:qFormat/>
    <w:rsid w:val="00556CB9"/>
    <w:pPr>
      <w:keepNext/>
      <w:keepLines/>
      <w:spacing w:before="120" w:after="120"/>
      <w:outlineLvl w:val="2"/>
    </w:pPr>
    <w:rPr>
      <w:rFonts w:eastAsiaTheme="majorEastAsia" w:cstheme="majorBidi"/>
      <w:b/>
      <w:bCs/>
      <w:color w:val="7F7F7F" w:themeColor="text1" w:themeTint="80"/>
      <w:sz w:val="24"/>
    </w:rPr>
  </w:style>
  <w:style w:type="paragraph" w:styleId="Heading4">
    <w:name w:val="heading 4"/>
    <w:basedOn w:val="Normal"/>
    <w:next w:val="Normal"/>
    <w:link w:val="Heading4Char"/>
    <w:uiPriority w:val="9"/>
    <w:unhideWhenUsed/>
    <w:qFormat/>
    <w:rsid w:val="002762FE"/>
    <w:pPr>
      <w:keepNext/>
      <w:outlineLvl w:val="3"/>
    </w:pPr>
    <w:rPr>
      <w:i/>
      <w:color w:val="134A86" w:themeColor="text2"/>
      <w:sz w:val="36"/>
    </w:rPr>
  </w:style>
  <w:style w:type="paragraph" w:styleId="Heading5">
    <w:name w:val="heading 5"/>
    <w:basedOn w:val="Normal"/>
    <w:next w:val="Normal"/>
    <w:link w:val="Heading5Char"/>
    <w:uiPriority w:val="9"/>
    <w:unhideWhenUsed/>
    <w:qFormat/>
    <w:rsid w:val="00786950"/>
    <w:pPr>
      <w:keepNext/>
      <w:jc w:val="center"/>
      <w:outlineLvl w:val="4"/>
    </w:pPr>
    <w:rPr>
      <w:sz w:val="40"/>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rsid w:val="00403849"/>
    <w:pPr>
      <w:spacing w:before="200" w:after="280" w:line="240" w:lineRule="auto"/>
      <w:ind w:left="720" w:right="936"/>
    </w:pPr>
    <w:rPr>
      <w:bCs/>
      <w:i/>
      <w:iCs/>
      <w:color w:val="984806" w:themeColor="accent4" w:themeShade="80"/>
      <w:sz w:val="20"/>
    </w:rPr>
  </w:style>
  <w:style w:type="character" w:customStyle="1" w:styleId="IntenseQuoteChar">
    <w:name w:val="Intense Quote Char"/>
    <w:basedOn w:val="DefaultParagraphFont"/>
    <w:link w:val="IntenseQuote"/>
    <w:uiPriority w:val="30"/>
    <w:rsid w:val="00403849"/>
    <w:rPr>
      <w:rFonts w:ascii="Calibri" w:hAnsi="Calibri"/>
      <w:bCs/>
      <w:i/>
      <w:iCs/>
      <w:color w:val="984806" w:themeColor="accent4" w:themeShade="80"/>
      <w:sz w:val="20"/>
    </w:rPr>
  </w:style>
  <w:style w:type="paragraph" w:styleId="Header">
    <w:name w:val="header"/>
    <w:basedOn w:val="Normal"/>
    <w:link w:val="HeaderChar"/>
    <w:uiPriority w:val="99"/>
    <w:unhideWhenUsed/>
    <w:rsid w:val="0023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26"/>
  </w:style>
  <w:style w:type="paragraph" w:styleId="Footer">
    <w:name w:val="footer"/>
    <w:basedOn w:val="Normal"/>
    <w:link w:val="FooterChar"/>
    <w:uiPriority w:val="99"/>
    <w:unhideWhenUsed/>
    <w:rsid w:val="0023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26"/>
  </w:style>
  <w:style w:type="paragraph" w:styleId="BalloonText">
    <w:name w:val="Balloon Text"/>
    <w:basedOn w:val="Normal"/>
    <w:link w:val="BalloonTextChar"/>
    <w:uiPriority w:val="99"/>
    <w:semiHidden/>
    <w:unhideWhenUsed/>
    <w:rsid w:val="00236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26"/>
    <w:rPr>
      <w:rFonts w:ascii="Tahoma" w:hAnsi="Tahoma" w:cs="Tahoma"/>
      <w:sz w:val="16"/>
      <w:szCs w:val="16"/>
    </w:rPr>
  </w:style>
  <w:style w:type="character" w:styleId="PlaceholderText">
    <w:name w:val="Placeholder Text"/>
    <w:basedOn w:val="DefaultParagraphFont"/>
    <w:uiPriority w:val="99"/>
    <w:semiHidden/>
    <w:rsid w:val="00236B26"/>
    <w:rPr>
      <w:color w:val="808080"/>
    </w:rPr>
  </w:style>
  <w:style w:type="table" w:styleId="TableGrid">
    <w:name w:val="Table Grid"/>
    <w:basedOn w:val="TableNormal"/>
    <w:uiPriority w:val="59"/>
    <w:rsid w:val="00E45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0C2"/>
    <w:rPr>
      <w:rFonts w:asciiTheme="majorHAnsi" w:eastAsiaTheme="majorEastAsia" w:hAnsiTheme="majorHAnsi" w:cstheme="majorBidi"/>
      <w:b/>
      <w:bCs/>
      <w:color w:val="005686" w:themeColor="accent1" w:themeShade="BF"/>
      <w:sz w:val="28"/>
      <w:szCs w:val="28"/>
    </w:rPr>
  </w:style>
  <w:style w:type="paragraph" w:styleId="TOCHeading">
    <w:name w:val="TOC Heading"/>
    <w:basedOn w:val="Heading1"/>
    <w:next w:val="Normal"/>
    <w:uiPriority w:val="39"/>
    <w:unhideWhenUsed/>
    <w:qFormat/>
    <w:rsid w:val="006730C2"/>
    <w:pPr>
      <w:outlineLvl w:val="9"/>
    </w:pPr>
    <w:rPr>
      <w:lang w:val="en-US" w:eastAsia="ja-JP"/>
    </w:rPr>
  </w:style>
  <w:style w:type="paragraph" w:customStyle="1" w:styleId="Heading1rep">
    <w:name w:val="Heading 1 rep"/>
    <w:basedOn w:val="Normal"/>
    <w:autoRedefine/>
    <w:qFormat/>
    <w:rsid w:val="00DD5983"/>
    <w:pPr>
      <w:spacing w:after="240" w:line="240" w:lineRule="auto"/>
      <w:outlineLvl w:val="0"/>
    </w:pPr>
    <w:rPr>
      <w:rFonts w:ascii="Arial" w:hAnsi="Arial" w:cs="Arial"/>
      <w:color w:val="134A86" w:themeColor="text2"/>
      <w:sz w:val="48"/>
      <w:szCs w:val="48"/>
      <w:lang w:val="en-AU"/>
    </w:rPr>
  </w:style>
  <w:style w:type="paragraph" w:customStyle="1" w:styleId="Summarytext">
    <w:name w:val="Summary text"/>
    <w:basedOn w:val="Normal"/>
    <w:qFormat/>
    <w:rsid w:val="0057441C"/>
    <w:pPr>
      <w:spacing w:before="120" w:after="320"/>
      <w:jc w:val="both"/>
    </w:pPr>
    <w:rPr>
      <w:rFonts w:ascii="Arial" w:hAnsi="Arial"/>
      <w:b/>
      <w:color w:val="0074B4" w:themeColor="accent1"/>
      <w:szCs w:val="26"/>
      <w:lang w:val="en-AU"/>
    </w:rPr>
  </w:style>
  <w:style w:type="paragraph" w:customStyle="1" w:styleId="Subjecttitle">
    <w:name w:val="Subject title"/>
    <w:basedOn w:val="Normal"/>
    <w:autoRedefine/>
    <w:qFormat/>
    <w:rsid w:val="0088569E"/>
    <w:pPr>
      <w:spacing w:after="0" w:line="360" w:lineRule="auto"/>
      <w:outlineLvl w:val="1"/>
    </w:pPr>
    <w:rPr>
      <w:b/>
      <w:color w:val="0074B4" w:themeColor="accent1"/>
      <w:sz w:val="32"/>
      <w:szCs w:val="28"/>
    </w:rPr>
  </w:style>
  <w:style w:type="paragraph" w:styleId="Subtitle">
    <w:name w:val="Subtitle"/>
    <w:basedOn w:val="Normal"/>
    <w:next w:val="Normal"/>
    <w:link w:val="SubtitleChar"/>
    <w:uiPriority w:val="11"/>
    <w:rsid w:val="00EA4233"/>
    <w:pPr>
      <w:numPr>
        <w:ilvl w:val="1"/>
      </w:numPr>
    </w:pPr>
    <w:rPr>
      <w:rFonts w:asciiTheme="majorHAnsi" w:eastAsiaTheme="majorEastAsia" w:hAnsiTheme="majorHAnsi" w:cstheme="majorBidi"/>
      <w:i/>
      <w:iCs/>
      <w:color w:val="0074B4" w:themeColor="accent1"/>
      <w:spacing w:val="15"/>
      <w:sz w:val="24"/>
      <w:szCs w:val="24"/>
    </w:rPr>
  </w:style>
  <w:style w:type="character" w:customStyle="1" w:styleId="SubtitleChar">
    <w:name w:val="Subtitle Char"/>
    <w:basedOn w:val="DefaultParagraphFont"/>
    <w:link w:val="Subtitle"/>
    <w:uiPriority w:val="11"/>
    <w:rsid w:val="00EA4233"/>
    <w:rPr>
      <w:rFonts w:asciiTheme="majorHAnsi" w:eastAsiaTheme="majorEastAsia" w:hAnsiTheme="majorHAnsi" w:cstheme="majorBidi"/>
      <w:i/>
      <w:iCs/>
      <w:color w:val="0074B4" w:themeColor="accent1"/>
      <w:spacing w:val="15"/>
      <w:sz w:val="24"/>
      <w:szCs w:val="24"/>
    </w:rPr>
  </w:style>
  <w:style w:type="paragraph" w:customStyle="1" w:styleId="Subtitlerep">
    <w:name w:val="Subtitle rep"/>
    <w:basedOn w:val="Normal"/>
    <w:qFormat/>
    <w:rsid w:val="00596E02"/>
    <w:pPr>
      <w:spacing w:before="120" w:after="120" w:line="240" w:lineRule="auto"/>
      <w:outlineLvl w:val="2"/>
    </w:pPr>
    <w:rPr>
      <w:b/>
      <w:color w:val="07A6FF" w:themeColor="accent1" w:themeTint="BF"/>
      <w:szCs w:val="28"/>
    </w:rPr>
  </w:style>
  <w:style w:type="paragraph" w:customStyle="1" w:styleId="indentbodytext">
    <w:name w:val="indent body text"/>
    <w:basedOn w:val="Normal"/>
    <w:rsid w:val="001318A1"/>
    <w:pPr>
      <w:ind w:firstLine="720"/>
      <w:jc w:val="both"/>
    </w:pPr>
  </w:style>
  <w:style w:type="paragraph" w:customStyle="1" w:styleId="BodyText1">
    <w:name w:val="Body Text1"/>
    <w:basedOn w:val="Normal"/>
    <w:link w:val="bodytextChar"/>
    <w:qFormat/>
    <w:rsid w:val="00767C62"/>
    <w:rPr>
      <w:rFonts w:ascii="Arial" w:hAnsi="Arial"/>
    </w:rPr>
  </w:style>
  <w:style w:type="paragraph" w:customStyle="1" w:styleId="Reporttitle">
    <w:name w:val="Report title"/>
    <w:basedOn w:val="Normal"/>
    <w:link w:val="ReporttitleChar"/>
    <w:qFormat/>
    <w:rsid w:val="00042CF1"/>
    <w:pPr>
      <w:spacing w:after="0" w:line="240" w:lineRule="auto"/>
      <w:jc w:val="center"/>
    </w:pPr>
    <w:rPr>
      <w:b/>
      <w:color w:val="134A86" w:themeColor="text2"/>
      <w:sz w:val="72"/>
      <w:szCs w:val="72"/>
      <w:lang w:val="en-AU"/>
    </w:rPr>
  </w:style>
  <w:style w:type="character" w:customStyle="1" w:styleId="bodytextChar">
    <w:name w:val="body text Char"/>
    <w:basedOn w:val="DefaultParagraphFont"/>
    <w:link w:val="BodyText1"/>
    <w:rsid w:val="00767C62"/>
    <w:rPr>
      <w:rFonts w:ascii="Arial" w:hAnsi="Arial"/>
    </w:rPr>
  </w:style>
  <w:style w:type="paragraph" w:styleId="TOC2">
    <w:name w:val="toc 2"/>
    <w:basedOn w:val="Normal"/>
    <w:next w:val="Normal"/>
    <w:autoRedefine/>
    <w:uiPriority w:val="39"/>
    <w:unhideWhenUsed/>
    <w:qFormat/>
    <w:rsid w:val="00BD21CC"/>
    <w:pPr>
      <w:spacing w:after="0"/>
    </w:pPr>
    <w:rPr>
      <w:rFonts w:asciiTheme="minorHAnsi" w:hAnsiTheme="minorHAnsi"/>
    </w:rPr>
  </w:style>
  <w:style w:type="character" w:customStyle="1" w:styleId="ReporttitleChar">
    <w:name w:val="Report title Char"/>
    <w:basedOn w:val="DefaultParagraphFont"/>
    <w:link w:val="Reporttitle"/>
    <w:rsid w:val="00042CF1"/>
    <w:rPr>
      <w:b/>
      <w:color w:val="134A86" w:themeColor="text2"/>
      <w:sz w:val="72"/>
      <w:szCs w:val="72"/>
      <w:lang w:val="en-AU"/>
    </w:rPr>
  </w:style>
  <w:style w:type="paragraph" w:styleId="TOC1">
    <w:name w:val="toc 1"/>
    <w:basedOn w:val="Normal"/>
    <w:next w:val="Normal"/>
    <w:autoRedefine/>
    <w:uiPriority w:val="39"/>
    <w:unhideWhenUsed/>
    <w:qFormat/>
    <w:rsid w:val="00BD21CC"/>
    <w:pPr>
      <w:spacing w:before="120" w:after="0"/>
    </w:pPr>
    <w:rPr>
      <w:rFonts w:asciiTheme="majorHAnsi" w:hAnsiTheme="majorHAnsi"/>
      <w:b/>
      <w:bCs/>
      <w:color w:val="548DD4"/>
      <w:sz w:val="24"/>
      <w:szCs w:val="24"/>
    </w:rPr>
  </w:style>
  <w:style w:type="paragraph" w:styleId="TOC3">
    <w:name w:val="toc 3"/>
    <w:basedOn w:val="Normal"/>
    <w:next w:val="Normal"/>
    <w:autoRedefine/>
    <w:uiPriority w:val="39"/>
    <w:unhideWhenUsed/>
    <w:qFormat/>
    <w:rsid w:val="00BD21CC"/>
    <w:pPr>
      <w:spacing w:after="0"/>
      <w:ind w:left="220"/>
    </w:pPr>
    <w:rPr>
      <w:rFonts w:asciiTheme="minorHAnsi" w:hAnsiTheme="minorHAnsi"/>
      <w:i/>
      <w:iCs/>
    </w:rPr>
  </w:style>
  <w:style w:type="character" w:styleId="Hyperlink">
    <w:name w:val="Hyperlink"/>
    <w:basedOn w:val="DefaultParagraphFont"/>
    <w:uiPriority w:val="99"/>
    <w:unhideWhenUsed/>
    <w:rsid w:val="00596E02"/>
    <w:rPr>
      <w:color w:val="0000FF" w:themeColor="hyperlink"/>
      <w:u w:val="single"/>
    </w:rPr>
  </w:style>
  <w:style w:type="paragraph" w:styleId="Caption">
    <w:name w:val="caption"/>
    <w:basedOn w:val="Normal"/>
    <w:next w:val="Normal"/>
    <w:uiPriority w:val="35"/>
    <w:unhideWhenUsed/>
    <w:qFormat/>
    <w:rsid w:val="00F60142"/>
    <w:pPr>
      <w:spacing w:line="240" w:lineRule="auto"/>
    </w:pPr>
    <w:rPr>
      <w:rFonts w:ascii="Arial" w:hAnsi="Arial"/>
      <w:bCs/>
      <w:color w:val="0074B4" w:themeColor="accent1"/>
      <w:sz w:val="20"/>
      <w:szCs w:val="18"/>
    </w:rPr>
  </w:style>
  <w:style w:type="paragraph" w:customStyle="1" w:styleId="Subsection">
    <w:name w:val="Subsection"/>
    <w:basedOn w:val="Heading2"/>
    <w:autoRedefine/>
    <w:qFormat/>
    <w:rsid w:val="00126F20"/>
    <w:pPr>
      <w:shd w:val="clear" w:color="auto" w:fill="919296"/>
      <w:spacing w:before="120"/>
    </w:pPr>
    <w:rPr>
      <w:b w:val="0"/>
      <w:sz w:val="40"/>
      <w:lang w:val="en-AU"/>
    </w:rPr>
  </w:style>
  <w:style w:type="character" w:customStyle="1" w:styleId="Heading2Char">
    <w:name w:val="Heading 2 Char"/>
    <w:basedOn w:val="DefaultParagraphFont"/>
    <w:link w:val="Heading2"/>
    <w:uiPriority w:val="9"/>
    <w:rsid w:val="00DD5983"/>
    <w:rPr>
      <w:b/>
      <w:sz w:val="28"/>
      <w:szCs w:val="28"/>
      <w:lang w:val="en-US"/>
    </w:rPr>
  </w:style>
  <w:style w:type="paragraph" w:customStyle="1" w:styleId="Style1">
    <w:name w:val="Style1"/>
    <w:basedOn w:val="Heading2"/>
    <w:link w:val="Style1Char"/>
    <w:rsid w:val="00B72045"/>
    <w:pPr>
      <w:shd w:val="clear" w:color="auto" w:fill="737373"/>
      <w:ind w:left="794" w:hanging="794"/>
    </w:pPr>
    <w:rPr>
      <w:b w:val="0"/>
    </w:rPr>
  </w:style>
  <w:style w:type="character" w:customStyle="1" w:styleId="Style1Char">
    <w:name w:val="Style1 Char"/>
    <w:basedOn w:val="Heading2Char"/>
    <w:link w:val="Style1"/>
    <w:rsid w:val="00B72045"/>
    <w:rPr>
      <w:b w:val="0"/>
      <w:color w:val="595959" w:themeColor="text1" w:themeTint="A6"/>
      <w:sz w:val="28"/>
      <w:szCs w:val="28"/>
      <w:shd w:val="clear" w:color="auto" w:fill="737373"/>
      <w:lang w:val="en-US"/>
    </w:rPr>
  </w:style>
  <w:style w:type="character" w:customStyle="1" w:styleId="Heading3Char">
    <w:name w:val="Heading 3 Char"/>
    <w:basedOn w:val="DefaultParagraphFont"/>
    <w:link w:val="Heading3"/>
    <w:uiPriority w:val="9"/>
    <w:rsid w:val="00556CB9"/>
    <w:rPr>
      <w:rFonts w:eastAsiaTheme="majorEastAsia" w:cstheme="majorBidi"/>
      <w:b/>
      <w:bCs/>
      <w:color w:val="7F7F7F" w:themeColor="text1" w:themeTint="80"/>
      <w:sz w:val="24"/>
    </w:rPr>
  </w:style>
  <w:style w:type="paragraph" w:styleId="TOC4">
    <w:name w:val="toc 4"/>
    <w:basedOn w:val="Normal"/>
    <w:next w:val="Normal"/>
    <w:autoRedefine/>
    <w:uiPriority w:val="39"/>
    <w:unhideWhenUsed/>
    <w:rsid w:val="00ED03E5"/>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D03E5"/>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D03E5"/>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D03E5"/>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D03E5"/>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D03E5"/>
    <w:pPr>
      <w:pBdr>
        <w:between w:val="double" w:sz="6" w:space="0" w:color="auto"/>
      </w:pBdr>
      <w:spacing w:after="0"/>
      <w:ind w:left="1540"/>
    </w:pPr>
    <w:rPr>
      <w:rFonts w:asciiTheme="minorHAnsi" w:hAnsiTheme="minorHAnsi"/>
      <w:sz w:val="20"/>
      <w:szCs w:val="20"/>
    </w:rPr>
  </w:style>
  <w:style w:type="paragraph" w:styleId="FootnoteText">
    <w:name w:val="footnote text"/>
    <w:basedOn w:val="Normal"/>
    <w:link w:val="FootnoteTextChar"/>
    <w:autoRedefine/>
    <w:uiPriority w:val="99"/>
    <w:unhideWhenUsed/>
    <w:qFormat/>
    <w:rsid w:val="00000B92"/>
    <w:pPr>
      <w:spacing w:before="120" w:after="0" w:line="240" w:lineRule="auto"/>
    </w:pPr>
    <w:rPr>
      <w:rFonts w:ascii="Arial" w:hAnsi="Arial"/>
      <w:sz w:val="18"/>
      <w:szCs w:val="24"/>
    </w:rPr>
  </w:style>
  <w:style w:type="character" w:customStyle="1" w:styleId="FootnoteTextChar">
    <w:name w:val="Footnote Text Char"/>
    <w:basedOn w:val="DefaultParagraphFont"/>
    <w:link w:val="FootnoteText"/>
    <w:uiPriority w:val="99"/>
    <w:rsid w:val="00000B92"/>
    <w:rPr>
      <w:rFonts w:ascii="Arial" w:hAnsi="Arial"/>
      <w:sz w:val="18"/>
      <w:szCs w:val="24"/>
    </w:rPr>
  </w:style>
  <w:style w:type="table" w:customStyle="1" w:styleId="Style2">
    <w:name w:val="Style2"/>
    <w:basedOn w:val="LightList-Accent1"/>
    <w:uiPriority w:val="99"/>
    <w:rsid w:val="00F60142"/>
    <w:rPr>
      <w:rFonts w:ascii="Arial" w:hAnsi="Arial"/>
      <w:sz w:val="20"/>
      <w:szCs w:val="20"/>
      <w:lang w:val="en-AU" w:eastAsia="en-AU"/>
    </w:rPr>
    <w:tblPr>
      <w:tblStyleRowBandSize w:val="1"/>
      <w:tblStyleColBandSize w:val="1"/>
      <w:tblInd w:w="0" w:type="dxa"/>
      <w:tblBorders>
        <w:top w:val="single" w:sz="8" w:space="0" w:color="0074B4" w:themeColor="accent1"/>
        <w:left w:val="single" w:sz="8" w:space="0" w:color="0074B4" w:themeColor="accent1"/>
        <w:bottom w:val="single" w:sz="8" w:space="0" w:color="0074B4" w:themeColor="accent1"/>
        <w:right w:val="single" w:sz="8" w:space="0" w:color="0074B4" w:themeColor="accent1"/>
      </w:tblBorders>
      <w:tblCellMar>
        <w:top w:w="0" w:type="dxa"/>
        <w:left w:w="108" w:type="dxa"/>
        <w:bottom w:w="0" w:type="dxa"/>
        <w:right w:w="108" w:type="dxa"/>
      </w:tblCellMar>
    </w:tblPr>
    <w:trPr>
      <w:cantSplit/>
    </w:trPr>
    <w:tblStylePr w:type="firstRow">
      <w:pPr>
        <w:spacing w:before="0" w:after="0" w:line="240" w:lineRule="auto"/>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0074B4" w:themeFill="accent1"/>
      </w:tcPr>
    </w:tblStylePr>
    <w:tblStylePr w:type="lastRow">
      <w:pPr>
        <w:spacing w:before="0" w:after="0" w:line="240" w:lineRule="auto"/>
      </w:pPr>
      <w:rPr>
        <w:b/>
        <w:bCs/>
      </w:rPr>
      <w:tblPr/>
      <w:tcPr>
        <w:tcBorders>
          <w:top w:val="double" w:sz="6" w:space="0" w:color="0074B4" w:themeColor="accent1"/>
          <w:left w:val="single" w:sz="8" w:space="0" w:color="0074B4" w:themeColor="accent1"/>
          <w:bottom w:val="single" w:sz="8" w:space="0" w:color="0074B4" w:themeColor="accent1"/>
          <w:right w:val="single" w:sz="8" w:space="0" w:color="0074B4" w:themeColor="accent1"/>
        </w:tcBorders>
      </w:tcPr>
    </w:tblStylePr>
    <w:tblStylePr w:type="firstCol">
      <w:rPr>
        <w:b w:val="0"/>
        <w:bCs/>
      </w:rPr>
    </w:tblStylePr>
    <w:tblStylePr w:type="lastCol">
      <w:rPr>
        <w:b/>
        <w:bCs/>
      </w:rPr>
    </w:tblStylePr>
    <w:tblStylePr w:type="band1Vert">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tblStylePr w:type="band1Horz">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style>
  <w:style w:type="table" w:styleId="LightList-Accent1">
    <w:name w:val="Light List Accent 1"/>
    <w:basedOn w:val="TableNormal"/>
    <w:uiPriority w:val="61"/>
    <w:rsid w:val="00F60142"/>
    <w:pPr>
      <w:spacing w:after="0" w:line="240" w:lineRule="auto"/>
    </w:pPr>
    <w:tblPr>
      <w:tblStyleRowBandSize w:val="1"/>
      <w:tblStyleColBandSize w:val="1"/>
      <w:tblInd w:w="0" w:type="dxa"/>
      <w:tblBorders>
        <w:top w:val="single" w:sz="8" w:space="0" w:color="0074B4" w:themeColor="accent1"/>
        <w:left w:val="single" w:sz="8" w:space="0" w:color="0074B4" w:themeColor="accent1"/>
        <w:bottom w:val="single" w:sz="8" w:space="0" w:color="0074B4" w:themeColor="accent1"/>
        <w:right w:val="single" w:sz="8" w:space="0" w:color="0074B4" w:themeColor="accent1"/>
      </w:tblBorders>
      <w:tblCellMar>
        <w:top w:w="0" w:type="dxa"/>
        <w:left w:w="108" w:type="dxa"/>
        <w:bottom w:w="0" w:type="dxa"/>
        <w:right w:w="108" w:type="dxa"/>
      </w:tblCellMar>
    </w:tblPr>
    <w:trPr>
      <w:cantSplit/>
    </w:trPr>
    <w:tblStylePr w:type="firstRow">
      <w:pPr>
        <w:spacing w:before="0" w:after="0" w:line="240" w:lineRule="auto"/>
      </w:pPr>
      <w:rPr>
        <w:b/>
        <w:bCs/>
        <w:color w:val="FFFFFF" w:themeColor="background1"/>
      </w:rPr>
      <w:tblPr/>
      <w:tcPr>
        <w:shd w:val="clear" w:color="auto" w:fill="0074B4" w:themeFill="accent1"/>
      </w:tcPr>
    </w:tblStylePr>
    <w:tblStylePr w:type="lastRow">
      <w:pPr>
        <w:spacing w:before="0" w:after="0" w:line="240" w:lineRule="auto"/>
      </w:pPr>
      <w:rPr>
        <w:b/>
        <w:bCs/>
      </w:rPr>
      <w:tblPr/>
      <w:tcPr>
        <w:tcBorders>
          <w:top w:val="double" w:sz="6" w:space="0" w:color="0074B4" w:themeColor="accent1"/>
          <w:left w:val="single" w:sz="8" w:space="0" w:color="0074B4" w:themeColor="accent1"/>
          <w:bottom w:val="single" w:sz="8" w:space="0" w:color="0074B4" w:themeColor="accent1"/>
          <w:right w:val="single" w:sz="8" w:space="0" w:color="0074B4" w:themeColor="accent1"/>
        </w:tcBorders>
      </w:tcPr>
    </w:tblStylePr>
    <w:tblStylePr w:type="firstCol">
      <w:rPr>
        <w:b/>
        <w:bCs/>
      </w:rPr>
    </w:tblStylePr>
    <w:tblStylePr w:type="lastCol">
      <w:rPr>
        <w:b/>
        <w:bCs/>
      </w:rPr>
    </w:tblStylePr>
    <w:tblStylePr w:type="band1Vert">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tblStylePr w:type="band1Horz">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style>
  <w:style w:type="table" w:customStyle="1" w:styleId="Style3">
    <w:name w:val="Style3"/>
    <w:basedOn w:val="LightList-Accent1"/>
    <w:uiPriority w:val="99"/>
    <w:rsid w:val="00F60142"/>
    <w:rPr>
      <w:rFonts w:ascii="Arial" w:hAnsi="Arial"/>
      <w:sz w:val="20"/>
    </w:rPr>
    <w:tblPr>
      <w:tblStyleRowBandSize w:val="1"/>
      <w:tblStyleColBandSize w:val="1"/>
      <w:tblInd w:w="0" w:type="dxa"/>
      <w:tblBorders>
        <w:top w:val="single" w:sz="8" w:space="0" w:color="0074B4" w:themeColor="accent1"/>
        <w:left w:val="single" w:sz="8" w:space="0" w:color="0074B4" w:themeColor="accent1"/>
        <w:bottom w:val="single" w:sz="8" w:space="0" w:color="0074B4" w:themeColor="accent1"/>
        <w:right w:val="single" w:sz="8" w:space="0" w:color="0074B4" w:themeColor="accent1"/>
      </w:tblBorders>
      <w:tblCellMar>
        <w:top w:w="0" w:type="dxa"/>
        <w:left w:w="108" w:type="dxa"/>
        <w:bottom w:w="0" w:type="dxa"/>
        <w:right w:w="108" w:type="dxa"/>
      </w:tblCellMar>
    </w:tblPr>
    <w:trPr>
      <w:cantSplit/>
    </w:trPr>
    <w:tcPr>
      <w:vAlign w:val="center"/>
    </w:tcPr>
    <w:tblStylePr w:type="firstRow">
      <w:pPr>
        <w:spacing w:before="0" w:after="0" w:line="240" w:lineRule="auto"/>
      </w:pPr>
      <w:rPr>
        <w:b/>
        <w:bCs/>
        <w:color w:val="FFFFFF" w:themeColor="background1"/>
      </w:rPr>
      <w:tblPr/>
      <w:tcPr>
        <w:shd w:val="clear" w:color="auto" w:fill="0074B4" w:themeFill="accent1"/>
      </w:tcPr>
    </w:tblStylePr>
    <w:tblStylePr w:type="lastRow">
      <w:pPr>
        <w:spacing w:before="0" w:after="0" w:line="240" w:lineRule="auto"/>
      </w:pPr>
      <w:rPr>
        <w:b/>
        <w:bCs/>
      </w:rPr>
      <w:tblPr/>
      <w:tcPr>
        <w:tcBorders>
          <w:top w:val="double" w:sz="6" w:space="0" w:color="0074B4" w:themeColor="accent1"/>
          <w:left w:val="single" w:sz="8" w:space="0" w:color="0074B4" w:themeColor="accent1"/>
          <w:bottom w:val="single" w:sz="8" w:space="0" w:color="0074B4" w:themeColor="accent1"/>
          <w:right w:val="single" w:sz="8" w:space="0" w:color="0074B4" w:themeColor="accent1"/>
        </w:tcBorders>
      </w:tcPr>
    </w:tblStylePr>
    <w:tblStylePr w:type="firstCol">
      <w:rPr>
        <w:b/>
        <w:bCs/>
      </w:rPr>
    </w:tblStylePr>
    <w:tblStylePr w:type="lastCol">
      <w:rPr>
        <w:b/>
        <w:bCs/>
      </w:rPr>
    </w:tblStylePr>
    <w:tblStylePr w:type="band1Vert">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tblStylePr w:type="band1Horz">
      <w:tblPr/>
      <w:tcPr>
        <w:tcBorders>
          <w:top w:val="single" w:sz="8" w:space="0" w:color="0074B4" w:themeColor="accent1"/>
          <w:left w:val="single" w:sz="8" w:space="0" w:color="0074B4" w:themeColor="accent1"/>
          <w:bottom w:val="single" w:sz="8" w:space="0" w:color="0074B4" w:themeColor="accent1"/>
          <w:right w:val="single" w:sz="8" w:space="0" w:color="0074B4" w:themeColor="accent1"/>
        </w:tcBorders>
      </w:tcPr>
    </w:tblStylePr>
  </w:style>
  <w:style w:type="character" w:customStyle="1" w:styleId="Equation">
    <w:name w:val="Equation"/>
    <w:basedOn w:val="DefaultParagraphFont"/>
    <w:uiPriority w:val="1"/>
    <w:qFormat/>
    <w:rsid w:val="00BB4119"/>
    <w:rPr>
      <w:rFonts w:ascii="Arial" w:hAnsi="Arial" w:cs="Arial"/>
      <w:sz w:val="20"/>
    </w:rPr>
  </w:style>
  <w:style w:type="paragraph" w:customStyle="1" w:styleId="Default">
    <w:name w:val="Default"/>
    <w:rsid w:val="00324BAF"/>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autoRedefine/>
    <w:uiPriority w:val="34"/>
    <w:qFormat/>
    <w:rsid w:val="00760AC2"/>
    <w:pPr>
      <w:numPr>
        <w:numId w:val="34"/>
      </w:numPr>
      <w:adjustRightInd w:val="0"/>
      <w:spacing w:after="120"/>
      <w:ind w:left="811" w:hanging="357"/>
    </w:pPr>
    <w:rPr>
      <w:rFonts w:ascii="Arial" w:hAnsi="Arial"/>
    </w:rPr>
  </w:style>
  <w:style w:type="character" w:customStyle="1" w:styleId="Heading4Char">
    <w:name w:val="Heading 4 Char"/>
    <w:basedOn w:val="DefaultParagraphFont"/>
    <w:link w:val="Heading4"/>
    <w:uiPriority w:val="9"/>
    <w:rsid w:val="002762FE"/>
    <w:rPr>
      <w:i/>
      <w:color w:val="134A86" w:themeColor="text2"/>
      <w:sz w:val="36"/>
    </w:rPr>
  </w:style>
  <w:style w:type="character" w:styleId="FootnoteReference">
    <w:name w:val="footnote reference"/>
    <w:basedOn w:val="DefaultParagraphFont"/>
    <w:uiPriority w:val="99"/>
    <w:unhideWhenUsed/>
    <w:rsid w:val="0087716E"/>
    <w:rPr>
      <w:vertAlign w:val="superscript"/>
    </w:rPr>
  </w:style>
  <w:style w:type="character" w:customStyle="1" w:styleId="Heading5Char">
    <w:name w:val="Heading 5 Char"/>
    <w:basedOn w:val="DefaultParagraphFont"/>
    <w:link w:val="Heading5"/>
    <w:uiPriority w:val="9"/>
    <w:rsid w:val="00786950"/>
    <w:rPr>
      <w:sz w:val="40"/>
      <w:szCs w:val="48"/>
      <w:lang w:val="en-AU"/>
    </w:rPr>
  </w:style>
  <w:style w:type="character" w:styleId="FollowedHyperlink">
    <w:name w:val="FollowedHyperlink"/>
    <w:basedOn w:val="DefaultParagraphFont"/>
    <w:uiPriority w:val="99"/>
    <w:semiHidden/>
    <w:unhideWhenUsed/>
    <w:rsid w:val="00786950"/>
    <w:rPr>
      <w:color w:val="800080" w:themeColor="followedHyperlink"/>
      <w:u w:val="single"/>
    </w:rPr>
  </w:style>
  <w:style w:type="table" w:customStyle="1" w:styleId="CADRreport">
    <w:name w:val="CADR report"/>
    <w:basedOn w:val="TableNormal"/>
    <w:uiPriority w:val="99"/>
    <w:rsid w:val="00785427"/>
    <w:pPr>
      <w:spacing w:after="0" w:line="240" w:lineRule="auto"/>
    </w:pPr>
    <w:rPr>
      <w:rFonts w:ascii="Arial" w:hAnsi="Arial"/>
      <w:sz w:val="20"/>
    </w:rPr>
    <w:tblPr>
      <w:tblInd w:w="0" w:type="dxa"/>
      <w:tblBorders>
        <w:bottom w:val="single" w:sz="2" w:space="0" w:color="0074B4" w:themeColor="accent1"/>
        <w:insideH w:val="single" w:sz="2" w:space="0" w:color="0074B4" w:themeColor="accent1"/>
      </w:tblBorders>
      <w:tblCellMar>
        <w:top w:w="0" w:type="dxa"/>
        <w:left w:w="108" w:type="dxa"/>
        <w:bottom w:w="0" w:type="dxa"/>
        <w:right w:w="108" w:type="dxa"/>
      </w:tblCellMar>
    </w:tblPr>
    <w:trPr>
      <w:cantSplit/>
    </w:trPr>
    <w:tcPr>
      <w:vAlign w:val="center"/>
    </w:tcPr>
    <w:tblStylePr w:type="firstRow">
      <w:rPr>
        <w:rFonts w:ascii="Arial" w:hAnsi="Arial"/>
        <w:color w:val="FFFFFF" w:themeColor="background1"/>
        <w:sz w:val="22"/>
      </w:rPr>
      <w:tblPr/>
      <w:tcPr>
        <w:shd w:val="clear" w:color="auto" w:fill="0074B4" w:themeFill="accent1"/>
      </w:tcPr>
    </w:tblStylePr>
    <w:tblStylePr w:type="lastRow">
      <w:rPr>
        <w:rFonts w:ascii="Arial" w:hAnsi="Arial"/>
        <w:b/>
        <w:sz w:val="20"/>
      </w:rPr>
    </w:tblStylePr>
  </w:style>
  <w:style w:type="character" w:styleId="CommentReference">
    <w:name w:val="annotation reference"/>
    <w:basedOn w:val="DefaultParagraphFont"/>
    <w:uiPriority w:val="99"/>
    <w:semiHidden/>
    <w:unhideWhenUsed/>
    <w:rsid w:val="00247BEB"/>
    <w:rPr>
      <w:sz w:val="18"/>
      <w:szCs w:val="18"/>
    </w:rPr>
  </w:style>
  <w:style w:type="paragraph" w:styleId="CommentText">
    <w:name w:val="annotation text"/>
    <w:basedOn w:val="Normal"/>
    <w:link w:val="CommentTextChar"/>
    <w:uiPriority w:val="99"/>
    <w:semiHidden/>
    <w:unhideWhenUsed/>
    <w:rsid w:val="00247BEB"/>
    <w:pPr>
      <w:spacing w:line="240" w:lineRule="auto"/>
    </w:pPr>
    <w:rPr>
      <w:sz w:val="24"/>
      <w:szCs w:val="24"/>
    </w:rPr>
  </w:style>
  <w:style w:type="character" w:customStyle="1" w:styleId="CommentTextChar">
    <w:name w:val="Comment Text Char"/>
    <w:basedOn w:val="DefaultParagraphFont"/>
    <w:link w:val="CommentText"/>
    <w:uiPriority w:val="99"/>
    <w:semiHidden/>
    <w:rsid w:val="00247BEB"/>
    <w:rPr>
      <w:sz w:val="24"/>
      <w:szCs w:val="24"/>
    </w:rPr>
  </w:style>
  <w:style w:type="paragraph" w:styleId="CommentSubject">
    <w:name w:val="annotation subject"/>
    <w:basedOn w:val="CommentText"/>
    <w:next w:val="CommentText"/>
    <w:link w:val="CommentSubjectChar"/>
    <w:uiPriority w:val="99"/>
    <w:semiHidden/>
    <w:unhideWhenUsed/>
    <w:rsid w:val="00247BEB"/>
    <w:rPr>
      <w:b/>
      <w:bCs/>
      <w:sz w:val="20"/>
      <w:szCs w:val="20"/>
    </w:rPr>
  </w:style>
  <w:style w:type="character" w:customStyle="1" w:styleId="CommentSubjectChar">
    <w:name w:val="Comment Subject Char"/>
    <w:basedOn w:val="CommentTextChar"/>
    <w:link w:val="CommentSubject"/>
    <w:uiPriority w:val="99"/>
    <w:semiHidden/>
    <w:rsid w:val="00247BEB"/>
    <w:rPr>
      <w:b/>
      <w:bCs/>
      <w:sz w:val="20"/>
      <w:szCs w:val="20"/>
    </w:rPr>
  </w:style>
  <w:style w:type="paragraph" w:styleId="BodyText">
    <w:name w:val="Body Text"/>
    <w:basedOn w:val="Normal"/>
    <w:link w:val="BodyTextChar0"/>
    <w:uiPriority w:val="99"/>
    <w:unhideWhenUsed/>
    <w:rsid w:val="00E61755"/>
    <w:rPr>
      <w:rFonts w:ascii="Arial" w:hAnsi="Arial" w:cs="Arial"/>
      <w:i/>
    </w:rPr>
  </w:style>
  <w:style w:type="character" w:customStyle="1" w:styleId="BodyTextChar0">
    <w:name w:val="Body Text Char"/>
    <w:basedOn w:val="DefaultParagraphFont"/>
    <w:link w:val="BodyText"/>
    <w:uiPriority w:val="99"/>
    <w:rsid w:val="00E61755"/>
    <w:rPr>
      <w:rFonts w:ascii="Arial" w:hAnsi="Arial" w:cs="Arial"/>
      <w:i/>
    </w:rPr>
  </w:style>
  <w:style w:type="paragraph" w:styleId="DocumentMap">
    <w:name w:val="Document Map"/>
    <w:basedOn w:val="Normal"/>
    <w:link w:val="DocumentMapChar"/>
    <w:uiPriority w:val="99"/>
    <w:semiHidden/>
    <w:unhideWhenUsed/>
    <w:rsid w:val="0051192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192F"/>
    <w:rPr>
      <w:rFonts w:ascii="Times New Roman" w:hAnsi="Times New Roman" w:cs="Times New Roman"/>
      <w:sz w:val="24"/>
      <w:szCs w:val="24"/>
    </w:rPr>
  </w:style>
  <w:style w:type="paragraph" w:styleId="Revision">
    <w:name w:val="Revision"/>
    <w:hidden/>
    <w:uiPriority w:val="99"/>
    <w:semiHidden/>
    <w:rsid w:val="00C85606"/>
    <w:pPr>
      <w:spacing w:after="0" w:line="240" w:lineRule="auto"/>
    </w:pPr>
  </w:style>
  <w:style w:type="paragraph" w:customStyle="1" w:styleId="BodyText-Table">
    <w:name w:val="Body Text-Table"/>
    <w:basedOn w:val="Normal"/>
    <w:qFormat/>
    <w:rsid w:val="000257DA"/>
    <w:pPr>
      <w:keepLines/>
      <w:spacing w:after="0" w:line="240" w:lineRule="auto"/>
      <w:contextualSpacing/>
    </w:pPr>
    <w:rPr>
      <w:rFonts w:ascii="Arial" w:hAnsi="Arial"/>
      <w:sz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509">
      <w:bodyDiv w:val="1"/>
      <w:marLeft w:val="0"/>
      <w:marRight w:val="0"/>
      <w:marTop w:val="0"/>
      <w:marBottom w:val="0"/>
      <w:divBdr>
        <w:top w:val="none" w:sz="0" w:space="0" w:color="auto"/>
        <w:left w:val="none" w:sz="0" w:space="0" w:color="auto"/>
        <w:bottom w:val="none" w:sz="0" w:space="0" w:color="auto"/>
        <w:right w:val="none" w:sz="0" w:space="0" w:color="auto"/>
      </w:divBdr>
    </w:div>
    <w:div w:id="25643348">
      <w:bodyDiv w:val="1"/>
      <w:marLeft w:val="0"/>
      <w:marRight w:val="0"/>
      <w:marTop w:val="0"/>
      <w:marBottom w:val="0"/>
      <w:divBdr>
        <w:top w:val="none" w:sz="0" w:space="0" w:color="auto"/>
        <w:left w:val="none" w:sz="0" w:space="0" w:color="auto"/>
        <w:bottom w:val="none" w:sz="0" w:space="0" w:color="auto"/>
        <w:right w:val="none" w:sz="0" w:space="0" w:color="auto"/>
      </w:divBdr>
    </w:div>
    <w:div w:id="28578573">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83579024">
      <w:bodyDiv w:val="1"/>
      <w:marLeft w:val="0"/>
      <w:marRight w:val="0"/>
      <w:marTop w:val="0"/>
      <w:marBottom w:val="0"/>
      <w:divBdr>
        <w:top w:val="none" w:sz="0" w:space="0" w:color="auto"/>
        <w:left w:val="none" w:sz="0" w:space="0" w:color="auto"/>
        <w:bottom w:val="none" w:sz="0" w:space="0" w:color="auto"/>
        <w:right w:val="none" w:sz="0" w:space="0" w:color="auto"/>
      </w:divBdr>
    </w:div>
    <w:div w:id="99030721">
      <w:bodyDiv w:val="1"/>
      <w:marLeft w:val="0"/>
      <w:marRight w:val="0"/>
      <w:marTop w:val="0"/>
      <w:marBottom w:val="0"/>
      <w:divBdr>
        <w:top w:val="none" w:sz="0" w:space="0" w:color="auto"/>
        <w:left w:val="none" w:sz="0" w:space="0" w:color="auto"/>
        <w:bottom w:val="none" w:sz="0" w:space="0" w:color="auto"/>
        <w:right w:val="none" w:sz="0" w:space="0" w:color="auto"/>
      </w:divBdr>
    </w:div>
    <w:div w:id="120925882">
      <w:bodyDiv w:val="1"/>
      <w:marLeft w:val="0"/>
      <w:marRight w:val="0"/>
      <w:marTop w:val="0"/>
      <w:marBottom w:val="0"/>
      <w:divBdr>
        <w:top w:val="none" w:sz="0" w:space="0" w:color="auto"/>
        <w:left w:val="none" w:sz="0" w:space="0" w:color="auto"/>
        <w:bottom w:val="none" w:sz="0" w:space="0" w:color="auto"/>
        <w:right w:val="none" w:sz="0" w:space="0" w:color="auto"/>
      </w:divBdr>
    </w:div>
    <w:div w:id="122699507">
      <w:bodyDiv w:val="1"/>
      <w:marLeft w:val="0"/>
      <w:marRight w:val="0"/>
      <w:marTop w:val="0"/>
      <w:marBottom w:val="0"/>
      <w:divBdr>
        <w:top w:val="none" w:sz="0" w:space="0" w:color="auto"/>
        <w:left w:val="none" w:sz="0" w:space="0" w:color="auto"/>
        <w:bottom w:val="none" w:sz="0" w:space="0" w:color="auto"/>
        <w:right w:val="none" w:sz="0" w:space="0" w:color="auto"/>
      </w:divBdr>
    </w:div>
    <w:div w:id="129566549">
      <w:bodyDiv w:val="1"/>
      <w:marLeft w:val="0"/>
      <w:marRight w:val="0"/>
      <w:marTop w:val="0"/>
      <w:marBottom w:val="0"/>
      <w:divBdr>
        <w:top w:val="none" w:sz="0" w:space="0" w:color="auto"/>
        <w:left w:val="none" w:sz="0" w:space="0" w:color="auto"/>
        <w:bottom w:val="none" w:sz="0" w:space="0" w:color="auto"/>
        <w:right w:val="none" w:sz="0" w:space="0" w:color="auto"/>
      </w:divBdr>
    </w:div>
    <w:div w:id="146553890">
      <w:bodyDiv w:val="1"/>
      <w:marLeft w:val="0"/>
      <w:marRight w:val="0"/>
      <w:marTop w:val="0"/>
      <w:marBottom w:val="0"/>
      <w:divBdr>
        <w:top w:val="none" w:sz="0" w:space="0" w:color="auto"/>
        <w:left w:val="none" w:sz="0" w:space="0" w:color="auto"/>
        <w:bottom w:val="none" w:sz="0" w:space="0" w:color="auto"/>
        <w:right w:val="none" w:sz="0" w:space="0" w:color="auto"/>
      </w:divBdr>
    </w:div>
    <w:div w:id="152111888">
      <w:bodyDiv w:val="1"/>
      <w:marLeft w:val="0"/>
      <w:marRight w:val="0"/>
      <w:marTop w:val="0"/>
      <w:marBottom w:val="0"/>
      <w:divBdr>
        <w:top w:val="none" w:sz="0" w:space="0" w:color="auto"/>
        <w:left w:val="none" w:sz="0" w:space="0" w:color="auto"/>
        <w:bottom w:val="none" w:sz="0" w:space="0" w:color="auto"/>
        <w:right w:val="none" w:sz="0" w:space="0" w:color="auto"/>
      </w:divBdr>
    </w:div>
    <w:div w:id="178854952">
      <w:bodyDiv w:val="1"/>
      <w:marLeft w:val="0"/>
      <w:marRight w:val="0"/>
      <w:marTop w:val="0"/>
      <w:marBottom w:val="0"/>
      <w:divBdr>
        <w:top w:val="none" w:sz="0" w:space="0" w:color="auto"/>
        <w:left w:val="none" w:sz="0" w:space="0" w:color="auto"/>
        <w:bottom w:val="none" w:sz="0" w:space="0" w:color="auto"/>
        <w:right w:val="none" w:sz="0" w:space="0" w:color="auto"/>
      </w:divBdr>
    </w:div>
    <w:div w:id="209462053">
      <w:bodyDiv w:val="1"/>
      <w:marLeft w:val="0"/>
      <w:marRight w:val="0"/>
      <w:marTop w:val="0"/>
      <w:marBottom w:val="0"/>
      <w:divBdr>
        <w:top w:val="none" w:sz="0" w:space="0" w:color="auto"/>
        <w:left w:val="none" w:sz="0" w:space="0" w:color="auto"/>
        <w:bottom w:val="none" w:sz="0" w:space="0" w:color="auto"/>
        <w:right w:val="none" w:sz="0" w:space="0" w:color="auto"/>
      </w:divBdr>
    </w:div>
    <w:div w:id="259946399">
      <w:bodyDiv w:val="1"/>
      <w:marLeft w:val="0"/>
      <w:marRight w:val="0"/>
      <w:marTop w:val="0"/>
      <w:marBottom w:val="0"/>
      <w:divBdr>
        <w:top w:val="none" w:sz="0" w:space="0" w:color="auto"/>
        <w:left w:val="none" w:sz="0" w:space="0" w:color="auto"/>
        <w:bottom w:val="none" w:sz="0" w:space="0" w:color="auto"/>
        <w:right w:val="none" w:sz="0" w:space="0" w:color="auto"/>
      </w:divBdr>
    </w:div>
    <w:div w:id="264503994">
      <w:bodyDiv w:val="1"/>
      <w:marLeft w:val="0"/>
      <w:marRight w:val="0"/>
      <w:marTop w:val="0"/>
      <w:marBottom w:val="0"/>
      <w:divBdr>
        <w:top w:val="none" w:sz="0" w:space="0" w:color="auto"/>
        <w:left w:val="none" w:sz="0" w:space="0" w:color="auto"/>
        <w:bottom w:val="none" w:sz="0" w:space="0" w:color="auto"/>
        <w:right w:val="none" w:sz="0" w:space="0" w:color="auto"/>
      </w:divBdr>
    </w:div>
    <w:div w:id="316031280">
      <w:bodyDiv w:val="1"/>
      <w:marLeft w:val="0"/>
      <w:marRight w:val="0"/>
      <w:marTop w:val="0"/>
      <w:marBottom w:val="0"/>
      <w:divBdr>
        <w:top w:val="none" w:sz="0" w:space="0" w:color="auto"/>
        <w:left w:val="none" w:sz="0" w:space="0" w:color="auto"/>
        <w:bottom w:val="none" w:sz="0" w:space="0" w:color="auto"/>
        <w:right w:val="none" w:sz="0" w:space="0" w:color="auto"/>
      </w:divBdr>
    </w:div>
    <w:div w:id="344675656">
      <w:bodyDiv w:val="1"/>
      <w:marLeft w:val="0"/>
      <w:marRight w:val="0"/>
      <w:marTop w:val="0"/>
      <w:marBottom w:val="0"/>
      <w:divBdr>
        <w:top w:val="none" w:sz="0" w:space="0" w:color="auto"/>
        <w:left w:val="none" w:sz="0" w:space="0" w:color="auto"/>
        <w:bottom w:val="none" w:sz="0" w:space="0" w:color="auto"/>
        <w:right w:val="none" w:sz="0" w:space="0" w:color="auto"/>
      </w:divBdr>
    </w:div>
    <w:div w:id="361635348">
      <w:bodyDiv w:val="1"/>
      <w:marLeft w:val="0"/>
      <w:marRight w:val="0"/>
      <w:marTop w:val="0"/>
      <w:marBottom w:val="0"/>
      <w:divBdr>
        <w:top w:val="none" w:sz="0" w:space="0" w:color="auto"/>
        <w:left w:val="none" w:sz="0" w:space="0" w:color="auto"/>
        <w:bottom w:val="none" w:sz="0" w:space="0" w:color="auto"/>
        <w:right w:val="none" w:sz="0" w:space="0" w:color="auto"/>
      </w:divBdr>
    </w:div>
    <w:div w:id="393743847">
      <w:bodyDiv w:val="1"/>
      <w:marLeft w:val="0"/>
      <w:marRight w:val="0"/>
      <w:marTop w:val="0"/>
      <w:marBottom w:val="0"/>
      <w:divBdr>
        <w:top w:val="none" w:sz="0" w:space="0" w:color="auto"/>
        <w:left w:val="none" w:sz="0" w:space="0" w:color="auto"/>
        <w:bottom w:val="none" w:sz="0" w:space="0" w:color="auto"/>
        <w:right w:val="none" w:sz="0" w:space="0" w:color="auto"/>
      </w:divBdr>
    </w:div>
    <w:div w:id="395589968">
      <w:bodyDiv w:val="1"/>
      <w:marLeft w:val="0"/>
      <w:marRight w:val="0"/>
      <w:marTop w:val="0"/>
      <w:marBottom w:val="0"/>
      <w:divBdr>
        <w:top w:val="none" w:sz="0" w:space="0" w:color="auto"/>
        <w:left w:val="none" w:sz="0" w:space="0" w:color="auto"/>
        <w:bottom w:val="none" w:sz="0" w:space="0" w:color="auto"/>
        <w:right w:val="none" w:sz="0" w:space="0" w:color="auto"/>
      </w:divBdr>
    </w:div>
    <w:div w:id="430395985">
      <w:bodyDiv w:val="1"/>
      <w:marLeft w:val="0"/>
      <w:marRight w:val="0"/>
      <w:marTop w:val="0"/>
      <w:marBottom w:val="0"/>
      <w:divBdr>
        <w:top w:val="none" w:sz="0" w:space="0" w:color="auto"/>
        <w:left w:val="none" w:sz="0" w:space="0" w:color="auto"/>
        <w:bottom w:val="none" w:sz="0" w:space="0" w:color="auto"/>
        <w:right w:val="none" w:sz="0" w:space="0" w:color="auto"/>
      </w:divBdr>
    </w:div>
    <w:div w:id="435558026">
      <w:bodyDiv w:val="1"/>
      <w:marLeft w:val="0"/>
      <w:marRight w:val="0"/>
      <w:marTop w:val="0"/>
      <w:marBottom w:val="0"/>
      <w:divBdr>
        <w:top w:val="none" w:sz="0" w:space="0" w:color="auto"/>
        <w:left w:val="none" w:sz="0" w:space="0" w:color="auto"/>
        <w:bottom w:val="none" w:sz="0" w:space="0" w:color="auto"/>
        <w:right w:val="none" w:sz="0" w:space="0" w:color="auto"/>
      </w:divBdr>
    </w:div>
    <w:div w:id="459613566">
      <w:bodyDiv w:val="1"/>
      <w:marLeft w:val="0"/>
      <w:marRight w:val="0"/>
      <w:marTop w:val="0"/>
      <w:marBottom w:val="0"/>
      <w:divBdr>
        <w:top w:val="none" w:sz="0" w:space="0" w:color="auto"/>
        <w:left w:val="none" w:sz="0" w:space="0" w:color="auto"/>
        <w:bottom w:val="none" w:sz="0" w:space="0" w:color="auto"/>
        <w:right w:val="none" w:sz="0" w:space="0" w:color="auto"/>
      </w:divBdr>
    </w:div>
    <w:div w:id="460346459">
      <w:bodyDiv w:val="1"/>
      <w:marLeft w:val="0"/>
      <w:marRight w:val="0"/>
      <w:marTop w:val="0"/>
      <w:marBottom w:val="0"/>
      <w:divBdr>
        <w:top w:val="none" w:sz="0" w:space="0" w:color="auto"/>
        <w:left w:val="none" w:sz="0" w:space="0" w:color="auto"/>
        <w:bottom w:val="none" w:sz="0" w:space="0" w:color="auto"/>
        <w:right w:val="none" w:sz="0" w:space="0" w:color="auto"/>
      </w:divBdr>
    </w:div>
    <w:div w:id="496380019">
      <w:bodyDiv w:val="1"/>
      <w:marLeft w:val="0"/>
      <w:marRight w:val="0"/>
      <w:marTop w:val="0"/>
      <w:marBottom w:val="0"/>
      <w:divBdr>
        <w:top w:val="none" w:sz="0" w:space="0" w:color="auto"/>
        <w:left w:val="none" w:sz="0" w:space="0" w:color="auto"/>
        <w:bottom w:val="none" w:sz="0" w:space="0" w:color="auto"/>
        <w:right w:val="none" w:sz="0" w:space="0" w:color="auto"/>
      </w:divBdr>
    </w:div>
    <w:div w:id="543516963">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48080189">
      <w:bodyDiv w:val="1"/>
      <w:marLeft w:val="0"/>
      <w:marRight w:val="0"/>
      <w:marTop w:val="0"/>
      <w:marBottom w:val="0"/>
      <w:divBdr>
        <w:top w:val="none" w:sz="0" w:space="0" w:color="auto"/>
        <w:left w:val="none" w:sz="0" w:space="0" w:color="auto"/>
        <w:bottom w:val="none" w:sz="0" w:space="0" w:color="auto"/>
        <w:right w:val="none" w:sz="0" w:space="0" w:color="auto"/>
      </w:divBdr>
    </w:div>
    <w:div w:id="630289665">
      <w:bodyDiv w:val="1"/>
      <w:marLeft w:val="0"/>
      <w:marRight w:val="0"/>
      <w:marTop w:val="0"/>
      <w:marBottom w:val="0"/>
      <w:divBdr>
        <w:top w:val="none" w:sz="0" w:space="0" w:color="auto"/>
        <w:left w:val="none" w:sz="0" w:space="0" w:color="auto"/>
        <w:bottom w:val="none" w:sz="0" w:space="0" w:color="auto"/>
        <w:right w:val="none" w:sz="0" w:space="0" w:color="auto"/>
      </w:divBdr>
    </w:div>
    <w:div w:id="650866578">
      <w:bodyDiv w:val="1"/>
      <w:marLeft w:val="0"/>
      <w:marRight w:val="0"/>
      <w:marTop w:val="0"/>
      <w:marBottom w:val="0"/>
      <w:divBdr>
        <w:top w:val="none" w:sz="0" w:space="0" w:color="auto"/>
        <w:left w:val="none" w:sz="0" w:space="0" w:color="auto"/>
        <w:bottom w:val="none" w:sz="0" w:space="0" w:color="auto"/>
        <w:right w:val="none" w:sz="0" w:space="0" w:color="auto"/>
      </w:divBdr>
    </w:div>
    <w:div w:id="661465133">
      <w:bodyDiv w:val="1"/>
      <w:marLeft w:val="0"/>
      <w:marRight w:val="0"/>
      <w:marTop w:val="0"/>
      <w:marBottom w:val="0"/>
      <w:divBdr>
        <w:top w:val="none" w:sz="0" w:space="0" w:color="auto"/>
        <w:left w:val="none" w:sz="0" w:space="0" w:color="auto"/>
        <w:bottom w:val="none" w:sz="0" w:space="0" w:color="auto"/>
        <w:right w:val="none" w:sz="0" w:space="0" w:color="auto"/>
      </w:divBdr>
    </w:div>
    <w:div w:id="756907357">
      <w:bodyDiv w:val="1"/>
      <w:marLeft w:val="0"/>
      <w:marRight w:val="0"/>
      <w:marTop w:val="0"/>
      <w:marBottom w:val="0"/>
      <w:divBdr>
        <w:top w:val="none" w:sz="0" w:space="0" w:color="auto"/>
        <w:left w:val="none" w:sz="0" w:space="0" w:color="auto"/>
        <w:bottom w:val="none" w:sz="0" w:space="0" w:color="auto"/>
        <w:right w:val="none" w:sz="0" w:space="0" w:color="auto"/>
      </w:divBdr>
    </w:div>
    <w:div w:id="761530204">
      <w:bodyDiv w:val="1"/>
      <w:marLeft w:val="0"/>
      <w:marRight w:val="0"/>
      <w:marTop w:val="0"/>
      <w:marBottom w:val="0"/>
      <w:divBdr>
        <w:top w:val="none" w:sz="0" w:space="0" w:color="auto"/>
        <w:left w:val="none" w:sz="0" w:space="0" w:color="auto"/>
        <w:bottom w:val="none" w:sz="0" w:space="0" w:color="auto"/>
        <w:right w:val="none" w:sz="0" w:space="0" w:color="auto"/>
      </w:divBdr>
    </w:div>
    <w:div w:id="786776287">
      <w:bodyDiv w:val="1"/>
      <w:marLeft w:val="0"/>
      <w:marRight w:val="0"/>
      <w:marTop w:val="0"/>
      <w:marBottom w:val="0"/>
      <w:divBdr>
        <w:top w:val="none" w:sz="0" w:space="0" w:color="auto"/>
        <w:left w:val="none" w:sz="0" w:space="0" w:color="auto"/>
        <w:bottom w:val="none" w:sz="0" w:space="0" w:color="auto"/>
        <w:right w:val="none" w:sz="0" w:space="0" w:color="auto"/>
      </w:divBdr>
    </w:div>
    <w:div w:id="803813670">
      <w:bodyDiv w:val="1"/>
      <w:marLeft w:val="0"/>
      <w:marRight w:val="0"/>
      <w:marTop w:val="0"/>
      <w:marBottom w:val="0"/>
      <w:divBdr>
        <w:top w:val="none" w:sz="0" w:space="0" w:color="auto"/>
        <w:left w:val="none" w:sz="0" w:space="0" w:color="auto"/>
        <w:bottom w:val="none" w:sz="0" w:space="0" w:color="auto"/>
        <w:right w:val="none" w:sz="0" w:space="0" w:color="auto"/>
      </w:divBdr>
    </w:div>
    <w:div w:id="828445483">
      <w:bodyDiv w:val="1"/>
      <w:marLeft w:val="0"/>
      <w:marRight w:val="0"/>
      <w:marTop w:val="0"/>
      <w:marBottom w:val="0"/>
      <w:divBdr>
        <w:top w:val="none" w:sz="0" w:space="0" w:color="auto"/>
        <w:left w:val="none" w:sz="0" w:space="0" w:color="auto"/>
        <w:bottom w:val="none" w:sz="0" w:space="0" w:color="auto"/>
        <w:right w:val="none" w:sz="0" w:space="0" w:color="auto"/>
      </w:divBdr>
    </w:div>
    <w:div w:id="835464101">
      <w:bodyDiv w:val="1"/>
      <w:marLeft w:val="0"/>
      <w:marRight w:val="0"/>
      <w:marTop w:val="0"/>
      <w:marBottom w:val="0"/>
      <w:divBdr>
        <w:top w:val="none" w:sz="0" w:space="0" w:color="auto"/>
        <w:left w:val="none" w:sz="0" w:space="0" w:color="auto"/>
        <w:bottom w:val="none" w:sz="0" w:space="0" w:color="auto"/>
        <w:right w:val="none" w:sz="0" w:space="0" w:color="auto"/>
      </w:divBdr>
    </w:div>
    <w:div w:id="849947869">
      <w:bodyDiv w:val="1"/>
      <w:marLeft w:val="0"/>
      <w:marRight w:val="0"/>
      <w:marTop w:val="0"/>
      <w:marBottom w:val="0"/>
      <w:divBdr>
        <w:top w:val="none" w:sz="0" w:space="0" w:color="auto"/>
        <w:left w:val="none" w:sz="0" w:space="0" w:color="auto"/>
        <w:bottom w:val="none" w:sz="0" w:space="0" w:color="auto"/>
        <w:right w:val="none" w:sz="0" w:space="0" w:color="auto"/>
      </w:divBdr>
    </w:div>
    <w:div w:id="925500177">
      <w:bodyDiv w:val="1"/>
      <w:marLeft w:val="0"/>
      <w:marRight w:val="0"/>
      <w:marTop w:val="0"/>
      <w:marBottom w:val="0"/>
      <w:divBdr>
        <w:top w:val="none" w:sz="0" w:space="0" w:color="auto"/>
        <w:left w:val="none" w:sz="0" w:space="0" w:color="auto"/>
        <w:bottom w:val="none" w:sz="0" w:space="0" w:color="auto"/>
        <w:right w:val="none" w:sz="0" w:space="0" w:color="auto"/>
      </w:divBdr>
    </w:div>
    <w:div w:id="947734289">
      <w:bodyDiv w:val="1"/>
      <w:marLeft w:val="0"/>
      <w:marRight w:val="0"/>
      <w:marTop w:val="0"/>
      <w:marBottom w:val="0"/>
      <w:divBdr>
        <w:top w:val="none" w:sz="0" w:space="0" w:color="auto"/>
        <w:left w:val="none" w:sz="0" w:space="0" w:color="auto"/>
        <w:bottom w:val="none" w:sz="0" w:space="0" w:color="auto"/>
        <w:right w:val="none" w:sz="0" w:space="0" w:color="auto"/>
      </w:divBdr>
    </w:div>
    <w:div w:id="974406594">
      <w:bodyDiv w:val="1"/>
      <w:marLeft w:val="0"/>
      <w:marRight w:val="0"/>
      <w:marTop w:val="0"/>
      <w:marBottom w:val="0"/>
      <w:divBdr>
        <w:top w:val="none" w:sz="0" w:space="0" w:color="auto"/>
        <w:left w:val="none" w:sz="0" w:space="0" w:color="auto"/>
        <w:bottom w:val="none" w:sz="0" w:space="0" w:color="auto"/>
        <w:right w:val="none" w:sz="0" w:space="0" w:color="auto"/>
      </w:divBdr>
    </w:div>
    <w:div w:id="1019308468">
      <w:bodyDiv w:val="1"/>
      <w:marLeft w:val="0"/>
      <w:marRight w:val="0"/>
      <w:marTop w:val="0"/>
      <w:marBottom w:val="0"/>
      <w:divBdr>
        <w:top w:val="none" w:sz="0" w:space="0" w:color="auto"/>
        <w:left w:val="none" w:sz="0" w:space="0" w:color="auto"/>
        <w:bottom w:val="none" w:sz="0" w:space="0" w:color="auto"/>
        <w:right w:val="none" w:sz="0" w:space="0" w:color="auto"/>
      </w:divBdr>
    </w:div>
    <w:div w:id="1057824228">
      <w:bodyDiv w:val="1"/>
      <w:marLeft w:val="0"/>
      <w:marRight w:val="0"/>
      <w:marTop w:val="0"/>
      <w:marBottom w:val="0"/>
      <w:divBdr>
        <w:top w:val="none" w:sz="0" w:space="0" w:color="auto"/>
        <w:left w:val="none" w:sz="0" w:space="0" w:color="auto"/>
        <w:bottom w:val="none" w:sz="0" w:space="0" w:color="auto"/>
        <w:right w:val="none" w:sz="0" w:space="0" w:color="auto"/>
      </w:divBdr>
    </w:div>
    <w:div w:id="1060207986">
      <w:bodyDiv w:val="1"/>
      <w:marLeft w:val="0"/>
      <w:marRight w:val="0"/>
      <w:marTop w:val="0"/>
      <w:marBottom w:val="0"/>
      <w:divBdr>
        <w:top w:val="none" w:sz="0" w:space="0" w:color="auto"/>
        <w:left w:val="none" w:sz="0" w:space="0" w:color="auto"/>
        <w:bottom w:val="none" w:sz="0" w:space="0" w:color="auto"/>
        <w:right w:val="none" w:sz="0" w:space="0" w:color="auto"/>
      </w:divBdr>
    </w:div>
    <w:div w:id="1177770489">
      <w:bodyDiv w:val="1"/>
      <w:marLeft w:val="0"/>
      <w:marRight w:val="0"/>
      <w:marTop w:val="0"/>
      <w:marBottom w:val="0"/>
      <w:divBdr>
        <w:top w:val="none" w:sz="0" w:space="0" w:color="auto"/>
        <w:left w:val="none" w:sz="0" w:space="0" w:color="auto"/>
        <w:bottom w:val="none" w:sz="0" w:space="0" w:color="auto"/>
        <w:right w:val="none" w:sz="0" w:space="0" w:color="auto"/>
      </w:divBdr>
    </w:div>
    <w:div w:id="1192113102">
      <w:bodyDiv w:val="1"/>
      <w:marLeft w:val="0"/>
      <w:marRight w:val="0"/>
      <w:marTop w:val="0"/>
      <w:marBottom w:val="0"/>
      <w:divBdr>
        <w:top w:val="none" w:sz="0" w:space="0" w:color="auto"/>
        <w:left w:val="none" w:sz="0" w:space="0" w:color="auto"/>
        <w:bottom w:val="none" w:sz="0" w:space="0" w:color="auto"/>
        <w:right w:val="none" w:sz="0" w:space="0" w:color="auto"/>
      </w:divBdr>
    </w:div>
    <w:div w:id="1223366733">
      <w:bodyDiv w:val="1"/>
      <w:marLeft w:val="0"/>
      <w:marRight w:val="0"/>
      <w:marTop w:val="0"/>
      <w:marBottom w:val="0"/>
      <w:divBdr>
        <w:top w:val="none" w:sz="0" w:space="0" w:color="auto"/>
        <w:left w:val="none" w:sz="0" w:space="0" w:color="auto"/>
        <w:bottom w:val="none" w:sz="0" w:space="0" w:color="auto"/>
        <w:right w:val="none" w:sz="0" w:space="0" w:color="auto"/>
      </w:divBdr>
    </w:div>
    <w:div w:id="1229343259">
      <w:bodyDiv w:val="1"/>
      <w:marLeft w:val="0"/>
      <w:marRight w:val="0"/>
      <w:marTop w:val="0"/>
      <w:marBottom w:val="0"/>
      <w:divBdr>
        <w:top w:val="none" w:sz="0" w:space="0" w:color="auto"/>
        <w:left w:val="none" w:sz="0" w:space="0" w:color="auto"/>
        <w:bottom w:val="none" w:sz="0" w:space="0" w:color="auto"/>
        <w:right w:val="none" w:sz="0" w:space="0" w:color="auto"/>
      </w:divBdr>
    </w:div>
    <w:div w:id="1238904188">
      <w:bodyDiv w:val="1"/>
      <w:marLeft w:val="0"/>
      <w:marRight w:val="0"/>
      <w:marTop w:val="0"/>
      <w:marBottom w:val="0"/>
      <w:divBdr>
        <w:top w:val="none" w:sz="0" w:space="0" w:color="auto"/>
        <w:left w:val="none" w:sz="0" w:space="0" w:color="auto"/>
        <w:bottom w:val="none" w:sz="0" w:space="0" w:color="auto"/>
        <w:right w:val="none" w:sz="0" w:space="0" w:color="auto"/>
      </w:divBdr>
    </w:div>
    <w:div w:id="1310358185">
      <w:bodyDiv w:val="1"/>
      <w:marLeft w:val="0"/>
      <w:marRight w:val="0"/>
      <w:marTop w:val="0"/>
      <w:marBottom w:val="0"/>
      <w:divBdr>
        <w:top w:val="none" w:sz="0" w:space="0" w:color="auto"/>
        <w:left w:val="none" w:sz="0" w:space="0" w:color="auto"/>
        <w:bottom w:val="none" w:sz="0" w:space="0" w:color="auto"/>
        <w:right w:val="none" w:sz="0" w:space="0" w:color="auto"/>
      </w:divBdr>
    </w:div>
    <w:div w:id="1368607265">
      <w:bodyDiv w:val="1"/>
      <w:marLeft w:val="0"/>
      <w:marRight w:val="0"/>
      <w:marTop w:val="0"/>
      <w:marBottom w:val="0"/>
      <w:divBdr>
        <w:top w:val="none" w:sz="0" w:space="0" w:color="auto"/>
        <w:left w:val="none" w:sz="0" w:space="0" w:color="auto"/>
        <w:bottom w:val="none" w:sz="0" w:space="0" w:color="auto"/>
        <w:right w:val="none" w:sz="0" w:space="0" w:color="auto"/>
      </w:divBdr>
    </w:div>
    <w:div w:id="1395737526">
      <w:bodyDiv w:val="1"/>
      <w:marLeft w:val="0"/>
      <w:marRight w:val="0"/>
      <w:marTop w:val="0"/>
      <w:marBottom w:val="0"/>
      <w:divBdr>
        <w:top w:val="none" w:sz="0" w:space="0" w:color="auto"/>
        <w:left w:val="none" w:sz="0" w:space="0" w:color="auto"/>
        <w:bottom w:val="none" w:sz="0" w:space="0" w:color="auto"/>
        <w:right w:val="none" w:sz="0" w:space="0" w:color="auto"/>
      </w:divBdr>
    </w:div>
    <w:div w:id="1460687174">
      <w:bodyDiv w:val="1"/>
      <w:marLeft w:val="0"/>
      <w:marRight w:val="0"/>
      <w:marTop w:val="0"/>
      <w:marBottom w:val="0"/>
      <w:divBdr>
        <w:top w:val="none" w:sz="0" w:space="0" w:color="auto"/>
        <w:left w:val="none" w:sz="0" w:space="0" w:color="auto"/>
        <w:bottom w:val="none" w:sz="0" w:space="0" w:color="auto"/>
        <w:right w:val="none" w:sz="0" w:space="0" w:color="auto"/>
      </w:divBdr>
    </w:div>
    <w:div w:id="1465270343">
      <w:bodyDiv w:val="1"/>
      <w:marLeft w:val="0"/>
      <w:marRight w:val="0"/>
      <w:marTop w:val="0"/>
      <w:marBottom w:val="0"/>
      <w:divBdr>
        <w:top w:val="none" w:sz="0" w:space="0" w:color="auto"/>
        <w:left w:val="none" w:sz="0" w:space="0" w:color="auto"/>
        <w:bottom w:val="none" w:sz="0" w:space="0" w:color="auto"/>
        <w:right w:val="none" w:sz="0" w:space="0" w:color="auto"/>
      </w:divBdr>
    </w:div>
    <w:div w:id="1466850479">
      <w:bodyDiv w:val="1"/>
      <w:marLeft w:val="0"/>
      <w:marRight w:val="0"/>
      <w:marTop w:val="0"/>
      <w:marBottom w:val="0"/>
      <w:divBdr>
        <w:top w:val="none" w:sz="0" w:space="0" w:color="auto"/>
        <w:left w:val="none" w:sz="0" w:space="0" w:color="auto"/>
        <w:bottom w:val="none" w:sz="0" w:space="0" w:color="auto"/>
        <w:right w:val="none" w:sz="0" w:space="0" w:color="auto"/>
      </w:divBdr>
    </w:div>
    <w:div w:id="1551333834">
      <w:bodyDiv w:val="1"/>
      <w:marLeft w:val="0"/>
      <w:marRight w:val="0"/>
      <w:marTop w:val="0"/>
      <w:marBottom w:val="0"/>
      <w:divBdr>
        <w:top w:val="none" w:sz="0" w:space="0" w:color="auto"/>
        <w:left w:val="none" w:sz="0" w:space="0" w:color="auto"/>
        <w:bottom w:val="none" w:sz="0" w:space="0" w:color="auto"/>
        <w:right w:val="none" w:sz="0" w:space="0" w:color="auto"/>
      </w:divBdr>
    </w:div>
    <w:div w:id="1571691241">
      <w:bodyDiv w:val="1"/>
      <w:marLeft w:val="0"/>
      <w:marRight w:val="0"/>
      <w:marTop w:val="0"/>
      <w:marBottom w:val="0"/>
      <w:divBdr>
        <w:top w:val="none" w:sz="0" w:space="0" w:color="auto"/>
        <w:left w:val="none" w:sz="0" w:space="0" w:color="auto"/>
        <w:bottom w:val="none" w:sz="0" w:space="0" w:color="auto"/>
        <w:right w:val="none" w:sz="0" w:space="0" w:color="auto"/>
      </w:divBdr>
    </w:div>
    <w:div w:id="1579099108">
      <w:bodyDiv w:val="1"/>
      <w:marLeft w:val="0"/>
      <w:marRight w:val="0"/>
      <w:marTop w:val="0"/>
      <w:marBottom w:val="0"/>
      <w:divBdr>
        <w:top w:val="none" w:sz="0" w:space="0" w:color="auto"/>
        <w:left w:val="none" w:sz="0" w:space="0" w:color="auto"/>
        <w:bottom w:val="none" w:sz="0" w:space="0" w:color="auto"/>
        <w:right w:val="none" w:sz="0" w:space="0" w:color="auto"/>
      </w:divBdr>
    </w:div>
    <w:div w:id="1640568642">
      <w:bodyDiv w:val="1"/>
      <w:marLeft w:val="0"/>
      <w:marRight w:val="0"/>
      <w:marTop w:val="0"/>
      <w:marBottom w:val="0"/>
      <w:divBdr>
        <w:top w:val="none" w:sz="0" w:space="0" w:color="auto"/>
        <w:left w:val="none" w:sz="0" w:space="0" w:color="auto"/>
        <w:bottom w:val="none" w:sz="0" w:space="0" w:color="auto"/>
        <w:right w:val="none" w:sz="0" w:space="0" w:color="auto"/>
      </w:divBdr>
    </w:div>
    <w:div w:id="1657875916">
      <w:bodyDiv w:val="1"/>
      <w:marLeft w:val="0"/>
      <w:marRight w:val="0"/>
      <w:marTop w:val="0"/>
      <w:marBottom w:val="0"/>
      <w:divBdr>
        <w:top w:val="none" w:sz="0" w:space="0" w:color="auto"/>
        <w:left w:val="none" w:sz="0" w:space="0" w:color="auto"/>
        <w:bottom w:val="none" w:sz="0" w:space="0" w:color="auto"/>
        <w:right w:val="none" w:sz="0" w:space="0" w:color="auto"/>
      </w:divBdr>
    </w:div>
    <w:div w:id="1745102621">
      <w:bodyDiv w:val="1"/>
      <w:marLeft w:val="0"/>
      <w:marRight w:val="0"/>
      <w:marTop w:val="0"/>
      <w:marBottom w:val="0"/>
      <w:divBdr>
        <w:top w:val="none" w:sz="0" w:space="0" w:color="auto"/>
        <w:left w:val="none" w:sz="0" w:space="0" w:color="auto"/>
        <w:bottom w:val="none" w:sz="0" w:space="0" w:color="auto"/>
        <w:right w:val="none" w:sz="0" w:space="0" w:color="auto"/>
      </w:divBdr>
    </w:div>
    <w:div w:id="1775783846">
      <w:bodyDiv w:val="1"/>
      <w:marLeft w:val="0"/>
      <w:marRight w:val="0"/>
      <w:marTop w:val="0"/>
      <w:marBottom w:val="0"/>
      <w:divBdr>
        <w:top w:val="none" w:sz="0" w:space="0" w:color="auto"/>
        <w:left w:val="none" w:sz="0" w:space="0" w:color="auto"/>
        <w:bottom w:val="none" w:sz="0" w:space="0" w:color="auto"/>
        <w:right w:val="none" w:sz="0" w:space="0" w:color="auto"/>
      </w:divBdr>
    </w:div>
    <w:div w:id="1910921587">
      <w:bodyDiv w:val="1"/>
      <w:marLeft w:val="0"/>
      <w:marRight w:val="0"/>
      <w:marTop w:val="0"/>
      <w:marBottom w:val="0"/>
      <w:divBdr>
        <w:top w:val="none" w:sz="0" w:space="0" w:color="auto"/>
        <w:left w:val="none" w:sz="0" w:space="0" w:color="auto"/>
        <w:bottom w:val="none" w:sz="0" w:space="0" w:color="auto"/>
        <w:right w:val="none" w:sz="0" w:space="0" w:color="auto"/>
      </w:divBdr>
    </w:div>
    <w:div w:id="1940599818">
      <w:bodyDiv w:val="1"/>
      <w:marLeft w:val="0"/>
      <w:marRight w:val="0"/>
      <w:marTop w:val="0"/>
      <w:marBottom w:val="0"/>
      <w:divBdr>
        <w:top w:val="none" w:sz="0" w:space="0" w:color="auto"/>
        <w:left w:val="none" w:sz="0" w:space="0" w:color="auto"/>
        <w:bottom w:val="none" w:sz="0" w:space="0" w:color="auto"/>
        <w:right w:val="none" w:sz="0" w:space="0" w:color="auto"/>
      </w:divBdr>
    </w:div>
    <w:div w:id="1954509907">
      <w:bodyDiv w:val="1"/>
      <w:marLeft w:val="0"/>
      <w:marRight w:val="0"/>
      <w:marTop w:val="0"/>
      <w:marBottom w:val="0"/>
      <w:divBdr>
        <w:top w:val="none" w:sz="0" w:space="0" w:color="auto"/>
        <w:left w:val="none" w:sz="0" w:space="0" w:color="auto"/>
        <w:bottom w:val="none" w:sz="0" w:space="0" w:color="auto"/>
        <w:right w:val="none" w:sz="0" w:space="0" w:color="auto"/>
      </w:divBdr>
    </w:div>
    <w:div w:id="2035182149">
      <w:bodyDiv w:val="1"/>
      <w:marLeft w:val="0"/>
      <w:marRight w:val="0"/>
      <w:marTop w:val="0"/>
      <w:marBottom w:val="0"/>
      <w:divBdr>
        <w:top w:val="none" w:sz="0" w:space="0" w:color="auto"/>
        <w:left w:val="none" w:sz="0" w:space="0" w:color="auto"/>
        <w:bottom w:val="none" w:sz="0" w:space="0" w:color="auto"/>
        <w:right w:val="none" w:sz="0" w:space="0" w:color="auto"/>
      </w:divBdr>
    </w:div>
    <w:div w:id="2036732486">
      <w:bodyDiv w:val="1"/>
      <w:marLeft w:val="0"/>
      <w:marRight w:val="0"/>
      <w:marTop w:val="0"/>
      <w:marBottom w:val="0"/>
      <w:divBdr>
        <w:top w:val="none" w:sz="0" w:space="0" w:color="auto"/>
        <w:left w:val="none" w:sz="0" w:space="0" w:color="auto"/>
        <w:bottom w:val="none" w:sz="0" w:space="0" w:color="auto"/>
        <w:right w:val="none" w:sz="0" w:space="0" w:color="auto"/>
      </w:divBdr>
    </w:div>
    <w:div w:id="2077782376">
      <w:bodyDiv w:val="1"/>
      <w:marLeft w:val="0"/>
      <w:marRight w:val="0"/>
      <w:marTop w:val="0"/>
      <w:marBottom w:val="0"/>
      <w:divBdr>
        <w:top w:val="none" w:sz="0" w:space="0" w:color="auto"/>
        <w:left w:val="none" w:sz="0" w:space="0" w:color="auto"/>
        <w:bottom w:val="none" w:sz="0" w:space="0" w:color="auto"/>
        <w:right w:val="none" w:sz="0" w:space="0" w:color="auto"/>
      </w:divBdr>
    </w:div>
    <w:div w:id="2112124299">
      <w:bodyDiv w:val="1"/>
      <w:marLeft w:val="0"/>
      <w:marRight w:val="0"/>
      <w:marTop w:val="0"/>
      <w:marBottom w:val="0"/>
      <w:divBdr>
        <w:top w:val="none" w:sz="0" w:space="0" w:color="auto"/>
        <w:left w:val="none" w:sz="0" w:space="0" w:color="auto"/>
        <w:bottom w:val="none" w:sz="0" w:space="0" w:color="auto"/>
        <w:right w:val="none" w:sz="0" w:space="0" w:color="auto"/>
      </w:divBdr>
    </w:div>
    <w:div w:id="2114470988">
      <w:bodyDiv w:val="1"/>
      <w:marLeft w:val="0"/>
      <w:marRight w:val="0"/>
      <w:marTop w:val="0"/>
      <w:marBottom w:val="0"/>
      <w:divBdr>
        <w:top w:val="none" w:sz="0" w:space="0" w:color="auto"/>
        <w:left w:val="none" w:sz="0" w:space="0" w:color="auto"/>
        <w:bottom w:val="none" w:sz="0" w:space="0" w:color="auto"/>
        <w:right w:val="none" w:sz="0" w:space="0" w:color="auto"/>
      </w:divBdr>
    </w:div>
    <w:div w:id="21298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avid.Gilchrist@u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ordon.Duff@nds.org.a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20Ashby\Dropbox\Curtin%20Projects\_Admin\Report%20and%20letter%20Templates\NFPI%20Report%20templates\140614%20Curtin%20Report%20Template%20Portrait%20Rev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xter Lawley">
  <a:themeElements>
    <a:clrScheme name="BaxterLawley theme colours">
      <a:dk1>
        <a:sysClr val="windowText" lastClr="000000"/>
      </a:dk1>
      <a:lt1>
        <a:sysClr val="window" lastClr="FFFFFF"/>
      </a:lt1>
      <a:dk2>
        <a:srgbClr val="134A86"/>
      </a:dk2>
      <a:lt2>
        <a:srgbClr val="EEECE1"/>
      </a:lt2>
      <a:accent1>
        <a:srgbClr val="0074B4"/>
      </a:accent1>
      <a:accent2>
        <a:srgbClr val="C0504D"/>
      </a:accent2>
      <a:accent3>
        <a:srgbClr val="9BBB59"/>
      </a:accent3>
      <a:accent4>
        <a:srgbClr val="F79646"/>
      </a:accent4>
      <a:accent5>
        <a:srgbClr val="8064A2"/>
      </a:accent5>
      <a:accent6>
        <a:srgbClr val="DBE5F1"/>
      </a:accent6>
      <a:hlink>
        <a:srgbClr val="0000FF"/>
      </a:hlink>
      <a:folHlink>
        <a:srgbClr val="800080"/>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extLst>
    <a:ext uri="{05A4C25C-085E-4340-85A3-A5531E510DB2}">
      <thm15:themeFamily xmlns:thm15="http://schemas.microsoft.com/office/thememl/2012/main" name="BL colour theme" id="{DF171938-36C0-4FDB-8DDE-1815BF7A1CDD}" vid="{9AA66C5C-CB27-4D6C-A7C3-68A6054916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C511-D1FD-4E7E-A913-F1A19C6C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140614 Curtin Report Template Portrait Rev2.dotx</Template>
  <TotalTime>1</TotalTime>
  <Pages>11</Pages>
  <Words>2989</Words>
  <Characters>17040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Australia’s Disability Services Sector 2017 - Report 2</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Disability Services Sector 2017 - Report 2</dc:title>
  <dc:subject>Report 2 – Financial Performance  -       Summary of Key Findings</dc:subject>
  <dc:creator>Liam Ashby;Luke Ren</dc:creator>
  <cp:lastModifiedBy>Indre McGlinn</cp:lastModifiedBy>
  <cp:revision>2</cp:revision>
  <cp:lastPrinted>2017-07-31T04:50:00Z</cp:lastPrinted>
  <dcterms:created xsi:type="dcterms:W3CDTF">2017-09-11T00:56:00Z</dcterms:created>
  <dcterms:modified xsi:type="dcterms:W3CDTF">2017-09-11T00:56:00Z</dcterms:modified>
</cp:coreProperties>
</file>