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1C9" w:rsidRPr="00CE1879" w:rsidRDefault="003E51C9" w:rsidP="0072500F">
      <w:pPr>
        <w:pStyle w:val="Title"/>
        <w:spacing w:line="360" w:lineRule="auto"/>
        <w:rPr>
          <w:rFonts w:ascii="Arial" w:hAnsi="Arial" w:cs="Arial"/>
          <w:sz w:val="24"/>
          <w:szCs w:val="24"/>
        </w:rPr>
      </w:pPr>
      <w:bookmarkStart w:id="0" w:name="_Toc261862734"/>
      <w:bookmarkStart w:id="1" w:name="_GoBack"/>
      <w:bookmarkEnd w:id="1"/>
    </w:p>
    <w:p w:rsidR="002B0549" w:rsidRPr="00CE1879" w:rsidRDefault="001A3636" w:rsidP="0072500F">
      <w:pPr>
        <w:pStyle w:val="Heading1"/>
        <w:spacing w:line="360" w:lineRule="auto"/>
        <w:rPr>
          <w:sz w:val="44"/>
          <w:szCs w:val="44"/>
          <w:lang w:val="en-AU"/>
        </w:rPr>
      </w:pPr>
      <w:r w:rsidRPr="00CE1879">
        <w:rPr>
          <w:sz w:val="44"/>
          <w:szCs w:val="44"/>
          <w:lang w:val="en-AU"/>
        </w:rPr>
        <w:t>Engaging the Workforce for Disability</w:t>
      </w:r>
    </w:p>
    <w:p w:rsidR="001A3636" w:rsidRPr="00CE1879" w:rsidRDefault="001A3636" w:rsidP="0072500F">
      <w:pPr>
        <w:pStyle w:val="Heading1"/>
        <w:spacing w:line="360" w:lineRule="auto"/>
        <w:rPr>
          <w:sz w:val="44"/>
          <w:szCs w:val="44"/>
          <w:lang w:val="en-AU"/>
        </w:rPr>
      </w:pPr>
      <w:r w:rsidRPr="00CE1879">
        <w:rPr>
          <w:rFonts w:cs="Arial"/>
          <w:b/>
          <w:sz w:val="24"/>
          <w:szCs w:val="24"/>
          <w:lang w:val="en-AU"/>
        </w:rPr>
        <w:t>Executive Summary</w:t>
      </w:r>
    </w:p>
    <w:p w:rsidR="001A3636" w:rsidRPr="00CE1879" w:rsidRDefault="001A3636" w:rsidP="00F00E67">
      <w:pPr>
        <w:spacing w:line="360" w:lineRule="auto"/>
        <w:rPr>
          <w:rFonts w:ascii="Arial" w:hAnsi="Arial" w:cs="Arial"/>
        </w:rPr>
      </w:pPr>
    </w:p>
    <w:p w:rsidR="00AC1B19" w:rsidRPr="00CE1879" w:rsidRDefault="00AC1B19" w:rsidP="00F00E67">
      <w:pPr>
        <w:spacing w:line="360" w:lineRule="auto"/>
        <w:rPr>
          <w:rFonts w:ascii="Arial" w:hAnsi="Arial" w:cs="Arial"/>
          <w:noProof w:val="0"/>
          <w:lang w:eastAsia="en-AU"/>
        </w:rPr>
      </w:pPr>
      <w:r w:rsidRPr="00CE1879">
        <w:rPr>
          <w:rFonts w:ascii="Arial" w:hAnsi="Arial" w:cs="Arial"/>
          <w:noProof w:val="0"/>
          <w:lang w:eastAsia="en-AU"/>
        </w:rPr>
        <w:t>‘Employer of Choice’, and related terms such as ‘Sector of Choice’</w:t>
      </w:r>
      <w:r w:rsidR="00206E52" w:rsidRPr="00CE1879">
        <w:rPr>
          <w:rFonts w:ascii="Arial" w:hAnsi="Arial" w:cs="Arial"/>
          <w:noProof w:val="0"/>
          <w:lang w:eastAsia="en-AU"/>
        </w:rPr>
        <w:t>,</w:t>
      </w:r>
      <w:r w:rsidRPr="00CE1879">
        <w:rPr>
          <w:rFonts w:ascii="Arial" w:hAnsi="Arial" w:cs="Arial"/>
          <w:noProof w:val="0"/>
          <w:lang w:eastAsia="en-AU"/>
        </w:rPr>
        <w:t xml:space="preserve"> have appeared with increasing frequency in the literature and discourse about workforce development in human services</w:t>
      </w:r>
      <w:r w:rsidR="00D93937" w:rsidRPr="00CE1879">
        <w:rPr>
          <w:rFonts w:ascii="Arial" w:hAnsi="Arial" w:cs="Arial"/>
          <w:noProof w:val="0"/>
          <w:lang w:eastAsia="en-AU"/>
        </w:rPr>
        <w:t>, including the workforce for disability</w:t>
      </w:r>
      <w:r w:rsidR="00D93937" w:rsidRPr="00CE1879">
        <w:rPr>
          <w:rStyle w:val="FootnoteReference"/>
          <w:rFonts w:ascii="Arial" w:hAnsi="Arial" w:cs="Arial"/>
          <w:noProof w:val="0"/>
          <w:lang w:eastAsia="en-AU"/>
        </w:rPr>
        <w:footnoteReference w:id="1"/>
      </w:r>
      <w:r w:rsidRPr="00CE1879">
        <w:rPr>
          <w:rFonts w:ascii="Arial" w:hAnsi="Arial" w:cs="Arial"/>
          <w:noProof w:val="0"/>
          <w:lang w:eastAsia="en-AU"/>
        </w:rPr>
        <w:t xml:space="preserve">. Workforce development is critical to the success of reforms impacting on the disability sector. With the demand and competition to employ a skilled and responsive workforce within the disability services sector intensifying, many organisations are seeking to identify how they can be recognised as an ‘Employer of Choice’.  Better definition and description </w:t>
      </w:r>
      <w:r w:rsidR="00CB08A6" w:rsidRPr="00CE1879">
        <w:rPr>
          <w:rFonts w:ascii="Arial" w:hAnsi="Arial" w:cs="Arial"/>
          <w:noProof w:val="0"/>
          <w:lang w:eastAsia="en-AU"/>
        </w:rPr>
        <w:t xml:space="preserve">of these terms </w:t>
      </w:r>
      <w:r w:rsidRPr="00CE1879">
        <w:rPr>
          <w:rFonts w:ascii="Arial" w:hAnsi="Arial" w:cs="Arial"/>
          <w:noProof w:val="0"/>
          <w:lang w:eastAsia="en-AU"/>
        </w:rPr>
        <w:t xml:space="preserve">would particularly assist thinking and planning by workforce development agents (government, employers and consumers/participants) about the priorities for workforce and sector development investment that properly supports employers to develop ‘employer/sector of choice’ attributes or capabilities.  </w:t>
      </w:r>
    </w:p>
    <w:p w:rsidR="00AC1B19" w:rsidRPr="00CE1879" w:rsidRDefault="00AC1B19" w:rsidP="00F00E67">
      <w:pPr>
        <w:spacing w:line="360" w:lineRule="auto"/>
        <w:rPr>
          <w:rFonts w:ascii="Arial" w:hAnsi="Arial" w:cs="Arial"/>
          <w:noProof w:val="0"/>
          <w:lang w:eastAsia="en-AU"/>
        </w:rPr>
      </w:pPr>
    </w:p>
    <w:p w:rsidR="00AC1B19" w:rsidRPr="00CE1879" w:rsidRDefault="00AC1B19" w:rsidP="00F00E67">
      <w:pPr>
        <w:spacing w:line="360" w:lineRule="auto"/>
        <w:rPr>
          <w:rFonts w:ascii="Arial" w:hAnsi="Arial" w:cs="Arial"/>
          <w:noProof w:val="0"/>
          <w:lang w:eastAsia="en-AU"/>
        </w:rPr>
      </w:pPr>
      <w:r w:rsidRPr="00CE1879">
        <w:rPr>
          <w:rFonts w:ascii="Arial" w:hAnsi="Arial" w:cs="Arial"/>
          <w:noProof w:val="0"/>
          <w:lang w:eastAsia="en-AU"/>
        </w:rPr>
        <w:t xml:space="preserve">This paper </w:t>
      </w:r>
      <w:r w:rsidR="00D93937" w:rsidRPr="00CE1879">
        <w:rPr>
          <w:rFonts w:ascii="Arial" w:hAnsi="Arial" w:cs="Arial"/>
          <w:noProof w:val="0"/>
          <w:lang w:eastAsia="en-AU"/>
        </w:rPr>
        <w:t>has two purposes</w:t>
      </w:r>
      <w:r w:rsidRPr="00CE1879">
        <w:rPr>
          <w:rFonts w:ascii="Arial" w:hAnsi="Arial" w:cs="Arial"/>
          <w:noProof w:val="0"/>
          <w:lang w:eastAsia="en-AU"/>
        </w:rPr>
        <w:t xml:space="preserve">. Firstly, </w:t>
      </w:r>
      <w:r w:rsidR="00D93937" w:rsidRPr="00CE1879">
        <w:rPr>
          <w:rFonts w:ascii="Arial" w:hAnsi="Arial" w:cs="Arial"/>
          <w:noProof w:val="0"/>
          <w:lang w:eastAsia="en-AU"/>
        </w:rPr>
        <w:t xml:space="preserve">by proposing that </w:t>
      </w:r>
      <w:r w:rsidR="002C2E6E" w:rsidRPr="00CE1879">
        <w:rPr>
          <w:rFonts w:ascii="Arial" w:hAnsi="Arial" w:cs="Arial"/>
          <w:b/>
          <w:noProof w:val="0"/>
          <w:lang w:eastAsia="en-AU"/>
        </w:rPr>
        <w:t>developing and maintaining the strategic capability to engage employees</w:t>
      </w:r>
      <w:r w:rsidR="002C2E6E" w:rsidRPr="00CE1879">
        <w:rPr>
          <w:rFonts w:ascii="Arial" w:hAnsi="Arial" w:cs="Arial"/>
          <w:noProof w:val="0"/>
          <w:lang w:eastAsia="en-AU"/>
        </w:rPr>
        <w:t xml:space="preserve"> (</w:t>
      </w:r>
      <w:r w:rsidR="00D93937" w:rsidRPr="00CE1879">
        <w:rPr>
          <w:rFonts w:ascii="Arial" w:hAnsi="Arial" w:cs="Arial"/>
          <w:noProof w:val="0"/>
          <w:lang w:eastAsia="en-AU"/>
        </w:rPr>
        <w:t>‘employee engagement’</w:t>
      </w:r>
      <w:r w:rsidR="002C2E6E" w:rsidRPr="00CE1879">
        <w:rPr>
          <w:rFonts w:ascii="Arial" w:hAnsi="Arial" w:cs="Arial"/>
          <w:noProof w:val="0"/>
          <w:lang w:eastAsia="en-AU"/>
        </w:rPr>
        <w:t>)</w:t>
      </w:r>
      <w:r w:rsidR="00D93937" w:rsidRPr="00CE1879">
        <w:rPr>
          <w:rFonts w:ascii="Arial" w:hAnsi="Arial" w:cs="Arial"/>
          <w:noProof w:val="0"/>
          <w:lang w:eastAsia="en-AU"/>
        </w:rPr>
        <w:t xml:space="preserve"> is central </w:t>
      </w:r>
      <w:r w:rsidRPr="00CE1879">
        <w:rPr>
          <w:rFonts w:ascii="Arial" w:hAnsi="Arial" w:cs="Arial"/>
          <w:noProof w:val="0"/>
          <w:lang w:eastAsia="en-AU"/>
        </w:rPr>
        <w:t xml:space="preserve">to </w:t>
      </w:r>
      <w:r w:rsidR="002C2E6E" w:rsidRPr="00CE1879">
        <w:rPr>
          <w:rFonts w:ascii="Arial" w:hAnsi="Arial" w:cs="Arial"/>
          <w:noProof w:val="0"/>
          <w:lang w:eastAsia="en-AU"/>
        </w:rPr>
        <w:t xml:space="preserve">becoming an employer of choice. That is, to </w:t>
      </w:r>
      <w:r w:rsidRPr="00CE1879">
        <w:rPr>
          <w:rFonts w:ascii="Arial" w:hAnsi="Arial" w:cs="Arial"/>
          <w:noProof w:val="0"/>
          <w:lang w:eastAsia="en-AU"/>
        </w:rPr>
        <w:t xml:space="preserve">stimulate discussion </w:t>
      </w:r>
      <w:r w:rsidR="002C2E6E" w:rsidRPr="00CE1879">
        <w:rPr>
          <w:rFonts w:ascii="Arial" w:hAnsi="Arial" w:cs="Arial"/>
          <w:noProof w:val="0"/>
          <w:lang w:eastAsia="en-AU"/>
        </w:rPr>
        <w:t>about which</w:t>
      </w:r>
      <w:r w:rsidRPr="00CE1879">
        <w:rPr>
          <w:rFonts w:ascii="Arial" w:hAnsi="Arial" w:cs="Arial"/>
          <w:noProof w:val="0"/>
          <w:lang w:eastAsia="en-AU"/>
        </w:rPr>
        <w:t xml:space="preserve"> attributes</w:t>
      </w:r>
      <w:r w:rsidR="00D93937" w:rsidRPr="00CE1879">
        <w:rPr>
          <w:rFonts w:ascii="Arial" w:hAnsi="Arial" w:cs="Arial"/>
          <w:noProof w:val="0"/>
          <w:lang w:eastAsia="en-AU"/>
        </w:rPr>
        <w:t xml:space="preserve"> or capabilities of organisations </w:t>
      </w:r>
      <w:r w:rsidRPr="00CE1879">
        <w:rPr>
          <w:rFonts w:ascii="Arial" w:hAnsi="Arial" w:cs="Arial"/>
          <w:noProof w:val="0"/>
          <w:lang w:eastAsia="en-AU"/>
        </w:rPr>
        <w:t>are mo</w:t>
      </w:r>
      <w:r w:rsidR="00D93937" w:rsidRPr="00CE1879">
        <w:rPr>
          <w:rFonts w:ascii="Arial" w:hAnsi="Arial" w:cs="Arial"/>
          <w:noProof w:val="0"/>
          <w:lang w:eastAsia="en-AU"/>
        </w:rPr>
        <w:t xml:space="preserve">re </w:t>
      </w:r>
      <w:r w:rsidRPr="00CE1879">
        <w:rPr>
          <w:rFonts w:ascii="Arial" w:hAnsi="Arial" w:cs="Arial"/>
          <w:noProof w:val="0"/>
          <w:lang w:eastAsia="en-AU"/>
        </w:rPr>
        <w:t xml:space="preserve">important in terms of </w:t>
      </w:r>
      <w:r w:rsidR="00206E52" w:rsidRPr="00CE1879">
        <w:rPr>
          <w:rFonts w:ascii="Arial" w:hAnsi="Arial" w:cs="Arial"/>
          <w:noProof w:val="0"/>
          <w:lang w:eastAsia="en-AU"/>
        </w:rPr>
        <w:t xml:space="preserve">an </w:t>
      </w:r>
      <w:r w:rsidRPr="00CE1879">
        <w:rPr>
          <w:rFonts w:ascii="Arial" w:hAnsi="Arial" w:cs="Arial"/>
          <w:noProof w:val="0"/>
          <w:lang w:eastAsia="en-AU"/>
        </w:rPr>
        <w:t>employer</w:t>
      </w:r>
      <w:r w:rsidR="00A520CD" w:rsidRPr="00CE1879">
        <w:rPr>
          <w:rFonts w:ascii="Arial" w:hAnsi="Arial" w:cs="Arial"/>
          <w:noProof w:val="0"/>
          <w:lang w:eastAsia="en-AU"/>
        </w:rPr>
        <w:t>’</w:t>
      </w:r>
      <w:r w:rsidRPr="00CE1879">
        <w:rPr>
          <w:rFonts w:ascii="Arial" w:hAnsi="Arial" w:cs="Arial"/>
          <w:noProof w:val="0"/>
          <w:lang w:eastAsia="en-AU"/>
        </w:rPr>
        <w:t>s success or otherwise in</w:t>
      </w:r>
      <w:r w:rsidR="002B39DA" w:rsidRPr="00CE1879">
        <w:rPr>
          <w:rFonts w:ascii="Arial" w:hAnsi="Arial" w:cs="Arial"/>
          <w:noProof w:val="0"/>
          <w:lang w:eastAsia="en-AU"/>
        </w:rPr>
        <w:t xml:space="preserve"> becoming an employer of choice</w:t>
      </w:r>
      <w:r w:rsidR="00CB08A6" w:rsidRPr="00CE1879">
        <w:rPr>
          <w:rFonts w:ascii="Arial" w:hAnsi="Arial" w:cs="Arial"/>
          <w:noProof w:val="0"/>
          <w:lang w:eastAsia="en-AU"/>
        </w:rPr>
        <w:t xml:space="preserve">. To support this discussion, we </w:t>
      </w:r>
      <w:r w:rsidR="002B39DA" w:rsidRPr="00CE1879">
        <w:rPr>
          <w:rFonts w:ascii="Arial" w:hAnsi="Arial" w:cs="Arial"/>
          <w:noProof w:val="0"/>
          <w:lang w:eastAsia="en-AU"/>
        </w:rPr>
        <w:t>provid</w:t>
      </w:r>
      <w:r w:rsidR="00CB08A6" w:rsidRPr="00CE1879">
        <w:rPr>
          <w:rFonts w:ascii="Arial" w:hAnsi="Arial" w:cs="Arial"/>
          <w:noProof w:val="0"/>
          <w:lang w:eastAsia="en-AU"/>
        </w:rPr>
        <w:t>e</w:t>
      </w:r>
      <w:r w:rsidR="002B39DA" w:rsidRPr="00CE1879">
        <w:rPr>
          <w:rFonts w:ascii="Arial" w:hAnsi="Arial" w:cs="Arial"/>
          <w:noProof w:val="0"/>
          <w:lang w:eastAsia="en-AU"/>
        </w:rPr>
        <w:t xml:space="preserve"> a working definition of </w:t>
      </w:r>
      <w:r w:rsidR="00CB08A6" w:rsidRPr="00CE1879">
        <w:rPr>
          <w:rFonts w:ascii="Arial" w:hAnsi="Arial" w:cs="Arial"/>
          <w:noProof w:val="0"/>
          <w:lang w:eastAsia="en-AU"/>
        </w:rPr>
        <w:t xml:space="preserve">‘employer of choice’ </w:t>
      </w:r>
      <w:r w:rsidR="002B39DA" w:rsidRPr="00CE1879">
        <w:rPr>
          <w:rFonts w:ascii="Arial" w:hAnsi="Arial" w:cs="Arial"/>
          <w:noProof w:val="0"/>
          <w:lang w:eastAsia="en-AU"/>
        </w:rPr>
        <w:t>as</w:t>
      </w:r>
      <w:r w:rsidR="00CB08A6" w:rsidRPr="00CE1879">
        <w:rPr>
          <w:rFonts w:ascii="Arial" w:hAnsi="Arial" w:cs="Arial"/>
          <w:noProof w:val="0"/>
          <w:lang w:eastAsia="en-AU"/>
        </w:rPr>
        <w:t xml:space="preserve"> successfully</w:t>
      </w:r>
      <w:r w:rsidRPr="00CE1879">
        <w:rPr>
          <w:rFonts w:ascii="Arial" w:hAnsi="Arial" w:cs="Arial"/>
          <w:noProof w:val="0"/>
          <w:lang w:eastAsia="en-AU"/>
        </w:rPr>
        <w:t xml:space="preserve"> </w:t>
      </w:r>
      <w:r w:rsidR="002C2E6E" w:rsidRPr="00CE1879">
        <w:rPr>
          <w:rFonts w:ascii="Arial" w:hAnsi="Arial" w:cs="Arial"/>
          <w:noProof w:val="0"/>
          <w:lang w:eastAsia="en-AU"/>
        </w:rPr>
        <w:t>‘</w:t>
      </w:r>
      <w:r w:rsidRPr="00CE1879">
        <w:rPr>
          <w:rFonts w:ascii="Arial" w:hAnsi="Arial" w:cs="Arial"/>
          <w:i/>
          <w:noProof w:val="0"/>
          <w:lang w:eastAsia="en-AU"/>
        </w:rPr>
        <w:t>attracting, recruiting, selecting, retaining, engaging and developing a skilled and capable workforce for disability and efficiently matching diverse preferences for services and supports to diverse worker preferences</w:t>
      </w:r>
      <w:r w:rsidR="002C2E6E" w:rsidRPr="00CE1879">
        <w:rPr>
          <w:rFonts w:ascii="Arial" w:hAnsi="Arial" w:cs="Arial"/>
          <w:i/>
          <w:noProof w:val="0"/>
          <w:lang w:eastAsia="en-AU"/>
        </w:rPr>
        <w:t>’</w:t>
      </w:r>
      <w:r w:rsidRPr="00CE1879">
        <w:rPr>
          <w:rFonts w:ascii="Arial" w:hAnsi="Arial" w:cs="Arial"/>
          <w:noProof w:val="0"/>
          <w:lang w:eastAsia="en-AU"/>
        </w:rPr>
        <w:t>.</w:t>
      </w:r>
      <w:r w:rsidR="002B39DA" w:rsidRPr="00CE1879">
        <w:rPr>
          <w:rFonts w:ascii="Arial" w:hAnsi="Arial" w:cs="Arial"/>
          <w:noProof w:val="0"/>
          <w:lang w:eastAsia="en-AU"/>
        </w:rPr>
        <w:t xml:space="preserve"> </w:t>
      </w:r>
      <w:r w:rsidR="00CB08A6" w:rsidRPr="00CE1879">
        <w:rPr>
          <w:rFonts w:ascii="Arial" w:hAnsi="Arial" w:cs="Arial"/>
          <w:noProof w:val="0"/>
          <w:lang w:eastAsia="en-AU"/>
        </w:rPr>
        <w:t xml:space="preserve"> The second purpose of this paper is to bring </w:t>
      </w:r>
      <w:r w:rsidRPr="00CE1879">
        <w:rPr>
          <w:rFonts w:ascii="Arial" w:hAnsi="Arial" w:cs="Arial"/>
          <w:noProof w:val="0"/>
          <w:lang w:eastAsia="en-AU"/>
        </w:rPr>
        <w:t xml:space="preserve">focus </w:t>
      </w:r>
      <w:r w:rsidR="00CB08A6" w:rsidRPr="00CE1879">
        <w:rPr>
          <w:rFonts w:ascii="Arial" w:hAnsi="Arial" w:cs="Arial"/>
          <w:noProof w:val="0"/>
          <w:lang w:eastAsia="en-AU"/>
        </w:rPr>
        <w:t xml:space="preserve">to </w:t>
      </w:r>
      <w:r w:rsidR="002C2E6E" w:rsidRPr="00CE1879">
        <w:rPr>
          <w:rFonts w:ascii="Arial" w:hAnsi="Arial" w:cs="Arial"/>
          <w:b/>
          <w:noProof w:val="0"/>
          <w:lang w:eastAsia="en-AU"/>
        </w:rPr>
        <w:t xml:space="preserve">employee engagement </w:t>
      </w:r>
      <w:r w:rsidR="002C2E6E" w:rsidRPr="00CE1879">
        <w:rPr>
          <w:rFonts w:ascii="Arial" w:hAnsi="Arial" w:cs="Arial"/>
          <w:noProof w:val="0"/>
          <w:lang w:eastAsia="en-AU"/>
        </w:rPr>
        <w:t xml:space="preserve">by </w:t>
      </w:r>
      <w:r w:rsidRPr="00CE1879">
        <w:rPr>
          <w:rFonts w:ascii="Arial" w:hAnsi="Arial" w:cs="Arial"/>
          <w:noProof w:val="0"/>
          <w:lang w:eastAsia="en-AU"/>
        </w:rPr>
        <w:t>report</w:t>
      </w:r>
      <w:r w:rsidR="002C2E6E" w:rsidRPr="00CE1879">
        <w:rPr>
          <w:rFonts w:ascii="Arial" w:hAnsi="Arial" w:cs="Arial"/>
          <w:noProof w:val="0"/>
          <w:lang w:eastAsia="en-AU"/>
        </w:rPr>
        <w:t>ing</w:t>
      </w:r>
      <w:r w:rsidRPr="00CE1879">
        <w:rPr>
          <w:rFonts w:ascii="Arial" w:hAnsi="Arial" w:cs="Arial"/>
          <w:noProof w:val="0"/>
          <w:lang w:eastAsia="en-AU"/>
        </w:rPr>
        <w:t xml:space="preserve"> the results of an employee engagement benchmarking exercise</w:t>
      </w:r>
      <w:r w:rsidR="002C2E6E" w:rsidRPr="00CE1879">
        <w:rPr>
          <w:rFonts w:ascii="Arial" w:hAnsi="Arial" w:cs="Arial"/>
          <w:noProof w:val="0"/>
          <w:lang w:eastAsia="en-AU"/>
        </w:rPr>
        <w:t xml:space="preserve"> for disability service providers</w:t>
      </w:r>
      <w:r w:rsidRPr="00CE1879">
        <w:rPr>
          <w:rFonts w:ascii="Arial" w:hAnsi="Arial" w:cs="Arial"/>
          <w:noProof w:val="0"/>
          <w:lang w:eastAsia="en-AU"/>
        </w:rPr>
        <w:t xml:space="preserve">. </w:t>
      </w:r>
      <w:r w:rsidR="002C2E6E" w:rsidRPr="00CE1879">
        <w:rPr>
          <w:rFonts w:ascii="Arial" w:hAnsi="Arial" w:cs="Arial"/>
          <w:noProof w:val="0"/>
          <w:lang w:eastAsia="en-AU"/>
        </w:rPr>
        <w:t>The paper provides evidence</w:t>
      </w:r>
      <w:r w:rsidR="002B39DA" w:rsidRPr="00CE1879">
        <w:rPr>
          <w:rFonts w:ascii="Arial" w:hAnsi="Arial" w:cs="Arial"/>
          <w:noProof w:val="0"/>
          <w:lang w:eastAsia="en-AU"/>
        </w:rPr>
        <w:t xml:space="preserve"> </w:t>
      </w:r>
      <w:r w:rsidR="002C2E6E" w:rsidRPr="00CE1879">
        <w:rPr>
          <w:rFonts w:ascii="Arial" w:hAnsi="Arial" w:cs="Arial"/>
          <w:noProof w:val="0"/>
          <w:lang w:eastAsia="en-AU"/>
        </w:rPr>
        <w:t>that</w:t>
      </w:r>
      <w:r w:rsidR="00362800" w:rsidRPr="00CE1879">
        <w:rPr>
          <w:rFonts w:ascii="Arial" w:hAnsi="Arial" w:cs="Arial"/>
          <w:noProof w:val="0"/>
          <w:lang w:eastAsia="en-AU"/>
        </w:rPr>
        <w:t xml:space="preserve"> </w:t>
      </w:r>
      <w:r w:rsidR="002C2E6E" w:rsidRPr="00CE1879">
        <w:rPr>
          <w:rFonts w:ascii="Arial" w:hAnsi="Arial" w:cs="Arial"/>
          <w:noProof w:val="0"/>
          <w:lang w:eastAsia="en-AU"/>
        </w:rPr>
        <w:t>o</w:t>
      </w:r>
      <w:r w:rsidRPr="00CE1879">
        <w:rPr>
          <w:rFonts w:ascii="Arial" w:hAnsi="Arial" w:cs="Arial"/>
          <w:noProof w:val="0"/>
          <w:lang w:eastAsia="en-AU"/>
        </w:rPr>
        <w:t>rganisations foster</w:t>
      </w:r>
      <w:r w:rsidR="002B39DA" w:rsidRPr="00CE1879">
        <w:rPr>
          <w:rFonts w:ascii="Arial" w:hAnsi="Arial" w:cs="Arial"/>
          <w:noProof w:val="0"/>
          <w:lang w:eastAsia="en-AU"/>
        </w:rPr>
        <w:t>ing</w:t>
      </w:r>
      <w:r w:rsidRPr="00CE1879">
        <w:rPr>
          <w:rFonts w:ascii="Arial" w:hAnsi="Arial" w:cs="Arial"/>
          <w:noProof w:val="0"/>
          <w:lang w:eastAsia="en-AU"/>
        </w:rPr>
        <w:t xml:space="preserve"> a high level of </w:t>
      </w:r>
      <w:r w:rsidRPr="00CE1879">
        <w:rPr>
          <w:rFonts w:ascii="Arial" w:hAnsi="Arial" w:cs="Arial"/>
          <w:noProof w:val="0"/>
          <w:lang w:eastAsia="en-AU"/>
        </w:rPr>
        <w:lastRenderedPageBreak/>
        <w:t xml:space="preserve">employee engagement; where their employees are committed to their work, and actively contribute to the organisation’s performance and mission; </w:t>
      </w:r>
      <w:r w:rsidR="002C2E6E" w:rsidRPr="00CE1879">
        <w:rPr>
          <w:rFonts w:ascii="Arial" w:hAnsi="Arial" w:cs="Arial"/>
          <w:noProof w:val="0"/>
          <w:lang w:eastAsia="en-AU"/>
        </w:rPr>
        <w:t xml:space="preserve">should </w:t>
      </w:r>
      <w:r w:rsidRPr="00CE1879">
        <w:rPr>
          <w:rFonts w:ascii="Arial" w:hAnsi="Arial" w:cs="Arial"/>
          <w:noProof w:val="0"/>
          <w:lang w:eastAsia="en-AU"/>
        </w:rPr>
        <w:t xml:space="preserve">be well positioned to </w:t>
      </w:r>
      <w:r w:rsidR="00362800" w:rsidRPr="00CE1879">
        <w:rPr>
          <w:rFonts w:ascii="Arial" w:hAnsi="Arial" w:cs="Arial"/>
          <w:noProof w:val="0"/>
          <w:lang w:eastAsia="en-AU"/>
        </w:rPr>
        <w:t>achieve employer of choice attributes</w:t>
      </w:r>
      <w:r w:rsidRPr="00CE1879">
        <w:rPr>
          <w:rFonts w:ascii="Arial" w:hAnsi="Arial" w:cs="Arial"/>
          <w:noProof w:val="0"/>
          <w:lang w:eastAsia="en-AU"/>
        </w:rPr>
        <w:t xml:space="preserve">. The disability sector is expected to continue to face challenges in competing with adjacent sectors (aged care, mental health </w:t>
      </w:r>
      <w:r w:rsidR="00B506AF" w:rsidRPr="00CE1879">
        <w:rPr>
          <w:rFonts w:ascii="Arial" w:hAnsi="Arial" w:cs="Arial"/>
          <w:noProof w:val="0"/>
          <w:lang w:eastAsia="en-AU"/>
        </w:rPr>
        <w:t>and children’s</w:t>
      </w:r>
      <w:r w:rsidRPr="00CE1879">
        <w:rPr>
          <w:rFonts w:ascii="Arial" w:hAnsi="Arial" w:cs="Arial"/>
          <w:noProof w:val="0"/>
          <w:lang w:eastAsia="en-AU"/>
        </w:rPr>
        <w:t xml:space="preserve"> services) and other industries at an extrinsic (financial reward) level.  Disability sector employers need to explore and invest in the intrinsic and non-wage related differentiators that underpin an individual’s decision to join and remain employed within the disability sector. </w:t>
      </w:r>
      <w:r w:rsidR="002B39DA" w:rsidRPr="00CE1879">
        <w:rPr>
          <w:rFonts w:ascii="Arial" w:hAnsi="Arial" w:cs="Arial"/>
          <w:noProof w:val="0"/>
          <w:lang w:eastAsia="en-AU"/>
        </w:rPr>
        <w:t xml:space="preserve">To date, and </w:t>
      </w:r>
      <w:r w:rsidRPr="00CE1879">
        <w:rPr>
          <w:rFonts w:ascii="Arial" w:hAnsi="Arial" w:cs="Arial"/>
          <w:noProof w:val="0"/>
          <w:lang w:eastAsia="en-AU"/>
        </w:rPr>
        <w:t>despite the importance of these issues</w:t>
      </w:r>
      <w:r w:rsidR="00A95AD8" w:rsidRPr="00CE1879">
        <w:rPr>
          <w:rFonts w:ascii="Arial" w:hAnsi="Arial" w:cs="Arial"/>
          <w:noProof w:val="0"/>
          <w:lang w:eastAsia="en-AU"/>
        </w:rPr>
        <w:t>,</w:t>
      </w:r>
      <w:r w:rsidRPr="00CE1879">
        <w:rPr>
          <w:rFonts w:ascii="Arial" w:hAnsi="Arial" w:cs="Arial"/>
          <w:noProof w:val="0"/>
          <w:lang w:eastAsia="en-AU"/>
        </w:rPr>
        <w:t xml:space="preserve"> ‘employee engagement’ has not been widely investigated in the disability support sector, particularly in the Australian context</w:t>
      </w:r>
      <w:r w:rsidR="00D93937" w:rsidRPr="00CE1879">
        <w:rPr>
          <w:rStyle w:val="FootnoteReference"/>
          <w:rFonts w:ascii="Arial" w:hAnsi="Arial" w:cs="Arial"/>
          <w:noProof w:val="0"/>
          <w:lang w:eastAsia="en-AU"/>
        </w:rPr>
        <w:footnoteReference w:id="2"/>
      </w:r>
      <w:r w:rsidR="002B39DA" w:rsidRPr="00CE1879">
        <w:rPr>
          <w:rFonts w:ascii="Arial" w:hAnsi="Arial" w:cs="Arial"/>
          <w:noProof w:val="0"/>
          <w:lang w:eastAsia="en-AU"/>
        </w:rPr>
        <w:t xml:space="preserve">. </w:t>
      </w:r>
    </w:p>
    <w:p w:rsidR="00AC1B19" w:rsidRPr="00CE1879" w:rsidRDefault="00AC1B19" w:rsidP="00F00E67">
      <w:pPr>
        <w:spacing w:line="360" w:lineRule="auto"/>
        <w:rPr>
          <w:rFonts w:ascii="Arial" w:hAnsi="Arial" w:cs="Arial"/>
          <w:noProof w:val="0"/>
          <w:lang w:eastAsia="en-AU"/>
        </w:rPr>
      </w:pPr>
    </w:p>
    <w:p w:rsidR="00336E30" w:rsidRPr="00CE1879" w:rsidRDefault="00AC1B19" w:rsidP="00F00E67">
      <w:pPr>
        <w:spacing w:line="360" w:lineRule="auto"/>
        <w:rPr>
          <w:rFonts w:ascii="Arial" w:hAnsi="Arial" w:cs="Arial"/>
          <w:noProof w:val="0"/>
          <w:lang w:eastAsia="en-AU"/>
        </w:rPr>
      </w:pPr>
      <w:r w:rsidRPr="00CE1879">
        <w:rPr>
          <w:rFonts w:ascii="Arial" w:hAnsi="Arial" w:cs="Arial"/>
          <w:noProof w:val="0"/>
          <w:lang w:eastAsia="en-AU"/>
        </w:rPr>
        <w:t xml:space="preserve">This report </w:t>
      </w:r>
      <w:r w:rsidR="002B39DA" w:rsidRPr="00CE1879">
        <w:rPr>
          <w:rFonts w:ascii="Arial" w:hAnsi="Arial" w:cs="Arial"/>
          <w:noProof w:val="0"/>
          <w:lang w:eastAsia="en-AU"/>
        </w:rPr>
        <w:t xml:space="preserve">fills a gap in the research by </w:t>
      </w:r>
      <w:r w:rsidRPr="00CE1879">
        <w:rPr>
          <w:rFonts w:ascii="Arial" w:hAnsi="Arial" w:cs="Arial"/>
          <w:noProof w:val="0"/>
          <w:lang w:eastAsia="en-AU"/>
        </w:rPr>
        <w:t>present</w:t>
      </w:r>
      <w:r w:rsidR="002B39DA" w:rsidRPr="00CE1879">
        <w:rPr>
          <w:rFonts w:ascii="Arial" w:hAnsi="Arial" w:cs="Arial"/>
          <w:noProof w:val="0"/>
          <w:lang w:eastAsia="en-AU"/>
        </w:rPr>
        <w:t xml:space="preserve">ing </w:t>
      </w:r>
      <w:r w:rsidRPr="00CE1879">
        <w:rPr>
          <w:rFonts w:ascii="Arial" w:hAnsi="Arial" w:cs="Arial"/>
          <w:noProof w:val="0"/>
          <w:lang w:eastAsia="en-AU"/>
        </w:rPr>
        <w:t>the results of an industry led initiative involving employers working collaboratively to track engagement at an organisational and sector level</w:t>
      </w:r>
      <w:r w:rsidRPr="00CE1879">
        <w:rPr>
          <w:rFonts w:ascii="Arial" w:hAnsi="Arial" w:cs="Arial"/>
          <w:noProof w:val="0"/>
          <w:vertAlign w:val="superscript"/>
          <w:lang w:eastAsia="en-AU"/>
        </w:rPr>
        <w:footnoteReference w:id="3"/>
      </w:r>
      <w:r w:rsidRPr="00CE1879">
        <w:rPr>
          <w:rFonts w:ascii="Arial" w:hAnsi="Arial" w:cs="Arial"/>
          <w:noProof w:val="0"/>
          <w:lang w:eastAsia="en-AU"/>
        </w:rPr>
        <w:t xml:space="preserve">.  The ‘NDS Employee Engagement Survey’ is specifically designed to ascertain employees’ levels of engagement, satisfaction and </w:t>
      </w:r>
      <w:r w:rsidR="00A2623F" w:rsidRPr="00CE1879">
        <w:rPr>
          <w:rFonts w:ascii="Arial" w:hAnsi="Arial" w:cs="Arial"/>
          <w:noProof w:val="0"/>
          <w:lang w:eastAsia="en-AU"/>
        </w:rPr>
        <w:t>perceptions</w:t>
      </w:r>
      <w:r w:rsidRPr="00CE1879">
        <w:rPr>
          <w:rFonts w:ascii="Arial" w:hAnsi="Arial" w:cs="Arial"/>
          <w:noProof w:val="0"/>
          <w:lang w:eastAsia="en-AU"/>
        </w:rPr>
        <w:t xml:space="preserve"> of their organisation’s success. It concurrently assesses an organisation’s employees</w:t>
      </w:r>
      <w:r w:rsidR="00B506AF" w:rsidRPr="00CE1879">
        <w:rPr>
          <w:rFonts w:ascii="Arial" w:hAnsi="Arial" w:cs="Arial"/>
          <w:noProof w:val="0"/>
          <w:lang w:eastAsia="en-AU"/>
        </w:rPr>
        <w:t>’</w:t>
      </w:r>
      <w:r w:rsidRPr="00CE1879">
        <w:rPr>
          <w:rFonts w:ascii="Arial" w:hAnsi="Arial" w:cs="Arial"/>
          <w:noProof w:val="0"/>
          <w:lang w:eastAsia="en-AU"/>
        </w:rPr>
        <w:t xml:space="preserve"> awareness and commitment to improving the lives of people with a disability, particularly through the application of </w:t>
      </w:r>
      <w:r w:rsidR="00B506AF" w:rsidRPr="00CE1879">
        <w:rPr>
          <w:rFonts w:ascii="Arial" w:hAnsi="Arial" w:cs="Arial"/>
          <w:noProof w:val="0"/>
          <w:lang w:eastAsia="en-AU"/>
        </w:rPr>
        <w:t>person-centred</w:t>
      </w:r>
      <w:r w:rsidRPr="00CE1879">
        <w:rPr>
          <w:rFonts w:ascii="Arial" w:hAnsi="Arial" w:cs="Arial"/>
          <w:noProof w:val="0"/>
          <w:lang w:eastAsia="en-AU"/>
        </w:rPr>
        <w:t xml:space="preserve"> approaches.  This paper details the process used, the sector level results and the key findings from the pilot of the NDS Employee Engagement Survey carried out in May/June 2013 (round 1) and May 2014 (round 2). </w:t>
      </w:r>
    </w:p>
    <w:p w:rsidR="00336E30" w:rsidRPr="00CE1879" w:rsidRDefault="00336E30" w:rsidP="00F00E67">
      <w:pPr>
        <w:spacing w:line="360" w:lineRule="auto"/>
        <w:rPr>
          <w:rFonts w:ascii="Arial" w:hAnsi="Arial" w:cs="Arial"/>
          <w:noProof w:val="0"/>
          <w:lang w:eastAsia="en-AU"/>
        </w:rPr>
      </w:pPr>
    </w:p>
    <w:p w:rsidR="00AC1B19" w:rsidRPr="00CE1879" w:rsidRDefault="00AC1B19" w:rsidP="00F00E67">
      <w:pPr>
        <w:spacing w:line="360" w:lineRule="auto"/>
        <w:rPr>
          <w:rFonts w:ascii="Arial" w:hAnsi="Arial" w:cs="Arial"/>
          <w:noProof w:val="0"/>
          <w:lang w:eastAsia="en-AU"/>
        </w:rPr>
      </w:pPr>
      <w:r w:rsidRPr="00CE1879">
        <w:rPr>
          <w:rFonts w:ascii="Arial" w:hAnsi="Arial" w:cs="Arial"/>
          <w:noProof w:val="0"/>
          <w:lang w:eastAsia="en-AU"/>
        </w:rPr>
        <w:t>Twenty seven disability service providers (including small, medium, large, metropolitan and regional NSW organisations) participated in the first round of the pilot.  Of the 2970 employees invited to participate, 1818 completed either an online or paper version of the survey. Nineteen of the original service providers also participated in round 2 of the pilot in May 2014. Of the 2448 employees invited to participate, 1489 completed either an online or paper version of the survey.</w:t>
      </w:r>
    </w:p>
    <w:p w:rsidR="00AC1B19" w:rsidRPr="00CE1879" w:rsidRDefault="00AC1B19" w:rsidP="00F00E67">
      <w:pPr>
        <w:spacing w:line="360" w:lineRule="auto"/>
        <w:rPr>
          <w:rFonts w:ascii="Arial" w:hAnsi="Arial" w:cs="Arial"/>
          <w:noProof w:val="0"/>
          <w:lang w:eastAsia="en-AU"/>
        </w:rPr>
      </w:pPr>
    </w:p>
    <w:p w:rsidR="00AC1B19" w:rsidRPr="00CE1879" w:rsidRDefault="00AC1B19" w:rsidP="00F00E67">
      <w:pPr>
        <w:spacing w:line="360" w:lineRule="auto"/>
        <w:rPr>
          <w:rFonts w:ascii="Arial" w:hAnsi="Arial" w:cs="Arial"/>
          <w:noProof w:val="0"/>
          <w:lang w:eastAsia="en-AU"/>
        </w:rPr>
      </w:pPr>
      <w:r w:rsidRPr="00CE1879">
        <w:rPr>
          <w:rFonts w:ascii="Arial" w:hAnsi="Arial" w:cs="Arial"/>
          <w:noProof w:val="0"/>
          <w:lang w:eastAsia="en-AU"/>
        </w:rPr>
        <w:lastRenderedPageBreak/>
        <w:t>Participating organisations received comprehensive reports after both pilot rounds outlining recommendations. This enabled them to identify and prior</w:t>
      </w:r>
      <w:r w:rsidR="000F6B32" w:rsidRPr="00CE1879">
        <w:rPr>
          <w:rFonts w:ascii="Arial" w:hAnsi="Arial" w:cs="Arial"/>
          <w:noProof w:val="0"/>
          <w:lang w:eastAsia="en-AU"/>
        </w:rPr>
        <w:t>i</w:t>
      </w:r>
      <w:r w:rsidRPr="00CE1879">
        <w:rPr>
          <w:rFonts w:ascii="Arial" w:hAnsi="Arial" w:cs="Arial"/>
          <w:noProof w:val="0"/>
          <w:lang w:eastAsia="en-AU"/>
        </w:rPr>
        <w:t xml:space="preserve">tise strategies for increasing levels of staff engagement and retention as well as maximise their effectiveness in investments in workforce development that may significantly impact employee and organisational performance. Benchmark results of how both the sector and individual organisations rated against other disability service providers and an all-industry database, representing 2600 organisations results, are also provided. </w:t>
      </w:r>
    </w:p>
    <w:p w:rsidR="00AC1B19" w:rsidRPr="00CE1879" w:rsidRDefault="00AC1B19" w:rsidP="00F00E67">
      <w:pPr>
        <w:spacing w:line="360" w:lineRule="auto"/>
        <w:rPr>
          <w:rFonts w:ascii="Arial" w:hAnsi="Arial" w:cs="Arial"/>
          <w:noProof w:val="0"/>
          <w:lang w:eastAsia="en-AU"/>
        </w:rPr>
      </w:pPr>
    </w:p>
    <w:p w:rsidR="00B96912" w:rsidRPr="00CE1879" w:rsidRDefault="005A0F8B" w:rsidP="00F00E67">
      <w:pPr>
        <w:spacing w:after="200" w:line="360" w:lineRule="auto"/>
        <w:rPr>
          <w:rFonts w:ascii="Arial" w:hAnsi="Arial" w:cs="Arial"/>
          <w:b/>
          <w:color w:val="000000" w:themeColor="text1"/>
        </w:rPr>
      </w:pPr>
      <w:r w:rsidRPr="00CE1879">
        <w:rPr>
          <w:rFonts w:ascii="Arial" w:hAnsi="Arial" w:cs="Arial"/>
          <w:b/>
        </w:rPr>
        <w:t xml:space="preserve">A Model of Employee Engagement for </w:t>
      </w:r>
      <w:r w:rsidR="00CB42C3" w:rsidRPr="00CE1879">
        <w:rPr>
          <w:rFonts w:ascii="Arial" w:hAnsi="Arial" w:cs="Arial"/>
          <w:b/>
        </w:rPr>
        <w:t>the Disability Sector</w:t>
      </w:r>
    </w:p>
    <w:bookmarkEnd w:id="0"/>
    <w:p w:rsidR="00B96912" w:rsidRPr="00CE1879" w:rsidRDefault="00B96912" w:rsidP="00F00E67">
      <w:pPr>
        <w:spacing w:line="360" w:lineRule="auto"/>
        <w:rPr>
          <w:rFonts w:ascii="Arial" w:hAnsi="Arial" w:cs="Arial"/>
          <w:b/>
          <w:noProof w:val="0"/>
        </w:rPr>
      </w:pPr>
      <w:r w:rsidRPr="00CE1879">
        <w:rPr>
          <w:rFonts w:ascii="Arial" w:hAnsi="Arial" w:cs="Arial"/>
          <w:b/>
          <w:noProof w:val="0"/>
        </w:rPr>
        <w:t xml:space="preserve">Development of the </w:t>
      </w:r>
      <w:r w:rsidR="000F24DC" w:rsidRPr="00CE1879">
        <w:rPr>
          <w:rFonts w:ascii="Arial" w:hAnsi="Arial" w:cs="Arial"/>
          <w:b/>
          <w:noProof w:val="0"/>
        </w:rPr>
        <w:t>S</w:t>
      </w:r>
      <w:r w:rsidR="00C11930" w:rsidRPr="00CE1879">
        <w:rPr>
          <w:rFonts w:ascii="Arial" w:hAnsi="Arial" w:cs="Arial"/>
          <w:b/>
          <w:noProof w:val="0"/>
        </w:rPr>
        <w:t xml:space="preserve">tandard </w:t>
      </w:r>
      <w:r w:rsidR="000F24DC" w:rsidRPr="00CE1879">
        <w:rPr>
          <w:rFonts w:ascii="Arial" w:hAnsi="Arial" w:cs="Arial"/>
          <w:b/>
          <w:noProof w:val="0"/>
        </w:rPr>
        <w:t>M</w:t>
      </w:r>
      <w:r w:rsidRPr="00CE1879">
        <w:rPr>
          <w:rFonts w:ascii="Arial" w:hAnsi="Arial" w:cs="Arial"/>
          <w:b/>
          <w:noProof w:val="0"/>
        </w:rPr>
        <w:t>odel</w:t>
      </w:r>
    </w:p>
    <w:p w:rsidR="000F24DC" w:rsidRPr="00CE1879" w:rsidRDefault="00B96912" w:rsidP="00F00E67">
      <w:pPr>
        <w:spacing w:line="360" w:lineRule="auto"/>
        <w:rPr>
          <w:rFonts w:ascii="Arial" w:hAnsi="Arial" w:cs="Arial"/>
        </w:rPr>
      </w:pPr>
      <w:r w:rsidRPr="00CE1879">
        <w:rPr>
          <w:rFonts w:ascii="Arial" w:hAnsi="Arial" w:cs="Arial"/>
        </w:rPr>
        <w:t xml:space="preserve">Voice Project’s 7Ps model </w:t>
      </w:r>
      <w:r w:rsidR="000F24DC" w:rsidRPr="00CE1879">
        <w:rPr>
          <w:rFonts w:ascii="Arial" w:hAnsi="Arial" w:cs="Arial"/>
        </w:rPr>
        <w:t xml:space="preserve">of employee engagement </w:t>
      </w:r>
      <w:r w:rsidRPr="00CE1879">
        <w:rPr>
          <w:rFonts w:ascii="Arial" w:hAnsi="Arial" w:cs="Arial"/>
        </w:rPr>
        <w:t>was created after extensive research with over 1000 organisations which has been peer-reviewed and published</w:t>
      </w:r>
      <w:r w:rsidR="00893386" w:rsidRPr="00CE1879">
        <w:rPr>
          <w:rStyle w:val="FootnoteReference"/>
          <w:rFonts w:ascii="Arial" w:hAnsi="Arial" w:cs="Arial"/>
        </w:rPr>
        <w:footnoteReference w:id="4"/>
      </w:r>
      <w:r w:rsidRPr="00CE1879">
        <w:rPr>
          <w:rFonts w:ascii="Arial" w:hAnsi="Arial" w:cs="Arial"/>
        </w:rPr>
        <w:t xml:space="preserve">. The </w:t>
      </w:r>
      <w:r w:rsidR="00C11930" w:rsidRPr="00CE1879">
        <w:rPr>
          <w:rFonts w:ascii="Arial" w:hAnsi="Arial" w:cs="Arial"/>
        </w:rPr>
        <w:t xml:space="preserve">original </w:t>
      </w:r>
      <w:r w:rsidRPr="00CE1879">
        <w:rPr>
          <w:rFonts w:ascii="Arial" w:hAnsi="Arial" w:cs="Arial"/>
        </w:rPr>
        <w:t>model has two broad purposes. Firstly, it aims to measure performance across a broad range of H</w:t>
      </w:r>
      <w:r w:rsidR="00336E30" w:rsidRPr="00CE1879">
        <w:rPr>
          <w:rFonts w:ascii="Arial" w:hAnsi="Arial" w:cs="Arial"/>
        </w:rPr>
        <w:t>uman Resou</w:t>
      </w:r>
      <w:r w:rsidR="00A95AD8" w:rsidRPr="00CE1879">
        <w:rPr>
          <w:rFonts w:ascii="Arial" w:hAnsi="Arial" w:cs="Arial"/>
        </w:rPr>
        <w:t>r</w:t>
      </w:r>
      <w:r w:rsidR="00336E30" w:rsidRPr="00CE1879">
        <w:rPr>
          <w:rFonts w:ascii="Arial" w:hAnsi="Arial" w:cs="Arial"/>
        </w:rPr>
        <w:t>ces (HR)</w:t>
      </w:r>
      <w:r w:rsidRPr="00CE1879">
        <w:rPr>
          <w:rFonts w:ascii="Arial" w:hAnsi="Arial" w:cs="Arial"/>
        </w:rPr>
        <w:t xml:space="preserve"> and management practices in the areas of Purpose, Property, Participation, People and Peace. Secondly, the model measures the impact of these practices on two key organisational outcomes –</w:t>
      </w:r>
      <w:r w:rsidR="00C11930" w:rsidRPr="00CE1879">
        <w:rPr>
          <w:rFonts w:ascii="Arial" w:hAnsi="Arial" w:cs="Arial"/>
        </w:rPr>
        <w:t xml:space="preserve"> </w:t>
      </w:r>
      <w:r w:rsidRPr="00CE1879">
        <w:rPr>
          <w:rFonts w:ascii="Arial" w:hAnsi="Arial" w:cs="Arial"/>
        </w:rPr>
        <w:t>Pa</w:t>
      </w:r>
      <w:r w:rsidR="000F24DC" w:rsidRPr="00CE1879">
        <w:rPr>
          <w:rFonts w:ascii="Arial" w:hAnsi="Arial" w:cs="Arial"/>
        </w:rPr>
        <w:t>ssion/Engagement and Progress.</w:t>
      </w:r>
    </w:p>
    <w:p w:rsidR="000F24DC" w:rsidRPr="00CE1879" w:rsidRDefault="000F24DC" w:rsidP="00F00E67">
      <w:pPr>
        <w:spacing w:line="360" w:lineRule="auto"/>
        <w:rPr>
          <w:rFonts w:ascii="Arial" w:hAnsi="Arial" w:cs="Arial"/>
        </w:rPr>
      </w:pPr>
    </w:p>
    <w:p w:rsidR="00B96912" w:rsidRPr="00CE1879" w:rsidRDefault="00B96912" w:rsidP="00F00E67">
      <w:pPr>
        <w:spacing w:line="360" w:lineRule="auto"/>
        <w:rPr>
          <w:rFonts w:ascii="Arial" w:hAnsi="Arial" w:cs="Arial"/>
        </w:rPr>
      </w:pPr>
      <w:r w:rsidRPr="00CE1879">
        <w:rPr>
          <w:rFonts w:ascii="Arial" w:hAnsi="Arial" w:cs="Arial"/>
        </w:rPr>
        <w:t xml:space="preserve">The dual function of the </w:t>
      </w:r>
      <w:r w:rsidR="00326205" w:rsidRPr="00CE1879">
        <w:rPr>
          <w:rFonts w:ascii="Arial" w:hAnsi="Arial" w:cs="Arial"/>
        </w:rPr>
        <w:t>model</w:t>
      </w:r>
      <w:r w:rsidRPr="00CE1879">
        <w:rPr>
          <w:rFonts w:ascii="Arial" w:hAnsi="Arial" w:cs="Arial"/>
        </w:rPr>
        <w:t xml:space="preserve"> allows organisations to assess the key practices and identify the main drivers that will maximise staff engagement and organisational progress. </w:t>
      </w:r>
      <w:r w:rsidR="000F24DC" w:rsidRPr="00CE1879">
        <w:rPr>
          <w:rFonts w:ascii="Arial" w:hAnsi="Arial" w:cs="Arial"/>
        </w:rPr>
        <w:t xml:space="preserve">In addition, the </w:t>
      </w:r>
      <w:r w:rsidR="00326205" w:rsidRPr="00CE1879">
        <w:rPr>
          <w:rFonts w:ascii="Arial" w:hAnsi="Arial" w:cs="Arial"/>
        </w:rPr>
        <w:t>model has</w:t>
      </w:r>
      <w:r w:rsidR="000F24DC" w:rsidRPr="00CE1879">
        <w:rPr>
          <w:rFonts w:ascii="Arial" w:hAnsi="Arial" w:cs="Arial"/>
        </w:rPr>
        <w:t xml:space="preserve"> demonstrated links to independent measures of organisational performance such as turnover, productivity, absenteeism and managers</w:t>
      </w:r>
      <w:r w:rsidR="00A95AD8" w:rsidRPr="00CE1879">
        <w:rPr>
          <w:rFonts w:ascii="Arial" w:hAnsi="Arial" w:cs="Arial"/>
        </w:rPr>
        <w:t>’</w:t>
      </w:r>
      <w:r w:rsidR="000F24DC" w:rsidRPr="00CE1879">
        <w:rPr>
          <w:rFonts w:ascii="Arial" w:hAnsi="Arial" w:cs="Arial"/>
        </w:rPr>
        <w:t xml:space="preserve"> reports of financial performance</w:t>
      </w:r>
      <w:r w:rsidR="00893386" w:rsidRPr="00CE1879">
        <w:rPr>
          <w:rStyle w:val="FootnoteReference"/>
          <w:rFonts w:ascii="Arial" w:hAnsi="Arial" w:cs="Arial"/>
        </w:rPr>
        <w:footnoteReference w:id="5"/>
      </w:r>
      <w:r w:rsidR="00A2623F" w:rsidRPr="00CE1879">
        <w:rPr>
          <w:rFonts w:ascii="Arial" w:hAnsi="Arial" w:cs="Arial"/>
        </w:rPr>
        <w:t>.</w:t>
      </w:r>
    </w:p>
    <w:p w:rsidR="00C11930" w:rsidRPr="00CE1879" w:rsidRDefault="00C11930" w:rsidP="00F00E67">
      <w:pPr>
        <w:spacing w:line="360" w:lineRule="auto"/>
        <w:ind w:left="360"/>
        <w:rPr>
          <w:rFonts w:ascii="Arial" w:hAnsi="Arial" w:cs="Arial"/>
        </w:rPr>
      </w:pPr>
    </w:p>
    <w:p w:rsidR="00CE1879" w:rsidRDefault="00CE1879">
      <w:pPr>
        <w:spacing w:after="200" w:line="276" w:lineRule="auto"/>
        <w:rPr>
          <w:rFonts w:ascii="Arial" w:hAnsi="Arial" w:cs="Arial"/>
          <w:b/>
          <w:noProof w:val="0"/>
        </w:rPr>
      </w:pPr>
      <w:r>
        <w:rPr>
          <w:rFonts w:ascii="Arial" w:hAnsi="Arial" w:cs="Arial"/>
          <w:b/>
          <w:noProof w:val="0"/>
        </w:rPr>
        <w:br w:type="page"/>
      </w:r>
    </w:p>
    <w:p w:rsidR="00C11930" w:rsidRPr="00CE1879" w:rsidRDefault="00C11930" w:rsidP="00F00E67">
      <w:pPr>
        <w:spacing w:line="360" w:lineRule="auto"/>
        <w:rPr>
          <w:rFonts w:ascii="Arial" w:hAnsi="Arial" w:cs="Arial"/>
          <w:b/>
          <w:noProof w:val="0"/>
        </w:rPr>
      </w:pPr>
      <w:r w:rsidRPr="00CE1879">
        <w:rPr>
          <w:rFonts w:ascii="Arial" w:hAnsi="Arial" w:cs="Arial"/>
          <w:b/>
          <w:noProof w:val="0"/>
        </w:rPr>
        <w:lastRenderedPageBreak/>
        <w:t xml:space="preserve">Refinement of the </w:t>
      </w:r>
      <w:r w:rsidR="004628A8" w:rsidRPr="00CE1879">
        <w:rPr>
          <w:rFonts w:ascii="Arial" w:hAnsi="Arial" w:cs="Arial"/>
          <w:b/>
          <w:noProof w:val="0"/>
        </w:rPr>
        <w:t>M</w:t>
      </w:r>
      <w:r w:rsidRPr="00CE1879">
        <w:rPr>
          <w:rFonts w:ascii="Arial" w:hAnsi="Arial" w:cs="Arial"/>
          <w:b/>
          <w:noProof w:val="0"/>
        </w:rPr>
        <w:t>odel for Disability Services Organisations</w:t>
      </w:r>
    </w:p>
    <w:p w:rsidR="00C11930" w:rsidRPr="00CE1879" w:rsidRDefault="00CB42C3" w:rsidP="00F00E67">
      <w:pPr>
        <w:pStyle w:val="ListParagraph"/>
        <w:spacing w:line="360" w:lineRule="auto"/>
        <w:ind w:left="0"/>
        <w:rPr>
          <w:rFonts w:ascii="Arial" w:hAnsi="Arial" w:cs="Arial"/>
          <w:noProof w:val="0"/>
        </w:rPr>
      </w:pPr>
      <w:r w:rsidRPr="00CE1879">
        <w:rPr>
          <w:rFonts w:ascii="Arial" w:hAnsi="Arial" w:cs="Arial"/>
          <w:noProof w:val="0"/>
        </w:rPr>
        <w:t>A</w:t>
      </w:r>
      <w:r w:rsidR="00105917" w:rsidRPr="00CE1879">
        <w:rPr>
          <w:rFonts w:ascii="Arial" w:hAnsi="Arial" w:cs="Arial"/>
          <w:noProof w:val="0"/>
        </w:rPr>
        <w:t xml:space="preserve"> number of refinements to the survey </w:t>
      </w:r>
      <w:r w:rsidRPr="00CE1879">
        <w:rPr>
          <w:rFonts w:ascii="Arial" w:hAnsi="Arial" w:cs="Arial"/>
          <w:noProof w:val="0"/>
        </w:rPr>
        <w:t xml:space="preserve">were developed </w:t>
      </w:r>
      <w:r w:rsidR="00105917" w:rsidRPr="00CE1879">
        <w:rPr>
          <w:rFonts w:ascii="Arial" w:hAnsi="Arial" w:cs="Arial"/>
          <w:noProof w:val="0"/>
        </w:rPr>
        <w:t xml:space="preserve">so that it better suited the needs of </w:t>
      </w:r>
      <w:r w:rsidRPr="00CE1879">
        <w:rPr>
          <w:rFonts w:ascii="Arial" w:hAnsi="Arial" w:cs="Arial"/>
          <w:noProof w:val="0"/>
        </w:rPr>
        <w:t>d</w:t>
      </w:r>
      <w:r w:rsidR="00105917" w:rsidRPr="00CE1879">
        <w:rPr>
          <w:rFonts w:ascii="Arial" w:hAnsi="Arial" w:cs="Arial"/>
          <w:noProof w:val="0"/>
        </w:rPr>
        <w:t xml:space="preserve">isability </w:t>
      </w:r>
      <w:r w:rsidRPr="00CE1879">
        <w:rPr>
          <w:rFonts w:ascii="Arial" w:hAnsi="Arial" w:cs="Arial"/>
          <w:noProof w:val="0"/>
        </w:rPr>
        <w:t>s</w:t>
      </w:r>
      <w:r w:rsidR="00105917" w:rsidRPr="00CE1879">
        <w:rPr>
          <w:rFonts w:ascii="Arial" w:hAnsi="Arial" w:cs="Arial"/>
          <w:noProof w:val="0"/>
        </w:rPr>
        <w:t xml:space="preserve">ervice </w:t>
      </w:r>
      <w:r w:rsidRPr="00CE1879">
        <w:rPr>
          <w:rFonts w:ascii="Arial" w:hAnsi="Arial" w:cs="Arial"/>
          <w:noProof w:val="0"/>
        </w:rPr>
        <w:t>p</w:t>
      </w:r>
      <w:r w:rsidR="00105917" w:rsidRPr="00CE1879">
        <w:rPr>
          <w:rFonts w:ascii="Arial" w:hAnsi="Arial" w:cs="Arial"/>
          <w:noProof w:val="0"/>
        </w:rPr>
        <w:t xml:space="preserve">roviders. </w:t>
      </w:r>
      <w:r w:rsidR="00326205" w:rsidRPr="00CE1879">
        <w:rPr>
          <w:rFonts w:ascii="Arial" w:hAnsi="Arial" w:cs="Arial"/>
          <w:noProof w:val="0"/>
        </w:rPr>
        <w:t>In particular</w:t>
      </w:r>
      <w:r w:rsidR="00C124D3" w:rsidRPr="00CE1879">
        <w:rPr>
          <w:rFonts w:ascii="Arial" w:hAnsi="Arial" w:cs="Arial"/>
          <w:noProof w:val="0"/>
        </w:rPr>
        <w:t>, a third outcome measure (‘</w:t>
      </w:r>
      <w:r w:rsidR="00336E30" w:rsidRPr="00CE1879">
        <w:rPr>
          <w:rFonts w:ascii="Arial" w:hAnsi="Arial" w:cs="Arial"/>
          <w:noProof w:val="0"/>
        </w:rPr>
        <w:t>Person-C</w:t>
      </w:r>
      <w:r w:rsidR="00B506AF" w:rsidRPr="00CE1879">
        <w:rPr>
          <w:rFonts w:ascii="Arial" w:hAnsi="Arial" w:cs="Arial"/>
          <w:noProof w:val="0"/>
        </w:rPr>
        <w:t>entred</w:t>
      </w:r>
      <w:r w:rsidR="003958DD" w:rsidRPr="00CE1879">
        <w:rPr>
          <w:rFonts w:ascii="Arial" w:hAnsi="Arial" w:cs="Arial"/>
          <w:noProof w:val="0"/>
        </w:rPr>
        <w:t xml:space="preserve"> Approach </w:t>
      </w:r>
      <w:r w:rsidRPr="00CE1879">
        <w:rPr>
          <w:rFonts w:ascii="Arial" w:hAnsi="Arial" w:cs="Arial"/>
          <w:noProof w:val="0"/>
        </w:rPr>
        <w:t>(</w:t>
      </w:r>
      <w:r w:rsidR="00C124D3" w:rsidRPr="00CE1879">
        <w:rPr>
          <w:rFonts w:ascii="Arial" w:hAnsi="Arial" w:cs="Arial"/>
          <w:noProof w:val="0"/>
        </w:rPr>
        <w:t>PCA</w:t>
      </w:r>
      <w:r w:rsidRPr="00CE1879">
        <w:rPr>
          <w:rFonts w:ascii="Arial" w:hAnsi="Arial" w:cs="Arial"/>
          <w:noProof w:val="0"/>
        </w:rPr>
        <w:t>)</w:t>
      </w:r>
      <w:r w:rsidR="00C124D3" w:rsidRPr="00CE1879">
        <w:rPr>
          <w:rFonts w:ascii="Arial" w:hAnsi="Arial" w:cs="Arial"/>
          <w:noProof w:val="0"/>
        </w:rPr>
        <w:t xml:space="preserve"> Readiness’</w:t>
      </w:r>
      <w:r w:rsidR="00326205" w:rsidRPr="00CE1879">
        <w:rPr>
          <w:rFonts w:ascii="Arial" w:hAnsi="Arial" w:cs="Arial"/>
          <w:noProof w:val="0"/>
        </w:rPr>
        <w:t xml:space="preserve">) was developed to </w:t>
      </w:r>
      <w:r w:rsidR="00C124D3" w:rsidRPr="00CE1879">
        <w:rPr>
          <w:rFonts w:ascii="Arial" w:hAnsi="Arial" w:cs="Arial"/>
          <w:noProof w:val="0"/>
        </w:rPr>
        <w:t>enabl</w:t>
      </w:r>
      <w:r w:rsidR="00326205" w:rsidRPr="00CE1879">
        <w:rPr>
          <w:rFonts w:ascii="Arial" w:hAnsi="Arial" w:cs="Arial"/>
          <w:noProof w:val="0"/>
        </w:rPr>
        <w:t>e</w:t>
      </w:r>
      <w:r w:rsidR="00C124D3" w:rsidRPr="00CE1879">
        <w:rPr>
          <w:rFonts w:ascii="Arial" w:hAnsi="Arial" w:cs="Arial"/>
          <w:noProof w:val="0"/>
        </w:rPr>
        <w:t xml:space="preserve"> organisations to </w:t>
      </w:r>
      <w:r w:rsidRPr="00CE1879">
        <w:rPr>
          <w:rFonts w:ascii="Arial" w:hAnsi="Arial" w:cs="Arial"/>
          <w:noProof w:val="0"/>
        </w:rPr>
        <w:t xml:space="preserve">assess </w:t>
      </w:r>
      <w:r w:rsidR="00C124D3" w:rsidRPr="00CE1879">
        <w:rPr>
          <w:rFonts w:ascii="Arial" w:hAnsi="Arial" w:cs="Arial"/>
          <w:noProof w:val="0"/>
        </w:rPr>
        <w:t xml:space="preserve">the potential impact that various management practices may have on their overall readiness </w:t>
      </w:r>
      <w:r w:rsidRPr="00CE1879">
        <w:rPr>
          <w:rFonts w:ascii="Arial" w:hAnsi="Arial" w:cs="Arial"/>
          <w:noProof w:val="0"/>
        </w:rPr>
        <w:t>for a policy and regulatory environment where consumer preferences are more dynamic and choice and control are more prevalent</w:t>
      </w:r>
      <w:r w:rsidR="00C124D3" w:rsidRPr="00CE1879">
        <w:rPr>
          <w:rFonts w:ascii="Arial" w:hAnsi="Arial" w:cs="Arial"/>
          <w:noProof w:val="0"/>
        </w:rPr>
        <w:t>.</w:t>
      </w:r>
    </w:p>
    <w:p w:rsidR="00C11930" w:rsidRPr="00CE1879" w:rsidRDefault="00C11930" w:rsidP="00F00E67">
      <w:pPr>
        <w:spacing w:line="360" w:lineRule="auto"/>
        <w:rPr>
          <w:rFonts w:ascii="Arial" w:hAnsi="Arial" w:cs="Arial"/>
        </w:rPr>
      </w:pPr>
    </w:p>
    <w:p w:rsidR="00425267" w:rsidRPr="00CE1879" w:rsidRDefault="00425267" w:rsidP="00F00E67">
      <w:pPr>
        <w:spacing w:line="360" w:lineRule="auto"/>
        <w:rPr>
          <w:rFonts w:ascii="Arial" w:hAnsi="Arial" w:cs="Arial"/>
        </w:rPr>
      </w:pPr>
      <w:r w:rsidRPr="00CE1879">
        <w:rPr>
          <w:rFonts w:ascii="Arial" w:hAnsi="Arial" w:cs="Arial"/>
        </w:rPr>
        <w:t xml:space="preserve">In addition to this, the existing survey content was reviewed for its appropriateness and suitability </w:t>
      </w:r>
      <w:r w:rsidR="00CB42C3" w:rsidRPr="00CE1879">
        <w:rPr>
          <w:rFonts w:ascii="Arial" w:hAnsi="Arial" w:cs="Arial"/>
        </w:rPr>
        <w:t>to the sector</w:t>
      </w:r>
      <w:r w:rsidR="00FA735D" w:rsidRPr="00CE1879">
        <w:rPr>
          <w:rFonts w:ascii="Arial" w:hAnsi="Arial" w:cs="Arial"/>
        </w:rPr>
        <w:t>.</w:t>
      </w:r>
      <w:r w:rsidR="002B39DA" w:rsidRPr="00CE1879">
        <w:rPr>
          <w:rStyle w:val="FootnoteReference"/>
          <w:rFonts w:ascii="Arial" w:hAnsi="Arial" w:cs="Arial"/>
        </w:rPr>
        <w:footnoteReference w:id="6"/>
      </w:r>
      <w:r w:rsidRPr="00CE1879">
        <w:rPr>
          <w:rFonts w:ascii="Arial" w:hAnsi="Arial" w:cs="Arial"/>
        </w:rPr>
        <w:t xml:space="preserve"> </w:t>
      </w:r>
    </w:p>
    <w:p w:rsidR="00B96912" w:rsidRPr="00CE1879" w:rsidRDefault="00B96912" w:rsidP="00F00E67">
      <w:pPr>
        <w:spacing w:line="360" w:lineRule="auto"/>
        <w:rPr>
          <w:rFonts w:ascii="Arial" w:hAnsi="Arial" w:cs="Arial"/>
        </w:rPr>
      </w:pPr>
    </w:p>
    <w:p w:rsidR="00B96912" w:rsidRPr="00CE1879" w:rsidRDefault="00B96912" w:rsidP="0072500F">
      <w:pPr>
        <w:spacing w:line="360" w:lineRule="auto"/>
        <w:rPr>
          <w:rFonts w:ascii="Arial" w:hAnsi="Arial" w:cs="Arial"/>
          <w:b/>
          <w:noProof w:val="0"/>
        </w:rPr>
      </w:pPr>
      <w:r w:rsidRPr="00CE1879">
        <w:rPr>
          <w:rFonts w:ascii="Arial" w:hAnsi="Arial" w:cs="Arial"/>
          <w:b/>
          <w:noProof w:val="0"/>
        </w:rPr>
        <w:t>Outcomes</w:t>
      </w:r>
    </w:p>
    <w:p w:rsidR="00B96912" w:rsidRPr="00CE1879" w:rsidRDefault="000F24DC" w:rsidP="00F00E67">
      <w:pPr>
        <w:spacing w:line="360" w:lineRule="auto"/>
        <w:rPr>
          <w:rFonts w:ascii="Arial" w:hAnsi="Arial" w:cs="Arial"/>
        </w:rPr>
      </w:pPr>
      <w:r w:rsidRPr="00CE1879">
        <w:rPr>
          <w:rFonts w:ascii="Arial" w:hAnsi="Arial" w:cs="Arial"/>
        </w:rPr>
        <w:t>There are three</w:t>
      </w:r>
      <w:r w:rsidR="00B96912" w:rsidRPr="00CE1879">
        <w:rPr>
          <w:rFonts w:ascii="Arial" w:hAnsi="Arial" w:cs="Arial"/>
        </w:rPr>
        <w:t xml:space="preserve"> key measures of organisational performance in the model</w:t>
      </w:r>
      <w:r w:rsidR="00FA735D" w:rsidRPr="00CE1879">
        <w:rPr>
          <w:rFonts w:ascii="Arial" w:hAnsi="Arial" w:cs="Arial"/>
        </w:rPr>
        <w:t>.  T</w:t>
      </w:r>
      <w:r w:rsidR="00B96912" w:rsidRPr="00CE1879">
        <w:rPr>
          <w:rFonts w:ascii="Arial" w:hAnsi="Arial" w:cs="Arial"/>
        </w:rPr>
        <w:t>hese are:</w:t>
      </w:r>
    </w:p>
    <w:p w:rsidR="00B96912" w:rsidRPr="00CE1879" w:rsidRDefault="00B96912" w:rsidP="00F00E67">
      <w:pPr>
        <w:spacing w:line="360" w:lineRule="auto"/>
        <w:ind w:left="360"/>
        <w:rPr>
          <w:rFonts w:ascii="Arial" w:hAnsi="Arial" w:cs="Arial"/>
        </w:rPr>
      </w:pPr>
    </w:p>
    <w:p w:rsidR="00B96912" w:rsidRPr="00CE1879" w:rsidRDefault="00B96912" w:rsidP="00F00E67">
      <w:pPr>
        <w:pStyle w:val="ListParagraph"/>
        <w:numPr>
          <w:ilvl w:val="0"/>
          <w:numId w:val="17"/>
        </w:numPr>
        <w:spacing w:after="200" w:line="360" w:lineRule="auto"/>
        <w:rPr>
          <w:rFonts w:ascii="Arial" w:hAnsi="Arial" w:cs="Arial"/>
        </w:rPr>
      </w:pPr>
      <w:r w:rsidRPr="00CE1879">
        <w:rPr>
          <w:rFonts w:ascii="Arial" w:hAnsi="Arial" w:cs="Arial"/>
          <w:b/>
        </w:rPr>
        <w:t>Passion/Employee Engagement</w:t>
      </w:r>
      <w:r w:rsidRPr="00CE1879">
        <w:rPr>
          <w:rFonts w:ascii="Arial" w:hAnsi="Arial" w:cs="Arial"/>
        </w:rPr>
        <w:t xml:space="preserve"> – the extent to which staff are passionate about their day-to-day work, positive about belonging to the organisation and keen to </w:t>
      </w:r>
      <w:r w:rsidR="00EF7DC2" w:rsidRPr="00CE1879">
        <w:rPr>
          <w:rFonts w:ascii="Arial" w:hAnsi="Arial" w:cs="Arial"/>
        </w:rPr>
        <w:t>stay</w:t>
      </w:r>
      <w:r w:rsidRPr="00CE1879">
        <w:rPr>
          <w:rFonts w:ascii="Arial" w:hAnsi="Arial" w:cs="Arial"/>
        </w:rPr>
        <w:t xml:space="preserve"> there.</w:t>
      </w:r>
    </w:p>
    <w:p w:rsidR="00B96912" w:rsidRPr="00CE1879" w:rsidRDefault="00B96912" w:rsidP="00F00E67">
      <w:pPr>
        <w:pStyle w:val="ListParagraph"/>
        <w:numPr>
          <w:ilvl w:val="0"/>
          <w:numId w:val="17"/>
        </w:numPr>
        <w:spacing w:after="200" w:line="360" w:lineRule="auto"/>
        <w:rPr>
          <w:rFonts w:ascii="Arial" w:hAnsi="Arial" w:cs="Arial"/>
        </w:rPr>
      </w:pPr>
      <w:r w:rsidRPr="00CE1879">
        <w:rPr>
          <w:rFonts w:ascii="Arial" w:hAnsi="Arial" w:cs="Arial"/>
          <w:b/>
        </w:rPr>
        <w:t>Progress</w:t>
      </w:r>
      <w:r w:rsidRPr="00CE1879">
        <w:rPr>
          <w:rFonts w:ascii="Arial" w:hAnsi="Arial" w:cs="Arial"/>
        </w:rPr>
        <w:t xml:space="preserve"> – this measures staff perceptions about organisational performance: how successful is the organisation at achieving its objectives, how well is change and continuous improvement managed and is client service delivery of a high standard.</w:t>
      </w:r>
    </w:p>
    <w:p w:rsidR="000F24DC" w:rsidRPr="00CE1879" w:rsidRDefault="000F24DC" w:rsidP="00F00E67">
      <w:pPr>
        <w:pStyle w:val="ListParagraph"/>
        <w:numPr>
          <w:ilvl w:val="0"/>
          <w:numId w:val="17"/>
        </w:numPr>
        <w:spacing w:after="200" w:line="360" w:lineRule="auto"/>
        <w:rPr>
          <w:rFonts w:ascii="Arial" w:hAnsi="Arial" w:cs="Arial"/>
        </w:rPr>
      </w:pPr>
      <w:r w:rsidRPr="00CE1879">
        <w:rPr>
          <w:rFonts w:ascii="Arial" w:hAnsi="Arial" w:cs="Arial"/>
          <w:b/>
        </w:rPr>
        <w:t>P</w:t>
      </w:r>
      <w:r w:rsidR="002B39DA" w:rsidRPr="00CE1879">
        <w:rPr>
          <w:rFonts w:ascii="Arial" w:hAnsi="Arial" w:cs="Arial"/>
          <w:b/>
        </w:rPr>
        <w:t>erson-centred Approaches (P</w:t>
      </w:r>
      <w:r w:rsidRPr="00CE1879">
        <w:rPr>
          <w:rFonts w:ascii="Arial" w:hAnsi="Arial" w:cs="Arial"/>
          <w:b/>
        </w:rPr>
        <w:t>CA</w:t>
      </w:r>
      <w:r w:rsidR="002B39DA" w:rsidRPr="00CE1879">
        <w:rPr>
          <w:rFonts w:ascii="Arial" w:hAnsi="Arial" w:cs="Arial"/>
          <w:b/>
        </w:rPr>
        <w:t>)</w:t>
      </w:r>
      <w:r w:rsidRPr="00CE1879">
        <w:rPr>
          <w:rFonts w:ascii="Arial" w:hAnsi="Arial" w:cs="Arial"/>
          <w:b/>
        </w:rPr>
        <w:t xml:space="preserve"> Readiness </w:t>
      </w:r>
      <w:r w:rsidRPr="00CE1879">
        <w:rPr>
          <w:rFonts w:ascii="Arial" w:hAnsi="Arial" w:cs="Arial"/>
        </w:rPr>
        <w:t xml:space="preserve">– the extent to which staff see themselves and their organisation as being aware of the various issues relating to </w:t>
      </w:r>
      <w:r w:rsidR="00B506AF" w:rsidRPr="00CE1879">
        <w:rPr>
          <w:rFonts w:ascii="Arial" w:hAnsi="Arial" w:cs="Arial"/>
        </w:rPr>
        <w:t>Person-centred</w:t>
      </w:r>
      <w:r w:rsidRPr="00CE1879">
        <w:rPr>
          <w:rFonts w:ascii="Arial" w:hAnsi="Arial" w:cs="Arial"/>
        </w:rPr>
        <w:t xml:space="preserve"> Approaches, committed </w:t>
      </w:r>
      <w:r w:rsidR="0058475B" w:rsidRPr="00CE1879">
        <w:rPr>
          <w:rFonts w:ascii="Arial" w:hAnsi="Arial" w:cs="Arial"/>
        </w:rPr>
        <w:t>and prepared for</w:t>
      </w:r>
      <w:r w:rsidRPr="00CE1879">
        <w:rPr>
          <w:rFonts w:ascii="Arial" w:hAnsi="Arial" w:cs="Arial"/>
        </w:rPr>
        <w:t xml:space="preserve"> acting on these issues and embedding </w:t>
      </w:r>
      <w:r w:rsidR="00B506AF" w:rsidRPr="00CE1879">
        <w:rPr>
          <w:rFonts w:ascii="Arial" w:hAnsi="Arial" w:cs="Arial"/>
        </w:rPr>
        <w:t>person-centred</w:t>
      </w:r>
      <w:r w:rsidRPr="00CE1879">
        <w:rPr>
          <w:rFonts w:ascii="Arial" w:hAnsi="Arial" w:cs="Arial"/>
        </w:rPr>
        <w:t xml:space="preserve"> service in</w:t>
      </w:r>
      <w:r w:rsidR="0058475B" w:rsidRPr="00CE1879">
        <w:rPr>
          <w:rFonts w:ascii="Arial" w:hAnsi="Arial" w:cs="Arial"/>
        </w:rPr>
        <w:t>to</w:t>
      </w:r>
      <w:r w:rsidR="002375F9" w:rsidRPr="00CE1879">
        <w:rPr>
          <w:rFonts w:ascii="Arial" w:hAnsi="Arial" w:cs="Arial"/>
        </w:rPr>
        <w:t xml:space="preserve"> the organisation’s </w:t>
      </w:r>
      <w:r w:rsidRPr="00CE1879">
        <w:rPr>
          <w:rFonts w:ascii="Arial" w:hAnsi="Arial" w:cs="Arial"/>
        </w:rPr>
        <w:t>culture and processes, a</w:t>
      </w:r>
      <w:r w:rsidR="002375F9" w:rsidRPr="00CE1879">
        <w:rPr>
          <w:rFonts w:ascii="Arial" w:hAnsi="Arial" w:cs="Arial"/>
        </w:rPr>
        <w:t>nd whether they feel this</w:t>
      </w:r>
      <w:r w:rsidRPr="00CE1879">
        <w:rPr>
          <w:rFonts w:ascii="Arial" w:hAnsi="Arial" w:cs="Arial"/>
        </w:rPr>
        <w:t xml:space="preserve"> has made  a real difference in the lives of clients and customers.</w:t>
      </w:r>
    </w:p>
    <w:p w:rsidR="00B96912" w:rsidRPr="00CE1879" w:rsidRDefault="00554B25" w:rsidP="0072500F">
      <w:pPr>
        <w:spacing w:line="360" w:lineRule="auto"/>
        <w:rPr>
          <w:rFonts w:ascii="Arial" w:hAnsi="Arial" w:cs="Arial"/>
          <w:b/>
          <w:noProof w:val="0"/>
        </w:rPr>
      </w:pPr>
      <w:r w:rsidRPr="00CE1879">
        <w:rPr>
          <w:rFonts w:ascii="Arial" w:hAnsi="Arial" w:cs="Arial"/>
          <w:b/>
          <w:noProof w:val="0"/>
        </w:rPr>
        <w:lastRenderedPageBreak/>
        <w:t xml:space="preserve">Outcome </w:t>
      </w:r>
      <w:r w:rsidR="00B96912" w:rsidRPr="00CE1879">
        <w:rPr>
          <w:rFonts w:ascii="Arial" w:hAnsi="Arial" w:cs="Arial"/>
          <w:b/>
          <w:noProof w:val="0"/>
        </w:rPr>
        <w:t>Drivers</w:t>
      </w:r>
    </w:p>
    <w:p w:rsidR="004409A4" w:rsidRPr="00CE1879" w:rsidRDefault="00B96912" w:rsidP="00F00E67">
      <w:pPr>
        <w:spacing w:line="360" w:lineRule="auto"/>
        <w:rPr>
          <w:rFonts w:ascii="Arial" w:hAnsi="Arial" w:cs="Arial"/>
        </w:rPr>
      </w:pPr>
      <w:r w:rsidRPr="00CE1879">
        <w:rPr>
          <w:rFonts w:ascii="Arial" w:hAnsi="Arial" w:cs="Arial"/>
        </w:rPr>
        <w:t>Drivin</w:t>
      </w:r>
      <w:r w:rsidR="000F24DC" w:rsidRPr="00CE1879">
        <w:rPr>
          <w:rFonts w:ascii="Arial" w:hAnsi="Arial" w:cs="Arial"/>
        </w:rPr>
        <w:t>g the outcomes of engagemen</w:t>
      </w:r>
      <w:r w:rsidR="002375F9" w:rsidRPr="00CE1879">
        <w:rPr>
          <w:rFonts w:ascii="Arial" w:hAnsi="Arial" w:cs="Arial"/>
        </w:rPr>
        <w:t>t</w:t>
      </w:r>
      <w:r w:rsidR="000F24DC" w:rsidRPr="00CE1879">
        <w:rPr>
          <w:rFonts w:ascii="Arial" w:hAnsi="Arial" w:cs="Arial"/>
        </w:rPr>
        <w:t>,</w:t>
      </w:r>
      <w:r w:rsidRPr="00CE1879">
        <w:rPr>
          <w:rFonts w:ascii="Arial" w:hAnsi="Arial" w:cs="Arial"/>
        </w:rPr>
        <w:t xml:space="preserve"> progress</w:t>
      </w:r>
      <w:r w:rsidR="000F24DC" w:rsidRPr="00CE1879">
        <w:rPr>
          <w:rFonts w:ascii="Arial" w:hAnsi="Arial" w:cs="Arial"/>
        </w:rPr>
        <w:t xml:space="preserve"> and PCA readiness</w:t>
      </w:r>
      <w:r w:rsidRPr="00CE1879">
        <w:rPr>
          <w:rFonts w:ascii="Arial" w:hAnsi="Arial" w:cs="Arial"/>
        </w:rPr>
        <w:t xml:space="preserve"> are a range of organisational practices. Current performance is measured in each of these practices and this helps to identify the key changes that can be made to </w:t>
      </w:r>
      <w:r w:rsidR="000F24DC" w:rsidRPr="00CE1879">
        <w:rPr>
          <w:rFonts w:ascii="Arial" w:hAnsi="Arial" w:cs="Arial"/>
        </w:rPr>
        <w:t xml:space="preserve">achieve stronger engagement, </w:t>
      </w:r>
      <w:r w:rsidRPr="00CE1879">
        <w:rPr>
          <w:rFonts w:ascii="Arial" w:hAnsi="Arial" w:cs="Arial"/>
        </w:rPr>
        <w:t>progress</w:t>
      </w:r>
      <w:r w:rsidR="000F24DC" w:rsidRPr="00CE1879">
        <w:rPr>
          <w:rFonts w:ascii="Arial" w:hAnsi="Arial" w:cs="Arial"/>
        </w:rPr>
        <w:t xml:space="preserve"> </w:t>
      </w:r>
      <w:r w:rsidR="0058475B" w:rsidRPr="00CE1879">
        <w:rPr>
          <w:rFonts w:ascii="Arial" w:hAnsi="Arial" w:cs="Arial"/>
        </w:rPr>
        <w:t xml:space="preserve">and </w:t>
      </w:r>
      <w:r w:rsidR="000F24DC" w:rsidRPr="00CE1879">
        <w:rPr>
          <w:rFonts w:ascii="Arial" w:hAnsi="Arial" w:cs="Arial"/>
        </w:rPr>
        <w:t xml:space="preserve">readiness for </w:t>
      </w:r>
      <w:r w:rsidR="00B506AF" w:rsidRPr="00CE1879">
        <w:rPr>
          <w:rFonts w:ascii="Arial" w:hAnsi="Arial" w:cs="Arial"/>
        </w:rPr>
        <w:t>person-centred</w:t>
      </w:r>
      <w:r w:rsidR="0058475B" w:rsidRPr="00CE1879">
        <w:rPr>
          <w:rFonts w:ascii="Arial" w:hAnsi="Arial" w:cs="Arial"/>
        </w:rPr>
        <w:t xml:space="preserve"> approaches</w:t>
      </w:r>
      <w:r w:rsidRPr="00CE1879">
        <w:rPr>
          <w:rFonts w:ascii="Arial" w:hAnsi="Arial" w:cs="Arial"/>
        </w:rPr>
        <w:t>.  For example, if employees are unclear about the purpose of the organisation, this is likely to affect their emotional att</w:t>
      </w:r>
      <w:r w:rsidR="0058475B" w:rsidRPr="00CE1879">
        <w:rPr>
          <w:rFonts w:ascii="Arial" w:hAnsi="Arial" w:cs="Arial"/>
        </w:rPr>
        <w:t xml:space="preserve">achment to the organisation, </w:t>
      </w:r>
      <w:r w:rsidRPr="00CE1879">
        <w:rPr>
          <w:rFonts w:ascii="Arial" w:hAnsi="Arial" w:cs="Arial"/>
        </w:rPr>
        <w:t>their evaluation of its progress</w:t>
      </w:r>
      <w:r w:rsidR="0058475B" w:rsidRPr="00CE1879">
        <w:rPr>
          <w:rFonts w:ascii="Arial" w:hAnsi="Arial" w:cs="Arial"/>
        </w:rPr>
        <w:t xml:space="preserve"> and how prepared they think it is for operating in an environment characterised by </w:t>
      </w:r>
      <w:r w:rsidR="00B506AF" w:rsidRPr="00CE1879">
        <w:rPr>
          <w:rFonts w:ascii="Arial" w:hAnsi="Arial" w:cs="Arial"/>
        </w:rPr>
        <w:t>person-centred</w:t>
      </w:r>
      <w:r w:rsidR="0058475B" w:rsidRPr="00CE1879">
        <w:rPr>
          <w:rFonts w:ascii="Arial" w:hAnsi="Arial" w:cs="Arial"/>
        </w:rPr>
        <w:t xml:space="preserve"> service and individualised funding</w:t>
      </w:r>
      <w:r w:rsidRPr="00CE1879">
        <w:rPr>
          <w:rFonts w:ascii="Arial" w:hAnsi="Arial" w:cs="Arial"/>
        </w:rPr>
        <w:t>.  In this example, action could be taken around communication of strategy or perhaps clarifying organisational values.</w:t>
      </w:r>
    </w:p>
    <w:p w:rsidR="004409A4" w:rsidRPr="00CE1879" w:rsidRDefault="004409A4" w:rsidP="00F00E67">
      <w:pPr>
        <w:spacing w:line="360" w:lineRule="auto"/>
        <w:ind w:left="360"/>
        <w:rPr>
          <w:rFonts w:ascii="Arial" w:hAnsi="Arial" w:cs="Arial"/>
        </w:rPr>
      </w:pPr>
    </w:p>
    <w:p w:rsidR="00B96912" w:rsidRPr="00CE1879" w:rsidRDefault="001147CE" w:rsidP="00F00E67">
      <w:pPr>
        <w:spacing w:line="360" w:lineRule="auto"/>
        <w:rPr>
          <w:rFonts w:ascii="Arial" w:hAnsi="Arial" w:cs="Arial"/>
        </w:rPr>
      </w:pPr>
      <w:r w:rsidRPr="00CE1879">
        <w:rPr>
          <w:rFonts w:ascii="Arial" w:hAnsi="Arial" w:cs="Arial"/>
        </w:rPr>
        <w:t>W</w:t>
      </w:r>
      <w:r w:rsidR="004409A4" w:rsidRPr="00CE1879">
        <w:rPr>
          <w:rFonts w:ascii="Arial" w:hAnsi="Arial" w:cs="Arial"/>
        </w:rPr>
        <w:t>hilst research has supported the notion that these drivers cause changes in the outcome indicators of passion/engagement and progress</w:t>
      </w:r>
      <w:r w:rsidR="00A2623F" w:rsidRPr="00CE1879">
        <w:rPr>
          <w:rFonts w:ascii="Arial" w:hAnsi="Arial" w:cs="Arial"/>
        </w:rPr>
        <w:t xml:space="preserve"> (Langford et al., 2006)</w:t>
      </w:r>
      <w:r w:rsidR="004409A4" w:rsidRPr="00CE1879">
        <w:rPr>
          <w:rFonts w:ascii="Arial" w:hAnsi="Arial" w:cs="Arial"/>
        </w:rPr>
        <w:t>, t</w:t>
      </w:r>
      <w:r w:rsidRPr="00CE1879">
        <w:rPr>
          <w:rFonts w:ascii="Arial" w:hAnsi="Arial" w:cs="Arial"/>
        </w:rPr>
        <w:t xml:space="preserve">his has not been </w:t>
      </w:r>
      <w:r w:rsidR="004409A4" w:rsidRPr="00CE1879">
        <w:rPr>
          <w:rFonts w:ascii="Arial" w:hAnsi="Arial" w:cs="Arial"/>
        </w:rPr>
        <w:t>investigated in relatio</w:t>
      </w:r>
      <w:r w:rsidR="007E6E5B" w:rsidRPr="00CE1879">
        <w:rPr>
          <w:rFonts w:ascii="Arial" w:hAnsi="Arial" w:cs="Arial"/>
        </w:rPr>
        <w:t>n to PCA r</w:t>
      </w:r>
      <w:r w:rsidR="004409A4" w:rsidRPr="00CE1879">
        <w:rPr>
          <w:rFonts w:ascii="Arial" w:hAnsi="Arial" w:cs="Arial"/>
        </w:rPr>
        <w:t xml:space="preserve">eadiness as this was beyond the scope of the current project. That is (using the example above), it may be the case that PCA </w:t>
      </w:r>
      <w:r w:rsidR="007E6E5B" w:rsidRPr="00CE1879">
        <w:rPr>
          <w:rFonts w:ascii="Arial" w:hAnsi="Arial" w:cs="Arial"/>
        </w:rPr>
        <w:t>r</w:t>
      </w:r>
      <w:r w:rsidR="004409A4" w:rsidRPr="00CE1879">
        <w:rPr>
          <w:rFonts w:ascii="Arial" w:hAnsi="Arial" w:cs="Arial"/>
        </w:rPr>
        <w:t xml:space="preserve">eadiness causes </w:t>
      </w:r>
      <w:r w:rsidR="00326205" w:rsidRPr="00CE1879">
        <w:rPr>
          <w:rFonts w:ascii="Arial" w:hAnsi="Arial" w:cs="Arial"/>
        </w:rPr>
        <w:t xml:space="preserve">awareness of </w:t>
      </w:r>
      <w:r w:rsidR="004409A4" w:rsidRPr="00CE1879">
        <w:rPr>
          <w:rFonts w:ascii="Arial" w:hAnsi="Arial" w:cs="Arial"/>
        </w:rPr>
        <w:t>organisation</w:t>
      </w:r>
      <w:r w:rsidR="00326205" w:rsidRPr="00CE1879">
        <w:rPr>
          <w:rFonts w:ascii="Arial" w:hAnsi="Arial" w:cs="Arial"/>
        </w:rPr>
        <w:t>al purpose</w:t>
      </w:r>
      <w:r w:rsidR="004409A4" w:rsidRPr="00CE1879">
        <w:rPr>
          <w:rFonts w:ascii="Arial" w:hAnsi="Arial" w:cs="Arial"/>
        </w:rPr>
        <w:t xml:space="preserve"> rather</w:t>
      </w:r>
      <w:r w:rsidR="004420C3" w:rsidRPr="00CE1879">
        <w:rPr>
          <w:rFonts w:ascii="Arial" w:hAnsi="Arial" w:cs="Arial"/>
        </w:rPr>
        <w:t xml:space="preserve"> than organisational</w:t>
      </w:r>
      <w:r w:rsidR="004409A4" w:rsidRPr="00CE1879">
        <w:rPr>
          <w:rFonts w:ascii="Arial" w:hAnsi="Arial" w:cs="Arial"/>
        </w:rPr>
        <w:t xml:space="preserve"> purpose causing </w:t>
      </w:r>
      <w:r w:rsidR="004420C3" w:rsidRPr="00CE1879">
        <w:rPr>
          <w:rFonts w:ascii="Arial" w:hAnsi="Arial" w:cs="Arial"/>
        </w:rPr>
        <w:t xml:space="preserve">PCA </w:t>
      </w:r>
      <w:r w:rsidR="004409A4" w:rsidRPr="00CE1879">
        <w:rPr>
          <w:rFonts w:ascii="Arial" w:hAnsi="Arial" w:cs="Arial"/>
        </w:rPr>
        <w:t xml:space="preserve">readiness. For the </w:t>
      </w:r>
      <w:r w:rsidR="00111A51" w:rsidRPr="00CE1879">
        <w:rPr>
          <w:rFonts w:ascii="Arial" w:hAnsi="Arial" w:cs="Arial"/>
        </w:rPr>
        <w:t xml:space="preserve"> aim </w:t>
      </w:r>
      <w:r w:rsidR="004409A4" w:rsidRPr="00CE1879">
        <w:rPr>
          <w:rFonts w:ascii="Arial" w:hAnsi="Arial" w:cs="Arial"/>
        </w:rPr>
        <w:t>of this report</w:t>
      </w:r>
      <w:r w:rsidR="00FA735D" w:rsidRPr="00CE1879">
        <w:rPr>
          <w:rFonts w:ascii="Arial" w:hAnsi="Arial" w:cs="Arial"/>
        </w:rPr>
        <w:t>,</w:t>
      </w:r>
      <w:r w:rsidR="004409A4" w:rsidRPr="00CE1879">
        <w:rPr>
          <w:rFonts w:ascii="Arial" w:hAnsi="Arial" w:cs="Arial"/>
        </w:rPr>
        <w:t xml:space="preserve"> however, we have assumed that the drivers</w:t>
      </w:r>
      <w:r w:rsidR="004420C3" w:rsidRPr="00CE1879">
        <w:rPr>
          <w:rFonts w:ascii="Arial" w:hAnsi="Arial" w:cs="Arial"/>
        </w:rPr>
        <w:t xml:space="preserve"> listed below</w:t>
      </w:r>
      <w:r w:rsidR="004409A4" w:rsidRPr="00CE1879">
        <w:rPr>
          <w:rFonts w:ascii="Arial" w:hAnsi="Arial" w:cs="Arial"/>
        </w:rPr>
        <w:t xml:space="preserve"> do actually impact </w:t>
      </w:r>
      <w:r w:rsidR="00326205" w:rsidRPr="00CE1879">
        <w:rPr>
          <w:rFonts w:ascii="Arial" w:hAnsi="Arial" w:cs="Arial"/>
        </w:rPr>
        <w:t>on PCA Readiness</w:t>
      </w:r>
      <w:r w:rsidRPr="00CE1879">
        <w:rPr>
          <w:rFonts w:ascii="Arial" w:hAnsi="Arial" w:cs="Arial"/>
        </w:rPr>
        <w:t xml:space="preserve"> as well as passion/engagement and progress:</w:t>
      </w:r>
    </w:p>
    <w:p w:rsidR="00B96912" w:rsidRPr="00CE1879" w:rsidRDefault="00B96912" w:rsidP="0072500F">
      <w:pPr>
        <w:spacing w:line="360" w:lineRule="auto"/>
        <w:ind w:left="360"/>
        <w:rPr>
          <w:rFonts w:ascii="Arial" w:hAnsi="Arial" w:cs="Arial"/>
        </w:rPr>
      </w:pPr>
    </w:p>
    <w:p w:rsidR="00B96912" w:rsidRPr="00CE1879" w:rsidRDefault="00B96912" w:rsidP="00F00E67">
      <w:pPr>
        <w:pStyle w:val="ListParagraph"/>
        <w:numPr>
          <w:ilvl w:val="0"/>
          <w:numId w:val="18"/>
        </w:numPr>
        <w:spacing w:after="200" w:line="360" w:lineRule="auto"/>
        <w:rPr>
          <w:rFonts w:ascii="Arial" w:hAnsi="Arial" w:cs="Arial"/>
        </w:rPr>
      </w:pPr>
      <w:r w:rsidRPr="00CE1879">
        <w:rPr>
          <w:rFonts w:ascii="Arial" w:hAnsi="Arial" w:cs="Arial"/>
          <w:b/>
        </w:rPr>
        <w:t>Purpose</w:t>
      </w:r>
      <w:r w:rsidRPr="00CE1879">
        <w:rPr>
          <w:rFonts w:ascii="Arial" w:hAnsi="Arial" w:cs="Arial"/>
        </w:rPr>
        <w:t xml:space="preserve"> – this is about the clarity which exists about organisational identity.  Are staff aware of senior management's strategy and vision?  Are staff committed to the values and mission of the organisation?</w:t>
      </w:r>
    </w:p>
    <w:p w:rsidR="00B96912" w:rsidRPr="00CE1879" w:rsidRDefault="00B96912" w:rsidP="00F00E67">
      <w:pPr>
        <w:pStyle w:val="ListParagraph"/>
        <w:numPr>
          <w:ilvl w:val="0"/>
          <w:numId w:val="18"/>
        </w:numPr>
        <w:spacing w:after="200" w:line="360" w:lineRule="auto"/>
        <w:rPr>
          <w:rFonts w:ascii="Arial" w:hAnsi="Arial" w:cs="Arial"/>
        </w:rPr>
      </w:pPr>
      <w:r w:rsidRPr="00CE1879">
        <w:rPr>
          <w:rFonts w:ascii="Arial" w:hAnsi="Arial" w:cs="Arial"/>
          <w:b/>
        </w:rPr>
        <w:t>Property</w:t>
      </w:r>
      <w:r w:rsidRPr="00CE1879">
        <w:rPr>
          <w:rFonts w:ascii="Arial" w:hAnsi="Arial" w:cs="Arial"/>
        </w:rPr>
        <w:t xml:space="preserve"> – the extent to which staff feel they have the infrastructure and resources they need to do their jobs.</w:t>
      </w:r>
    </w:p>
    <w:p w:rsidR="00B96912" w:rsidRPr="00CE1879" w:rsidRDefault="00B96912" w:rsidP="00F00E67">
      <w:pPr>
        <w:pStyle w:val="ListParagraph"/>
        <w:numPr>
          <w:ilvl w:val="0"/>
          <w:numId w:val="18"/>
        </w:numPr>
        <w:spacing w:after="200" w:line="360" w:lineRule="auto"/>
        <w:rPr>
          <w:rFonts w:ascii="Arial" w:hAnsi="Arial" w:cs="Arial"/>
        </w:rPr>
      </w:pPr>
      <w:r w:rsidRPr="00CE1879">
        <w:rPr>
          <w:rFonts w:ascii="Arial" w:hAnsi="Arial" w:cs="Arial"/>
          <w:b/>
        </w:rPr>
        <w:t xml:space="preserve">Participation </w:t>
      </w:r>
      <w:r w:rsidRPr="00CE1879">
        <w:rPr>
          <w:rFonts w:ascii="Arial" w:hAnsi="Arial" w:cs="Arial"/>
        </w:rPr>
        <w:t>- this area relates to staff feeling about how they are managed, the extent to which they receive development opportunities, satisfaction with organisational communication – vertically and horizontally</w:t>
      </w:r>
      <w:r w:rsidR="00FA735D" w:rsidRPr="00CE1879">
        <w:rPr>
          <w:rFonts w:ascii="Arial" w:hAnsi="Arial" w:cs="Arial"/>
        </w:rPr>
        <w:t xml:space="preserve"> – </w:t>
      </w:r>
      <w:r w:rsidRPr="00CE1879">
        <w:rPr>
          <w:rFonts w:ascii="Arial" w:hAnsi="Arial" w:cs="Arial"/>
        </w:rPr>
        <w:t>and many traditional ‘HR’ practices.</w:t>
      </w:r>
    </w:p>
    <w:p w:rsidR="00B96912" w:rsidRPr="00CE1879" w:rsidRDefault="00B96912" w:rsidP="00F00E67">
      <w:pPr>
        <w:pStyle w:val="ListParagraph"/>
        <w:numPr>
          <w:ilvl w:val="0"/>
          <w:numId w:val="18"/>
        </w:numPr>
        <w:spacing w:after="200" w:line="360" w:lineRule="auto"/>
        <w:rPr>
          <w:rFonts w:ascii="Arial" w:hAnsi="Arial" w:cs="Arial"/>
        </w:rPr>
      </w:pPr>
      <w:r w:rsidRPr="00CE1879">
        <w:rPr>
          <w:rFonts w:ascii="Arial" w:hAnsi="Arial" w:cs="Arial"/>
          <w:b/>
        </w:rPr>
        <w:t xml:space="preserve">People </w:t>
      </w:r>
      <w:r w:rsidRPr="00CE1879">
        <w:rPr>
          <w:rFonts w:ascii="Arial" w:hAnsi="Arial" w:cs="Arial"/>
        </w:rPr>
        <w:t>– this is mainly about staff relationships with immediate co-workers.  Do they work well in a team? Are they motivated? Are they skilled and talented?</w:t>
      </w:r>
    </w:p>
    <w:p w:rsidR="004409A4" w:rsidRPr="00CE1879" w:rsidRDefault="00B96912" w:rsidP="00F00E67">
      <w:pPr>
        <w:pStyle w:val="ListParagraph"/>
        <w:numPr>
          <w:ilvl w:val="0"/>
          <w:numId w:val="18"/>
        </w:numPr>
        <w:spacing w:after="200" w:line="360" w:lineRule="auto"/>
        <w:rPr>
          <w:rFonts w:ascii="Arial" w:hAnsi="Arial" w:cs="Arial"/>
        </w:rPr>
      </w:pPr>
      <w:r w:rsidRPr="00CE1879">
        <w:rPr>
          <w:rFonts w:ascii="Arial" w:hAnsi="Arial" w:cs="Arial"/>
          <w:b/>
        </w:rPr>
        <w:t xml:space="preserve">Peace </w:t>
      </w:r>
      <w:r w:rsidRPr="00CE1879">
        <w:rPr>
          <w:rFonts w:ascii="Arial" w:hAnsi="Arial" w:cs="Arial"/>
        </w:rPr>
        <w:t xml:space="preserve">– how well are staff able to maintain peace by managing stress, achieving work-life balance and working flexibly. </w:t>
      </w:r>
    </w:p>
    <w:p w:rsidR="002B39DA" w:rsidRPr="00CE1879" w:rsidRDefault="002B39DA" w:rsidP="00F00E67">
      <w:pPr>
        <w:spacing w:after="200" w:line="360" w:lineRule="auto"/>
        <w:rPr>
          <w:rFonts w:ascii="Arial" w:hAnsi="Arial" w:cs="Arial"/>
          <w:b/>
        </w:rPr>
      </w:pPr>
      <w:r w:rsidRPr="00CE1879">
        <w:rPr>
          <w:rFonts w:ascii="Arial" w:hAnsi="Arial" w:cs="Arial"/>
          <w:b/>
        </w:rPr>
        <w:t>Drivers and Outcomes</w:t>
      </w:r>
    </w:p>
    <w:p w:rsidR="007D6336" w:rsidRPr="00CE1879" w:rsidRDefault="00CE1879" w:rsidP="0072500F">
      <w:pPr>
        <w:spacing w:after="200" w:line="360" w:lineRule="auto"/>
        <w:rPr>
          <w:rFonts w:ascii="Arial" w:hAnsi="Arial" w:cs="Arial"/>
          <w:b/>
          <w:lang w:eastAsia="en-AU"/>
        </w:rPr>
      </w:pPr>
      <w:r>
        <w:rPr>
          <w:rFonts w:ascii="Arial" w:hAnsi="Arial" w:cs="Arial"/>
          <w:b/>
          <w:lang w:eastAsia="en-AU"/>
        </w:rPr>
        <w:t>Drivers</w:t>
      </w:r>
    </w:p>
    <w:p w:rsidR="00A20A52" w:rsidRPr="00CE1879" w:rsidRDefault="00A20A52" w:rsidP="0072500F">
      <w:pPr>
        <w:spacing w:after="200" w:line="360" w:lineRule="auto"/>
        <w:rPr>
          <w:rFonts w:ascii="Arial" w:hAnsi="Arial" w:cs="Arial"/>
          <w:b/>
          <w:lang w:eastAsia="en-AU"/>
        </w:rPr>
      </w:pPr>
      <w:r w:rsidRPr="00CE1879">
        <w:rPr>
          <w:rFonts w:ascii="Arial" w:hAnsi="Arial" w:cs="Arial"/>
          <w:b/>
          <w:lang w:eastAsia="en-AU"/>
        </w:rPr>
        <w:t>Purpose</w:t>
      </w:r>
      <w:r w:rsidR="00CE1879">
        <w:rPr>
          <w:rFonts w:ascii="Arial" w:hAnsi="Arial" w:cs="Arial"/>
          <w:b/>
          <w:lang w:eastAsia="en-AU"/>
        </w:rPr>
        <w:t>:</w:t>
      </w:r>
    </w:p>
    <w:p w:rsidR="007D6336" w:rsidRPr="00CE1879" w:rsidRDefault="007D6336" w:rsidP="0072500F">
      <w:pPr>
        <w:pStyle w:val="ListParagraph"/>
        <w:numPr>
          <w:ilvl w:val="0"/>
          <w:numId w:val="25"/>
        </w:numPr>
        <w:spacing w:after="200" w:line="360" w:lineRule="auto"/>
        <w:rPr>
          <w:rFonts w:ascii="Arial" w:hAnsi="Arial" w:cs="Arial"/>
          <w:lang w:eastAsia="en-AU"/>
        </w:rPr>
      </w:pPr>
      <w:r w:rsidRPr="00CE1879">
        <w:rPr>
          <w:rFonts w:ascii="Arial" w:hAnsi="Arial" w:cs="Arial"/>
          <w:lang w:eastAsia="en-AU"/>
        </w:rPr>
        <w:t>Organisation direction</w:t>
      </w:r>
    </w:p>
    <w:p w:rsidR="007D6336" w:rsidRPr="00CE1879" w:rsidRDefault="007D6336" w:rsidP="0072500F">
      <w:pPr>
        <w:pStyle w:val="ListParagraph"/>
        <w:numPr>
          <w:ilvl w:val="0"/>
          <w:numId w:val="25"/>
        </w:numPr>
        <w:spacing w:after="200" w:line="360" w:lineRule="auto"/>
        <w:rPr>
          <w:rFonts w:ascii="Arial" w:hAnsi="Arial" w:cs="Arial"/>
          <w:lang w:eastAsia="en-AU"/>
        </w:rPr>
      </w:pPr>
      <w:r w:rsidRPr="00CE1879">
        <w:rPr>
          <w:rFonts w:ascii="Arial" w:hAnsi="Arial" w:cs="Arial"/>
          <w:lang w:eastAsia="en-AU"/>
        </w:rPr>
        <w:t>Results focus</w:t>
      </w:r>
    </w:p>
    <w:p w:rsidR="007D6336" w:rsidRPr="00CE1879" w:rsidRDefault="007D6336" w:rsidP="0072500F">
      <w:pPr>
        <w:pStyle w:val="ListParagraph"/>
        <w:numPr>
          <w:ilvl w:val="0"/>
          <w:numId w:val="25"/>
        </w:numPr>
        <w:spacing w:after="200" w:line="360" w:lineRule="auto"/>
        <w:rPr>
          <w:rFonts w:ascii="Arial" w:hAnsi="Arial" w:cs="Arial"/>
        </w:rPr>
      </w:pPr>
      <w:r w:rsidRPr="00CE1879">
        <w:rPr>
          <w:rFonts w:ascii="Arial" w:hAnsi="Arial" w:cs="Arial"/>
        </w:rPr>
        <w:t>Mission and values</w:t>
      </w:r>
    </w:p>
    <w:p w:rsidR="00755DE4" w:rsidRPr="00CE1879" w:rsidRDefault="00755DE4" w:rsidP="0072500F">
      <w:pPr>
        <w:pStyle w:val="ListParagraph"/>
        <w:numPr>
          <w:ilvl w:val="0"/>
          <w:numId w:val="25"/>
        </w:numPr>
        <w:spacing w:after="200" w:line="360" w:lineRule="auto"/>
        <w:rPr>
          <w:rFonts w:ascii="Arial" w:hAnsi="Arial" w:cs="Arial"/>
        </w:rPr>
      </w:pPr>
      <w:r w:rsidRPr="00CE1879">
        <w:rPr>
          <w:rFonts w:ascii="Arial" w:hAnsi="Arial" w:cs="Arial"/>
        </w:rPr>
        <w:t>Ethics</w:t>
      </w:r>
    </w:p>
    <w:p w:rsidR="00755DE4" w:rsidRPr="00CE1879" w:rsidRDefault="00755DE4" w:rsidP="0072500F">
      <w:pPr>
        <w:pStyle w:val="ListParagraph"/>
        <w:numPr>
          <w:ilvl w:val="0"/>
          <w:numId w:val="25"/>
        </w:numPr>
        <w:spacing w:after="200" w:line="360" w:lineRule="auto"/>
        <w:rPr>
          <w:rFonts w:ascii="Arial" w:hAnsi="Arial" w:cs="Arial"/>
        </w:rPr>
      </w:pPr>
      <w:r w:rsidRPr="00CE1879">
        <w:rPr>
          <w:rFonts w:ascii="Arial" w:hAnsi="Arial" w:cs="Arial"/>
        </w:rPr>
        <w:t>Role clarity</w:t>
      </w:r>
    </w:p>
    <w:p w:rsidR="00755DE4" w:rsidRPr="00CE1879" w:rsidRDefault="00755DE4" w:rsidP="0072500F">
      <w:pPr>
        <w:pStyle w:val="ListParagraph"/>
        <w:numPr>
          <w:ilvl w:val="0"/>
          <w:numId w:val="25"/>
        </w:numPr>
        <w:spacing w:after="200" w:line="360" w:lineRule="auto"/>
        <w:rPr>
          <w:rFonts w:ascii="Arial" w:hAnsi="Arial" w:cs="Arial"/>
        </w:rPr>
      </w:pPr>
      <w:r w:rsidRPr="00CE1879">
        <w:rPr>
          <w:rFonts w:ascii="Arial" w:hAnsi="Arial" w:cs="Arial"/>
        </w:rPr>
        <w:t>Diversity</w:t>
      </w:r>
    </w:p>
    <w:p w:rsidR="00755DE4" w:rsidRPr="00CE1879" w:rsidRDefault="00755DE4" w:rsidP="0072500F">
      <w:pPr>
        <w:spacing w:after="200" w:line="360" w:lineRule="auto"/>
        <w:rPr>
          <w:rFonts w:ascii="Arial" w:hAnsi="Arial" w:cs="Arial"/>
          <w:b/>
        </w:rPr>
      </w:pPr>
      <w:r w:rsidRPr="00CE1879">
        <w:rPr>
          <w:rFonts w:ascii="Arial" w:hAnsi="Arial" w:cs="Arial"/>
          <w:b/>
        </w:rPr>
        <w:t>People:</w:t>
      </w:r>
    </w:p>
    <w:p w:rsidR="00755DE4" w:rsidRPr="00CE1879" w:rsidRDefault="00755DE4" w:rsidP="0072500F">
      <w:pPr>
        <w:pStyle w:val="ListParagraph"/>
        <w:numPr>
          <w:ilvl w:val="0"/>
          <w:numId w:val="24"/>
        </w:numPr>
        <w:spacing w:after="200" w:line="360" w:lineRule="auto"/>
        <w:rPr>
          <w:rFonts w:ascii="Arial" w:hAnsi="Arial" w:cs="Arial"/>
        </w:rPr>
      </w:pPr>
      <w:r w:rsidRPr="00CE1879">
        <w:rPr>
          <w:rFonts w:ascii="Arial" w:hAnsi="Arial" w:cs="Arial"/>
        </w:rPr>
        <w:t>Motivation and initiative</w:t>
      </w:r>
    </w:p>
    <w:p w:rsidR="00755DE4" w:rsidRPr="00CE1879" w:rsidRDefault="00755DE4" w:rsidP="0072500F">
      <w:pPr>
        <w:pStyle w:val="ListParagraph"/>
        <w:numPr>
          <w:ilvl w:val="0"/>
          <w:numId w:val="24"/>
        </w:numPr>
        <w:spacing w:after="200" w:line="360" w:lineRule="auto"/>
        <w:rPr>
          <w:rFonts w:ascii="Arial" w:hAnsi="Arial" w:cs="Arial"/>
        </w:rPr>
      </w:pPr>
      <w:r w:rsidRPr="00CE1879">
        <w:rPr>
          <w:rFonts w:ascii="Arial" w:hAnsi="Arial" w:cs="Arial"/>
        </w:rPr>
        <w:t>Teamwork</w:t>
      </w:r>
    </w:p>
    <w:p w:rsidR="00755DE4" w:rsidRPr="00CE1879" w:rsidRDefault="00755DE4" w:rsidP="0072500F">
      <w:pPr>
        <w:pStyle w:val="ListParagraph"/>
        <w:numPr>
          <w:ilvl w:val="0"/>
          <w:numId w:val="24"/>
        </w:numPr>
        <w:spacing w:after="200" w:line="360" w:lineRule="auto"/>
        <w:rPr>
          <w:rFonts w:ascii="Arial" w:hAnsi="Arial" w:cs="Arial"/>
        </w:rPr>
      </w:pPr>
      <w:r w:rsidRPr="00CE1879">
        <w:rPr>
          <w:rFonts w:ascii="Arial" w:hAnsi="Arial" w:cs="Arial"/>
        </w:rPr>
        <w:t>Talent</w:t>
      </w:r>
    </w:p>
    <w:p w:rsidR="00755DE4" w:rsidRPr="00CE1879" w:rsidRDefault="00755DE4" w:rsidP="0072500F">
      <w:pPr>
        <w:spacing w:after="200" w:line="360" w:lineRule="auto"/>
        <w:rPr>
          <w:rFonts w:ascii="Arial" w:hAnsi="Arial" w:cs="Arial"/>
          <w:b/>
        </w:rPr>
      </w:pPr>
      <w:r w:rsidRPr="00CE1879">
        <w:rPr>
          <w:rFonts w:ascii="Arial" w:hAnsi="Arial" w:cs="Arial"/>
          <w:b/>
        </w:rPr>
        <w:t>Peace:</w:t>
      </w:r>
    </w:p>
    <w:p w:rsidR="00755DE4" w:rsidRPr="00CE1879" w:rsidRDefault="00755DE4" w:rsidP="0072500F">
      <w:pPr>
        <w:pStyle w:val="ListParagraph"/>
        <w:numPr>
          <w:ilvl w:val="0"/>
          <w:numId w:val="23"/>
        </w:numPr>
        <w:spacing w:after="200" w:line="360" w:lineRule="auto"/>
        <w:rPr>
          <w:rFonts w:ascii="Arial" w:hAnsi="Arial" w:cs="Arial"/>
        </w:rPr>
      </w:pPr>
      <w:r w:rsidRPr="00CE1879">
        <w:rPr>
          <w:rFonts w:ascii="Arial" w:hAnsi="Arial" w:cs="Arial"/>
        </w:rPr>
        <w:t>Work-life balance</w:t>
      </w:r>
    </w:p>
    <w:p w:rsidR="00755DE4" w:rsidRPr="00CE1879" w:rsidRDefault="00755DE4" w:rsidP="0072500F">
      <w:pPr>
        <w:pStyle w:val="ListParagraph"/>
        <w:numPr>
          <w:ilvl w:val="0"/>
          <w:numId w:val="23"/>
        </w:numPr>
        <w:spacing w:after="200" w:line="360" w:lineRule="auto"/>
        <w:rPr>
          <w:rFonts w:ascii="Arial" w:hAnsi="Arial" w:cs="Arial"/>
        </w:rPr>
      </w:pPr>
      <w:r w:rsidRPr="00CE1879">
        <w:rPr>
          <w:rFonts w:ascii="Arial" w:hAnsi="Arial" w:cs="Arial"/>
        </w:rPr>
        <w:t>Wellness</w:t>
      </w:r>
    </w:p>
    <w:p w:rsidR="00755DE4" w:rsidRPr="00CE1879" w:rsidRDefault="00755DE4" w:rsidP="0072500F">
      <w:pPr>
        <w:pStyle w:val="ListParagraph"/>
        <w:numPr>
          <w:ilvl w:val="0"/>
          <w:numId w:val="23"/>
        </w:numPr>
        <w:spacing w:after="200" w:line="360" w:lineRule="auto"/>
        <w:rPr>
          <w:rFonts w:ascii="Arial" w:hAnsi="Arial" w:cs="Arial"/>
        </w:rPr>
      </w:pPr>
      <w:r w:rsidRPr="00CE1879">
        <w:rPr>
          <w:rFonts w:ascii="Arial" w:hAnsi="Arial" w:cs="Arial"/>
        </w:rPr>
        <w:t>Flexability</w:t>
      </w:r>
    </w:p>
    <w:p w:rsidR="00A20A52" w:rsidRPr="00CE1879" w:rsidRDefault="00A20A52" w:rsidP="0072500F">
      <w:pPr>
        <w:spacing w:after="200" w:line="360" w:lineRule="auto"/>
        <w:rPr>
          <w:rFonts w:ascii="Arial" w:hAnsi="Arial" w:cs="Arial"/>
          <w:b/>
        </w:rPr>
      </w:pPr>
      <w:r w:rsidRPr="00CE1879">
        <w:rPr>
          <w:rFonts w:ascii="Arial" w:hAnsi="Arial" w:cs="Arial"/>
          <w:b/>
        </w:rPr>
        <w:t>Participation:</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Leadership</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Recruitment and selection</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Cross-unit cooperation</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Learning and development</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 xml:space="preserve">Involvement </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Rewards and recognition</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Performance appraisal</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Supervision</w:t>
      </w:r>
    </w:p>
    <w:p w:rsidR="00A20A52" w:rsidRPr="00CE1879" w:rsidRDefault="00A20A52" w:rsidP="0072500F">
      <w:pPr>
        <w:pStyle w:val="ListParagraph"/>
        <w:numPr>
          <w:ilvl w:val="0"/>
          <w:numId w:val="22"/>
        </w:numPr>
        <w:spacing w:after="200" w:line="360" w:lineRule="auto"/>
        <w:rPr>
          <w:rFonts w:ascii="Arial" w:hAnsi="Arial" w:cs="Arial"/>
        </w:rPr>
      </w:pPr>
      <w:r w:rsidRPr="00CE1879">
        <w:rPr>
          <w:rFonts w:ascii="Arial" w:hAnsi="Arial" w:cs="Arial"/>
        </w:rPr>
        <w:t>Career opportunities</w:t>
      </w:r>
    </w:p>
    <w:p w:rsidR="00CE1879" w:rsidRDefault="00CE1879" w:rsidP="0072500F">
      <w:pPr>
        <w:spacing w:after="200" w:line="360" w:lineRule="auto"/>
        <w:rPr>
          <w:rFonts w:ascii="Arial" w:hAnsi="Arial" w:cs="Arial"/>
          <w:b/>
        </w:rPr>
      </w:pPr>
    </w:p>
    <w:p w:rsidR="00A20A52" w:rsidRPr="00CE1879" w:rsidRDefault="00A20A52" w:rsidP="0072500F">
      <w:pPr>
        <w:spacing w:after="200" w:line="360" w:lineRule="auto"/>
        <w:rPr>
          <w:rFonts w:ascii="Arial" w:hAnsi="Arial" w:cs="Arial"/>
          <w:b/>
        </w:rPr>
      </w:pPr>
      <w:r w:rsidRPr="00CE1879">
        <w:rPr>
          <w:rFonts w:ascii="Arial" w:hAnsi="Arial" w:cs="Arial"/>
          <w:b/>
        </w:rPr>
        <w:t>Property:</w:t>
      </w:r>
    </w:p>
    <w:p w:rsidR="00A20A52" w:rsidRPr="00CE1879" w:rsidRDefault="00A20A52" w:rsidP="0072500F">
      <w:pPr>
        <w:pStyle w:val="ListParagraph"/>
        <w:numPr>
          <w:ilvl w:val="0"/>
          <w:numId w:val="21"/>
        </w:numPr>
        <w:spacing w:after="200" w:line="360" w:lineRule="auto"/>
        <w:rPr>
          <w:rFonts w:ascii="Arial" w:hAnsi="Arial" w:cs="Arial"/>
        </w:rPr>
      </w:pPr>
      <w:r w:rsidRPr="00CE1879">
        <w:rPr>
          <w:rFonts w:ascii="Arial" w:hAnsi="Arial" w:cs="Arial"/>
        </w:rPr>
        <w:t>Resources</w:t>
      </w:r>
    </w:p>
    <w:p w:rsidR="00A20A52" w:rsidRPr="00CE1879" w:rsidRDefault="00A20A52" w:rsidP="0072500F">
      <w:pPr>
        <w:pStyle w:val="ListParagraph"/>
        <w:numPr>
          <w:ilvl w:val="0"/>
          <w:numId w:val="21"/>
        </w:numPr>
        <w:spacing w:after="200" w:line="360" w:lineRule="auto"/>
        <w:rPr>
          <w:rFonts w:ascii="Arial" w:hAnsi="Arial" w:cs="Arial"/>
        </w:rPr>
      </w:pPr>
      <w:r w:rsidRPr="00CE1879">
        <w:rPr>
          <w:rFonts w:ascii="Arial" w:hAnsi="Arial" w:cs="Arial"/>
        </w:rPr>
        <w:t>Processes</w:t>
      </w:r>
    </w:p>
    <w:p w:rsidR="00A20A52" w:rsidRPr="00CE1879" w:rsidRDefault="00A20A52" w:rsidP="0072500F">
      <w:pPr>
        <w:pStyle w:val="ListParagraph"/>
        <w:numPr>
          <w:ilvl w:val="0"/>
          <w:numId w:val="21"/>
        </w:numPr>
        <w:spacing w:after="200" w:line="360" w:lineRule="auto"/>
        <w:rPr>
          <w:rFonts w:ascii="Arial" w:hAnsi="Arial" w:cs="Arial"/>
        </w:rPr>
      </w:pPr>
      <w:r w:rsidRPr="00CE1879">
        <w:rPr>
          <w:rFonts w:ascii="Arial" w:hAnsi="Arial" w:cs="Arial"/>
        </w:rPr>
        <w:t>Technology</w:t>
      </w:r>
    </w:p>
    <w:p w:rsidR="00A20A52" w:rsidRPr="00CE1879" w:rsidRDefault="00A20A52" w:rsidP="0072500F">
      <w:pPr>
        <w:pStyle w:val="ListParagraph"/>
        <w:numPr>
          <w:ilvl w:val="0"/>
          <w:numId w:val="21"/>
        </w:numPr>
        <w:spacing w:after="200" w:line="360" w:lineRule="auto"/>
        <w:rPr>
          <w:rFonts w:ascii="Arial" w:hAnsi="Arial" w:cs="Arial"/>
        </w:rPr>
      </w:pPr>
      <w:r w:rsidRPr="00CE1879">
        <w:rPr>
          <w:rFonts w:ascii="Arial" w:hAnsi="Arial" w:cs="Arial"/>
        </w:rPr>
        <w:t>Safety</w:t>
      </w:r>
    </w:p>
    <w:p w:rsidR="00A20A52" w:rsidRPr="00CE1879" w:rsidRDefault="00A20A52" w:rsidP="0072500F">
      <w:pPr>
        <w:pStyle w:val="ListParagraph"/>
        <w:numPr>
          <w:ilvl w:val="0"/>
          <w:numId w:val="21"/>
        </w:numPr>
        <w:spacing w:after="200" w:line="360" w:lineRule="auto"/>
        <w:rPr>
          <w:rFonts w:ascii="Arial" w:hAnsi="Arial" w:cs="Arial"/>
        </w:rPr>
      </w:pPr>
      <w:r w:rsidRPr="00CE1879">
        <w:rPr>
          <w:rFonts w:ascii="Arial" w:hAnsi="Arial" w:cs="Arial"/>
        </w:rPr>
        <w:t>Facilties</w:t>
      </w:r>
    </w:p>
    <w:p w:rsidR="002A6F56" w:rsidRPr="00CE1879" w:rsidRDefault="00CE1879" w:rsidP="0072500F">
      <w:pPr>
        <w:spacing w:after="200" w:line="360" w:lineRule="auto"/>
        <w:rPr>
          <w:rFonts w:ascii="Arial" w:hAnsi="Arial" w:cs="Arial"/>
          <w:b/>
        </w:rPr>
      </w:pPr>
      <w:r>
        <w:rPr>
          <w:rFonts w:ascii="Arial" w:hAnsi="Arial" w:cs="Arial"/>
          <w:b/>
        </w:rPr>
        <w:t>Outcomes</w:t>
      </w:r>
    </w:p>
    <w:p w:rsidR="002A6F56" w:rsidRPr="00CE1879" w:rsidRDefault="002A6F56" w:rsidP="0072500F">
      <w:pPr>
        <w:spacing w:after="200" w:line="360" w:lineRule="auto"/>
        <w:rPr>
          <w:rFonts w:ascii="Arial" w:hAnsi="Arial" w:cs="Arial"/>
          <w:b/>
        </w:rPr>
      </w:pPr>
      <w:r w:rsidRPr="00CE1879">
        <w:rPr>
          <w:rFonts w:ascii="Arial" w:hAnsi="Arial" w:cs="Arial"/>
          <w:b/>
        </w:rPr>
        <w:t>Passion/engagement:</w:t>
      </w:r>
    </w:p>
    <w:p w:rsidR="002A6F56" w:rsidRPr="00CE1879" w:rsidRDefault="002A6F56" w:rsidP="0072500F">
      <w:pPr>
        <w:pStyle w:val="ListParagraph"/>
        <w:numPr>
          <w:ilvl w:val="0"/>
          <w:numId w:val="26"/>
        </w:numPr>
        <w:spacing w:after="200" w:line="360" w:lineRule="auto"/>
        <w:rPr>
          <w:rFonts w:ascii="Arial" w:hAnsi="Arial" w:cs="Arial"/>
        </w:rPr>
      </w:pPr>
      <w:r w:rsidRPr="00CE1879">
        <w:rPr>
          <w:rFonts w:ascii="Arial" w:hAnsi="Arial" w:cs="Arial"/>
        </w:rPr>
        <w:t>Organisation commitment</w:t>
      </w:r>
    </w:p>
    <w:p w:rsidR="002A6F56" w:rsidRPr="00CE1879" w:rsidRDefault="002A6F56" w:rsidP="0072500F">
      <w:pPr>
        <w:pStyle w:val="ListParagraph"/>
        <w:numPr>
          <w:ilvl w:val="0"/>
          <w:numId w:val="26"/>
        </w:numPr>
        <w:spacing w:after="200" w:line="360" w:lineRule="auto"/>
        <w:rPr>
          <w:rFonts w:ascii="Arial" w:hAnsi="Arial" w:cs="Arial"/>
        </w:rPr>
      </w:pPr>
      <w:r w:rsidRPr="00CE1879">
        <w:rPr>
          <w:rFonts w:ascii="Arial" w:hAnsi="Arial" w:cs="Arial"/>
        </w:rPr>
        <w:t>Job satisfation</w:t>
      </w:r>
    </w:p>
    <w:p w:rsidR="002A6F56" w:rsidRPr="00CE1879" w:rsidRDefault="002A6F56" w:rsidP="0072500F">
      <w:pPr>
        <w:pStyle w:val="ListParagraph"/>
        <w:numPr>
          <w:ilvl w:val="0"/>
          <w:numId w:val="26"/>
        </w:numPr>
        <w:spacing w:after="200" w:line="360" w:lineRule="auto"/>
        <w:rPr>
          <w:rFonts w:ascii="Arial" w:hAnsi="Arial" w:cs="Arial"/>
        </w:rPr>
      </w:pPr>
      <w:r w:rsidRPr="00CE1879">
        <w:rPr>
          <w:rFonts w:ascii="Arial" w:hAnsi="Arial" w:cs="Arial"/>
        </w:rPr>
        <w:t>Intention to stay</w:t>
      </w:r>
    </w:p>
    <w:p w:rsidR="002A6F56" w:rsidRPr="00CE1879" w:rsidRDefault="002A6F56" w:rsidP="0072500F">
      <w:pPr>
        <w:spacing w:after="200" w:line="360" w:lineRule="auto"/>
        <w:rPr>
          <w:rFonts w:ascii="Arial" w:hAnsi="Arial" w:cs="Arial"/>
          <w:b/>
        </w:rPr>
      </w:pPr>
      <w:r w:rsidRPr="00CE1879">
        <w:rPr>
          <w:rFonts w:ascii="Arial" w:hAnsi="Arial" w:cs="Arial"/>
          <w:b/>
        </w:rPr>
        <w:t>PCA readiness:</w:t>
      </w:r>
    </w:p>
    <w:p w:rsidR="002A6F56" w:rsidRPr="00CE1879" w:rsidRDefault="002A6F56" w:rsidP="0072500F">
      <w:pPr>
        <w:pStyle w:val="ListParagraph"/>
        <w:numPr>
          <w:ilvl w:val="0"/>
          <w:numId w:val="27"/>
        </w:numPr>
        <w:spacing w:after="200" w:line="360" w:lineRule="auto"/>
        <w:rPr>
          <w:rFonts w:ascii="Arial" w:hAnsi="Arial" w:cs="Arial"/>
        </w:rPr>
      </w:pPr>
      <w:r w:rsidRPr="00CE1879">
        <w:rPr>
          <w:rFonts w:ascii="Arial" w:hAnsi="Arial" w:cs="Arial"/>
        </w:rPr>
        <w:t>PCA awareness</w:t>
      </w:r>
    </w:p>
    <w:p w:rsidR="002A6F56" w:rsidRPr="00CE1879" w:rsidRDefault="002A6F56" w:rsidP="0072500F">
      <w:pPr>
        <w:pStyle w:val="ListParagraph"/>
        <w:numPr>
          <w:ilvl w:val="0"/>
          <w:numId w:val="27"/>
        </w:numPr>
        <w:spacing w:after="200" w:line="360" w:lineRule="auto"/>
        <w:rPr>
          <w:rFonts w:ascii="Arial" w:hAnsi="Arial" w:cs="Arial"/>
        </w:rPr>
      </w:pPr>
      <w:r w:rsidRPr="00CE1879">
        <w:rPr>
          <w:rFonts w:ascii="Arial" w:hAnsi="Arial" w:cs="Arial"/>
        </w:rPr>
        <w:t>PCA commitment</w:t>
      </w:r>
    </w:p>
    <w:p w:rsidR="002A6F56" w:rsidRPr="00CE1879" w:rsidRDefault="002A6F56" w:rsidP="0072500F">
      <w:pPr>
        <w:pStyle w:val="ListParagraph"/>
        <w:numPr>
          <w:ilvl w:val="0"/>
          <w:numId w:val="27"/>
        </w:numPr>
        <w:spacing w:after="200" w:line="360" w:lineRule="auto"/>
        <w:rPr>
          <w:rFonts w:ascii="Arial" w:hAnsi="Arial" w:cs="Arial"/>
        </w:rPr>
      </w:pPr>
      <w:r w:rsidRPr="00CE1879">
        <w:rPr>
          <w:rFonts w:ascii="Arial" w:hAnsi="Arial" w:cs="Arial"/>
        </w:rPr>
        <w:t>PCA effectiveness</w:t>
      </w:r>
    </w:p>
    <w:p w:rsidR="002A6F56" w:rsidRPr="00CE1879" w:rsidRDefault="002A6F56" w:rsidP="0072500F">
      <w:pPr>
        <w:spacing w:after="200" w:line="360" w:lineRule="auto"/>
        <w:rPr>
          <w:rFonts w:ascii="Arial" w:hAnsi="Arial" w:cs="Arial"/>
          <w:b/>
        </w:rPr>
      </w:pPr>
      <w:r w:rsidRPr="00CE1879">
        <w:rPr>
          <w:rFonts w:ascii="Arial" w:hAnsi="Arial" w:cs="Arial"/>
          <w:b/>
        </w:rPr>
        <w:t>Progress:</w:t>
      </w:r>
    </w:p>
    <w:p w:rsidR="002A6F56" w:rsidRPr="00CE1879" w:rsidRDefault="002A6F56" w:rsidP="0072500F">
      <w:pPr>
        <w:pStyle w:val="ListParagraph"/>
        <w:numPr>
          <w:ilvl w:val="0"/>
          <w:numId w:val="28"/>
        </w:numPr>
        <w:spacing w:after="200" w:line="360" w:lineRule="auto"/>
        <w:rPr>
          <w:rFonts w:ascii="Arial" w:hAnsi="Arial" w:cs="Arial"/>
        </w:rPr>
      </w:pPr>
      <w:r w:rsidRPr="00CE1879">
        <w:rPr>
          <w:rFonts w:ascii="Arial" w:hAnsi="Arial" w:cs="Arial"/>
        </w:rPr>
        <w:t>Organisation objectives</w:t>
      </w:r>
    </w:p>
    <w:p w:rsidR="002A6F56" w:rsidRPr="00CE1879" w:rsidRDefault="002A6F56" w:rsidP="0072500F">
      <w:pPr>
        <w:pStyle w:val="ListParagraph"/>
        <w:numPr>
          <w:ilvl w:val="0"/>
          <w:numId w:val="28"/>
        </w:numPr>
        <w:spacing w:after="200" w:line="360" w:lineRule="auto"/>
        <w:rPr>
          <w:rFonts w:ascii="Arial" w:hAnsi="Arial" w:cs="Arial"/>
        </w:rPr>
      </w:pPr>
      <w:r w:rsidRPr="00CE1879">
        <w:rPr>
          <w:rFonts w:ascii="Arial" w:hAnsi="Arial" w:cs="Arial"/>
        </w:rPr>
        <w:t>Change and innovation</w:t>
      </w:r>
    </w:p>
    <w:p w:rsidR="002A6F56" w:rsidRPr="00CE1879" w:rsidRDefault="002A6F56" w:rsidP="0072500F">
      <w:pPr>
        <w:pStyle w:val="ListParagraph"/>
        <w:numPr>
          <w:ilvl w:val="0"/>
          <w:numId w:val="28"/>
        </w:numPr>
        <w:spacing w:after="200" w:line="360" w:lineRule="auto"/>
        <w:rPr>
          <w:rFonts w:ascii="Arial" w:hAnsi="Arial" w:cs="Arial"/>
        </w:rPr>
      </w:pPr>
      <w:r w:rsidRPr="00CE1879">
        <w:rPr>
          <w:rFonts w:ascii="Arial" w:hAnsi="Arial" w:cs="Arial"/>
        </w:rPr>
        <w:t>Customer satisfaction</w:t>
      </w:r>
    </w:p>
    <w:p w:rsidR="008651BB" w:rsidRPr="00CE1879" w:rsidRDefault="00CE1879" w:rsidP="0072500F">
      <w:pPr>
        <w:spacing w:after="200" w:line="360" w:lineRule="auto"/>
        <w:rPr>
          <w:rFonts w:ascii="Arial" w:hAnsi="Arial" w:cs="Arial"/>
          <w:b/>
        </w:rPr>
      </w:pPr>
      <w:r>
        <w:rPr>
          <w:rFonts w:ascii="Arial" w:hAnsi="Arial" w:cs="Arial"/>
          <w:b/>
          <w:color w:val="000000" w:themeColor="text1"/>
        </w:rPr>
        <w:t>Application &amp; Results:</w:t>
      </w:r>
    </w:p>
    <w:p w:rsidR="008651BB" w:rsidRPr="00CE1879" w:rsidRDefault="0066135D" w:rsidP="00F00E67">
      <w:pPr>
        <w:spacing w:line="360" w:lineRule="auto"/>
        <w:rPr>
          <w:rFonts w:ascii="Arial" w:hAnsi="Arial" w:cs="Arial"/>
          <w:b/>
          <w:noProof w:val="0"/>
        </w:rPr>
      </w:pPr>
      <w:r w:rsidRPr="00CE1879">
        <w:rPr>
          <w:rFonts w:ascii="Arial" w:hAnsi="Arial" w:cs="Arial"/>
          <w:b/>
          <w:noProof w:val="0"/>
        </w:rPr>
        <w:t>Participation</w:t>
      </w:r>
    </w:p>
    <w:p w:rsidR="003658A2" w:rsidRPr="00CE1879" w:rsidRDefault="008651BB" w:rsidP="00F00E67">
      <w:pPr>
        <w:spacing w:line="360" w:lineRule="auto"/>
        <w:rPr>
          <w:rFonts w:ascii="Arial" w:hAnsi="Arial" w:cs="Arial"/>
        </w:rPr>
      </w:pPr>
      <w:r w:rsidRPr="00CE1879">
        <w:rPr>
          <w:rFonts w:ascii="Arial" w:hAnsi="Arial" w:cs="Arial"/>
          <w:noProof w:val="0"/>
        </w:rPr>
        <w:t>Round one of the NDS Employee Engagement Survey elicited a strong response from staff in pa</w:t>
      </w:r>
      <w:r w:rsidR="003B026F" w:rsidRPr="00CE1879">
        <w:rPr>
          <w:rFonts w:ascii="Arial" w:hAnsi="Arial" w:cs="Arial"/>
          <w:noProof w:val="0"/>
        </w:rPr>
        <w:t>rticipating</w:t>
      </w:r>
      <w:r w:rsidR="003B026F" w:rsidRPr="00CE1879">
        <w:rPr>
          <w:rFonts w:ascii="Arial" w:hAnsi="Arial" w:cs="Arial"/>
        </w:rPr>
        <w:t xml:space="preserve"> organisations with 1818 people responding, or around 61% of the 2970 that were invited. This provided an estimated margin of error across the project of 1.3%, and 2</w:t>
      </w:r>
      <w:r w:rsidR="005E4E7F" w:rsidRPr="00CE1879">
        <w:rPr>
          <w:rFonts w:ascii="Arial" w:hAnsi="Arial" w:cs="Arial"/>
        </w:rPr>
        <w:t>.1</w:t>
      </w:r>
      <w:r w:rsidR="003B026F" w:rsidRPr="00CE1879">
        <w:rPr>
          <w:rFonts w:ascii="Arial" w:hAnsi="Arial" w:cs="Arial"/>
        </w:rPr>
        <w:t>% if inferring trends about the entire sector (assuming a total workforce of approximately 3</w:t>
      </w:r>
      <w:r w:rsidR="005E4E7F" w:rsidRPr="00CE1879">
        <w:rPr>
          <w:rFonts w:ascii="Arial" w:hAnsi="Arial" w:cs="Arial"/>
        </w:rPr>
        <w:t>5</w:t>
      </w:r>
      <w:r w:rsidR="003B026F" w:rsidRPr="00CE1879">
        <w:rPr>
          <w:rFonts w:ascii="Arial" w:hAnsi="Arial" w:cs="Arial"/>
        </w:rPr>
        <w:t>000</w:t>
      </w:r>
      <w:r w:rsidR="00554B25" w:rsidRPr="00CE1879">
        <w:rPr>
          <w:rFonts w:ascii="Arial" w:hAnsi="Arial" w:cs="Arial"/>
        </w:rPr>
        <w:t xml:space="preserve"> FTE</w:t>
      </w:r>
      <w:r w:rsidR="003B026F" w:rsidRPr="00CE1879">
        <w:rPr>
          <w:rFonts w:ascii="Arial" w:hAnsi="Arial" w:cs="Arial"/>
        </w:rPr>
        <w:t xml:space="preserve"> people)</w:t>
      </w:r>
      <w:r w:rsidR="00554B25" w:rsidRPr="00CE1879">
        <w:rPr>
          <w:rStyle w:val="FootnoteReference"/>
          <w:rFonts w:ascii="Arial" w:hAnsi="Arial" w:cs="Arial"/>
        </w:rPr>
        <w:footnoteReference w:id="7"/>
      </w:r>
      <w:r w:rsidR="003B026F" w:rsidRPr="00CE1879">
        <w:rPr>
          <w:rFonts w:ascii="Arial" w:hAnsi="Arial" w:cs="Arial"/>
        </w:rPr>
        <w:t>. However, the typical response rate for an organisation was</w:t>
      </w:r>
      <w:r w:rsidRPr="00CE1879">
        <w:rPr>
          <w:rFonts w:ascii="Arial" w:hAnsi="Arial" w:cs="Arial"/>
        </w:rPr>
        <w:t xml:space="preserve"> around 69%</w:t>
      </w:r>
      <w:r w:rsidR="003B026F" w:rsidRPr="00CE1879">
        <w:rPr>
          <w:rFonts w:ascii="Arial" w:hAnsi="Arial" w:cs="Arial"/>
        </w:rPr>
        <w:t xml:space="preserve">, as smaller organisations were </w:t>
      </w:r>
      <w:r w:rsidR="00C53471" w:rsidRPr="00CE1879">
        <w:rPr>
          <w:rFonts w:ascii="Arial" w:hAnsi="Arial" w:cs="Arial"/>
        </w:rPr>
        <w:t xml:space="preserve">typically </w:t>
      </w:r>
      <w:r w:rsidR="003B026F" w:rsidRPr="00CE1879">
        <w:rPr>
          <w:rFonts w:ascii="Arial" w:hAnsi="Arial" w:cs="Arial"/>
        </w:rPr>
        <w:t>able to achieve a higher response</w:t>
      </w:r>
      <w:r w:rsidR="00B37B81" w:rsidRPr="00CE1879">
        <w:rPr>
          <w:rFonts w:ascii="Arial" w:hAnsi="Arial" w:cs="Arial"/>
        </w:rPr>
        <w:t>.</w:t>
      </w:r>
      <w:r w:rsidR="003B026F" w:rsidRPr="00CE1879">
        <w:rPr>
          <w:rFonts w:ascii="Arial" w:hAnsi="Arial" w:cs="Arial"/>
        </w:rPr>
        <w:t xml:space="preserve"> </w:t>
      </w:r>
      <w:r w:rsidR="005B3E2D" w:rsidRPr="00CE1879">
        <w:rPr>
          <w:rFonts w:ascii="Arial" w:hAnsi="Arial" w:cs="Arial"/>
        </w:rPr>
        <w:t>A total of 27 organisations took part in the project, with 17 of these being reasonably small (</w:t>
      </w:r>
      <w:r w:rsidR="00C53471" w:rsidRPr="00CE1879">
        <w:rPr>
          <w:rFonts w:ascii="Arial" w:hAnsi="Arial" w:cs="Arial"/>
        </w:rPr>
        <w:t>10-</w:t>
      </w:r>
      <w:r w:rsidR="005B3E2D" w:rsidRPr="00CE1879">
        <w:rPr>
          <w:rFonts w:ascii="Arial" w:hAnsi="Arial" w:cs="Arial"/>
        </w:rPr>
        <w:t>100 staff)</w:t>
      </w:r>
      <w:r w:rsidR="004A78A5" w:rsidRPr="00CE1879">
        <w:rPr>
          <w:rFonts w:ascii="Arial" w:hAnsi="Arial" w:cs="Arial"/>
        </w:rPr>
        <w:t>,</w:t>
      </w:r>
      <w:r w:rsidR="005B3E2D" w:rsidRPr="00CE1879">
        <w:rPr>
          <w:rFonts w:ascii="Arial" w:hAnsi="Arial" w:cs="Arial"/>
        </w:rPr>
        <w:t xml:space="preserve"> </w:t>
      </w:r>
      <w:r w:rsidR="004A78A5" w:rsidRPr="00CE1879">
        <w:rPr>
          <w:rFonts w:ascii="Arial" w:hAnsi="Arial" w:cs="Arial"/>
        </w:rPr>
        <w:t>and</w:t>
      </w:r>
      <w:r w:rsidR="005B3E2D" w:rsidRPr="00CE1879">
        <w:rPr>
          <w:rFonts w:ascii="Arial" w:hAnsi="Arial" w:cs="Arial"/>
        </w:rPr>
        <w:t xml:space="preserve"> including </w:t>
      </w:r>
      <w:r w:rsidR="004A78A5" w:rsidRPr="00CE1879">
        <w:rPr>
          <w:rFonts w:ascii="Arial" w:hAnsi="Arial" w:cs="Arial"/>
        </w:rPr>
        <w:t>eight</w:t>
      </w:r>
      <w:r w:rsidR="005B3E2D" w:rsidRPr="00CE1879">
        <w:rPr>
          <w:rFonts w:ascii="Arial" w:hAnsi="Arial" w:cs="Arial"/>
        </w:rPr>
        <w:t xml:space="preserve"> medium</w:t>
      </w:r>
      <w:r w:rsidR="004A78A5" w:rsidRPr="00CE1879">
        <w:rPr>
          <w:rFonts w:ascii="Arial" w:hAnsi="Arial" w:cs="Arial"/>
        </w:rPr>
        <w:t>-</w:t>
      </w:r>
      <w:r w:rsidR="005B3E2D" w:rsidRPr="00CE1879">
        <w:rPr>
          <w:rFonts w:ascii="Arial" w:hAnsi="Arial" w:cs="Arial"/>
        </w:rPr>
        <w:t xml:space="preserve">sized (100–400 staff) and </w:t>
      </w:r>
      <w:r w:rsidR="004A78A5" w:rsidRPr="00CE1879">
        <w:rPr>
          <w:rFonts w:ascii="Arial" w:hAnsi="Arial" w:cs="Arial"/>
        </w:rPr>
        <w:t>two</w:t>
      </w:r>
      <w:r w:rsidR="005B3E2D" w:rsidRPr="00CE1879">
        <w:rPr>
          <w:rFonts w:ascii="Arial" w:hAnsi="Arial" w:cs="Arial"/>
        </w:rPr>
        <w:t xml:space="preserve"> larger organisations (400–700 staff), to be reasonably representative of the type of organisations operating in the sector.</w:t>
      </w:r>
    </w:p>
    <w:p w:rsidR="009E0D6E" w:rsidRPr="00CE1879" w:rsidRDefault="009E0D6E" w:rsidP="00F00E67">
      <w:pPr>
        <w:spacing w:line="360" w:lineRule="auto"/>
        <w:rPr>
          <w:rFonts w:ascii="Arial" w:hAnsi="Arial" w:cs="Arial"/>
        </w:rPr>
      </w:pPr>
    </w:p>
    <w:p w:rsidR="00B37B81" w:rsidRPr="00CE1879" w:rsidRDefault="00B76C68" w:rsidP="00F00E67">
      <w:pPr>
        <w:spacing w:line="360" w:lineRule="auto"/>
        <w:rPr>
          <w:rFonts w:ascii="Arial" w:hAnsi="Arial" w:cs="Arial"/>
        </w:rPr>
      </w:pPr>
      <w:r w:rsidRPr="00CE1879">
        <w:rPr>
          <w:rFonts w:ascii="Arial" w:hAnsi="Arial" w:cs="Arial"/>
        </w:rPr>
        <w:t>Organisations were selected for the project on the basis of their readiness and commitment to act on the survey results which may have resulted in somewhat higher satisfaction levels being reported than had the selection been random.</w:t>
      </w:r>
      <w:r w:rsidR="003658A2" w:rsidRPr="00CE1879">
        <w:rPr>
          <w:rFonts w:ascii="Arial" w:hAnsi="Arial" w:cs="Arial"/>
        </w:rPr>
        <w:t xml:space="preserve"> Organisations were supported throughout the process and provided with post-survey presentations and consultation sessions to assist them in understanding the results and developing strategies for improvement. Organisations were also advised that they would be able to participate in a second round of surveying </w:t>
      </w:r>
      <w:r w:rsidR="00413780" w:rsidRPr="00CE1879">
        <w:rPr>
          <w:rFonts w:ascii="Arial" w:hAnsi="Arial" w:cs="Arial"/>
        </w:rPr>
        <w:t xml:space="preserve">to track their progress </w:t>
      </w:r>
      <w:r w:rsidR="003658A2" w:rsidRPr="00CE1879">
        <w:rPr>
          <w:rFonts w:ascii="Arial" w:hAnsi="Arial" w:cs="Arial"/>
        </w:rPr>
        <w:t>generally</w:t>
      </w:r>
      <w:r w:rsidR="00413780" w:rsidRPr="00CE1879">
        <w:rPr>
          <w:rFonts w:ascii="Arial" w:hAnsi="Arial" w:cs="Arial"/>
        </w:rPr>
        <w:t>,</w:t>
      </w:r>
      <w:r w:rsidR="003658A2" w:rsidRPr="00CE1879">
        <w:rPr>
          <w:rFonts w:ascii="Arial" w:hAnsi="Arial" w:cs="Arial"/>
        </w:rPr>
        <w:t xml:space="preserve"> and against specific areas that they may have targeted.</w:t>
      </w:r>
    </w:p>
    <w:p w:rsidR="005E6EC6" w:rsidRPr="00CE1879" w:rsidRDefault="005E6EC6" w:rsidP="00F00E67">
      <w:pPr>
        <w:spacing w:line="360" w:lineRule="auto"/>
        <w:rPr>
          <w:rFonts w:ascii="Arial" w:hAnsi="Arial" w:cs="Arial"/>
        </w:rPr>
      </w:pPr>
    </w:p>
    <w:p w:rsidR="005E6EC6" w:rsidRPr="00CE1879" w:rsidRDefault="005E6EC6" w:rsidP="00F00E67">
      <w:pPr>
        <w:spacing w:line="360" w:lineRule="auto"/>
        <w:rPr>
          <w:rFonts w:ascii="Arial" w:hAnsi="Arial" w:cs="Arial"/>
        </w:rPr>
      </w:pPr>
      <w:r w:rsidRPr="00CE1879">
        <w:rPr>
          <w:rFonts w:ascii="Arial" w:hAnsi="Arial" w:cs="Arial"/>
        </w:rPr>
        <w:t xml:space="preserve">Of the 27 organisations that participated in the first round of the survey, 19 chose to remain in the project and participate in the second round. </w:t>
      </w:r>
      <w:r w:rsidR="005E4E7F" w:rsidRPr="00CE1879">
        <w:rPr>
          <w:rFonts w:ascii="Arial" w:hAnsi="Arial" w:cs="Arial"/>
        </w:rPr>
        <w:t>Some of the reasons for organisations deciding not to remain in the project included</w:t>
      </w:r>
      <w:r w:rsidR="00431A11" w:rsidRPr="00CE1879">
        <w:rPr>
          <w:rFonts w:ascii="Arial" w:hAnsi="Arial" w:cs="Arial"/>
        </w:rPr>
        <w:t xml:space="preserve">: </w:t>
      </w:r>
      <w:r w:rsidR="005E4E7F" w:rsidRPr="00CE1879">
        <w:rPr>
          <w:rFonts w:ascii="Arial" w:hAnsi="Arial" w:cs="Arial"/>
        </w:rPr>
        <w:t xml:space="preserve"> insufficient time between round 1 and round 2, feeling that little had changed in their organisation since round 1, and that </w:t>
      </w:r>
      <w:r w:rsidR="00C00176" w:rsidRPr="00CE1879">
        <w:rPr>
          <w:rFonts w:ascii="Arial" w:hAnsi="Arial" w:cs="Arial"/>
        </w:rPr>
        <w:t xml:space="preserve">with their </w:t>
      </w:r>
      <w:r w:rsidR="005E4E7F" w:rsidRPr="00CE1879">
        <w:rPr>
          <w:rFonts w:ascii="Arial" w:hAnsi="Arial" w:cs="Arial"/>
        </w:rPr>
        <w:t xml:space="preserve">current workloads </w:t>
      </w:r>
      <w:r w:rsidR="00C00176" w:rsidRPr="00CE1879">
        <w:rPr>
          <w:rFonts w:ascii="Arial" w:hAnsi="Arial" w:cs="Arial"/>
        </w:rPr>
        <w:t xml:space="preserve">they had insufficient time </w:t>
      </w:r>
      <w:r w:rsidR="005E4E7F" w:rsidRPr="00CE1879">
        <w:rPr>
          <w:rFonts w:ascii="Arial" w:hAnsi="Arial" w:cs="Arial"/>
        </w:rPr>
        <w:t>or resourcing</w:t>
      </w:r>
      <w:r w:rsidR="00C00176" w:rsidRPr="00CE1879">
        <w:rPr>
          <w:rFonts w:ascii="Arial" w:hAnsi="Arial" w:cs="Arial"/>
        </w:rPr>
        <w:t xml:space="preserve"> to participate in round 2</w:t>
      </w:r>
      <w:r w:rsidR="005E4E7F" w:rsidRPr="00CE1879">
        <w:rPr>
          <w:rFonts w:ascii="Arial" w:hAnsi="Arial" w:cs="Arial"/>
        </w:rPr>
        <w:t xml:space="preserve">. </w:t>
      </w:r>
      <w:r w:rsidRPr="00CE1879">
        <w:rPr>
          <w:rFonts w:ascii="Arial" w:hAnsi="Arial" w:cs="Arial"/>
        </w:rPr>
        <w:t xml:space="preserve">The response rate for </w:t>
      </w:r>
      <w:r w:rsidR="006F2581" w:rsidRPr="00CE1879">
        <w:rPr>
          <w:rFonts w:ascii="Arial" w:hAnsi="Arial" w:cs="Arial"/>
        </w:rPr>
        <w:t>round 2 was also 61%, based on 1489 completions from the 2448 people invited to participate. This gave a margin of error of 1.5% for the project and an estimated margin of error for the sector of 2.3%. Whilst the overall response rate was identical to that in round</w:t>
      </w:r>
      <w:r w:rsidR="007E4B3D" w:rsidRPr="00CE1879">
        <w:rPr>
          <w:rFonts w:ascii="Arial" w:hAnsi="Arial" w:cs="Arial"/>
        </w:rPr>
        <w:t xml:space="preserve"> one</w:t>
      </w:r>
      <w:r w:rsidR="006F2581" w:rsidRPr="00CE1879">
        <w:rPr>
          <w:rFonts w:ascii="Arial" w:hAnsi="Arial" w:cs="Arial"/>
        </w:rPr>
        <w:t xml:space="preserve">, the average response rate per organisation was slightly higher at 71%, resulting from a relatively higher level of response from some of the smaller organisations compared </w:t>
      </w:r>
      <w:r w:rsidR="00431A11" w:rsidRPr="00CE1879">
        <w:rPr>
          <w:rFonts w:ascii="Arial" w:hAnsi="Arial" w:cs="Arial"/>
        </w:rPr>
        <w:t>with</w:t>
      </w:r>
      <w:r w:rsidR="006F2581" w:rsidRPr="00CE1879">
        <w:rPr>
          <w:rFonts w:ascii="Arial" w:hAnsi="Arial" w:cs="Arial"/>
        </w:rPr>
        <w:t xml:space="preserve"> larger organisations. Of those people that paricipated in round 2, 59% ha</w:t>
      </w:r>
      <w:r w:rsidR="007E4B3D" w:rsidRPr="00CE1879">
        <w:rPr>
          <w:rFonts w:ascii="Arial" w:hAnsi="Arial" w:cs="Arial"/>
        </w:rPr>
        <w:t>d also taken part in round one</w:t>
      </w:r>
      <w:r w:rsidR="006F2581" w:rsidRPr="00CE1879">
        <w:rPr>
          <w:rFonts w:ascii="Arial" w:hAnsi="Arial" w:cs="Arial"/>
        </w:rPr>
        <w:t>.</w:t>
      </w:r>
    </w:p>
    <w:p w:rsidR="009E0D6E" w:rsidRPr="00CE1879" w:rsidRDefault="009E0D6E" w:rsidP="00F00E67">
      <w:pPr>
        <w:spacing w:line="360" w:lineRule="auto"/>
        <w:ind w:left="360"/>
        <w:rPr>
          <w:rFonts w:ascii="Arial" w:hAnsi="Arial" w:cs="Arial"/>
        </w:rPr>
      </w:pPr>
    </w:p>
    <w:p w:rsidR="00B37B81" w:rsidRPr="00CE1879" w:rsidRDefault="00B76C68" w:rsidP="00F00E67">
      <w:pPr>
        <w:spacing w:line="360" w:lineRule="auto"/>
        <w:rPr>
          <w:rFonts w:ascii="Arial" w:hAnsi="Arial" w:cs="Arial"/>
          <w:b/>
          <w:noProof w:val="0"/>
        </w:rPr>
      </w:pPr>
      <w:r w:rsidRPr="00CE1879">
        <w:rPr>
          <w:rFonts w:ascii="Arial" w:hAnsi="Arial" w:cs="Arial"/>
          <w:b/>
          <w:noProof w:val="0"/>
        </w:rPr>
        <w:t>High Level Results</w:t>
      </w:r>
    </w:p>
    <w:p w:rsidR="008651BB" w:rsidRPr="00CE1879" w:rsidRDefault="003F704A" w:rsidP="00F00E67">
      <w:pPr>
        <w:spacing w:line="360" w:lineRule="auto"/>
        <w:rPr>
          <w:rFonts w:ascii="Arial" w:hAnsi="Arial" w:cs="Arial"/>
        </w:rPr>
      </w:pPr>
      <w:r w:rsidRPr="00CE1879">
        <w:rPr>
          <w:rFonts w:ascii="Arial" w:hAnsi="Arial" w:cs="Arial"/>
          <w:noProof w:val="0"/>
        </w:rPr>
        <w:t>Round one</w:t>
      </w:r>
      <w:r w:rsidR="009220ED" w:rsidRPr="00CE1879">
        <w:rPr>
          <w:rFonts w:ascii="Arial" w:hAnsi="Arial" w:cs="Arial"/>
        </w:rPr>
        <w:t xml:space="preserve"> of the survey indicated s</w:t>
      </w:r>
      <w:r w:rsidR="008651BB" w:rsidRPr="00CE1879">
        <w:rPr>
          <w:rFonts w:ascii="Arial" w:hAnsi="Arial" w:cs="Arial"/>
        </w:rPr>
        <w:t xml:space="preserve">taff satisfaction levels were generally quite high, being almost 14 </w:t>
      </w:r>
      <w:r w:rsidR="00AA3123" w:rsidRPr="00CE1879">
        <w:rPr>
          <w:rFonts w:ascii="Arial" w:hAnsi="Arial" w:cs="Arial"/>
        </w:rPr>
        <w:t xml:space="preserve">percentage </w:t>
      </w:r>
      <w:r w:rsidR="008651BB" w:rsidRPr="00CE1879">
        <w:rPr>
          <w:rFonts w:ascii="Arial" w:hAnsi="Arial" w:cs="Arial"/>
        </w:rPr>
        <w:t xml:space="preserve">points above </w:t>
      </w:r>
      <w:r w:rsidR="00B76C68" w:rsidRPr="00CE1879">
        <w:rPr>
          <w:rFonts w:ascii="Arial" w:hAnsi="Arial" w:cs="Arial"/>
        </w:rPr>
        <w:t>the</w:t>
      </w:r>
      <w:r w:rsidR="008651BB" w:rsidRPr="00CE1879">
        <w:rPr>
          <w:rFonts w:ascii="Arial" w:hAnsi="Arial" w:cs="Arial"/>
        </w:rPr>
        <w:t xml:space="preserve"> all-industry benchmark</w:t>
      </w:r>
      <w:r w:rsidR="00B76C68" w:rsidRPr="00CE1879">
        <w:rPr>
          <w:rFonts w:ascii="Arial" w:hAnsi="Arial" w:cs="Arial"/>
        </w:rPr>
        <w:t xml:space="preserve"> (based on data from over 2600 organisations)</w:t>
      </w:r>
      <w:r w:rsidR="008651BB" w:rsidRPr="00CE1879">
        <w:rPr>
          <w:rFonts w:ascii="Arial" w:hAnsi="Arial" w:cs="Arial"/>
        </w:rPr>
        <w:t xml:space="preserve">. Staff within the sector tend to be highly engaged and are particularly satisfied with their job and the nature of the work that they do. </w:t>
      </w:r>
      <w:r w:rsidR="00554B25" w:rsidRPr="00CE1879">
        <w:rPr>
          <w:rFonts w:ascii="Arial" w:hAnsi="Arial" w:cs="Arial"/>
        </w:rPr>
        <w:t>This finding is consistent with other research</w:t>
      </w:r>
      <w:r w:rsidR="00554B25" w:rsidRPr="00CE1879">
        <w:rPr>
          <w:rStyle w:val="FootnoteReference"/>
          <w:rFonts w:ascii="Arial" w:hAnsi="Arial" w:cs="Arial"/>
        </w:rPr>
        <w:footnoteReference w:id="8"/>
      </w:r>
      <w:r w:rsidR="00554B25" w:rsidRPr="00CE1879">
        <w:rPr>
          <w:rFonts w:ascii="Arial" w:hAnsi="Arial" w:cs="Arial"/>
        </w:rPr>
        <w:t>. Respondents mostly felt</w:t>
      </w:r>
      <w:r w:rsidR="008651BB" w:rsidRPr="00CE1879">
        <w:rPr>
          <w:rFonts w:ascii="Arial" w:hAnsi="Arial" w:cs="Arial"/>
        </w:rPr>
        <w:t xml:space="preserve"> that their organisation </w:t>
      </w:r>
      <w:r w:rsidR="00995F35" w:rsidRPr="00CE1879">
        <w:rPr>
          <w:rFonts w:ascii="Arial" w:hAnsi="Arial" w:cs="Arial"/>
        </w:rPr>
        <w:t>wa</w:t>
      </w:r>
      <w:r w:rsidR="008651BB" w:rsidRPr="00CE1879">
        <w:rPr>
          <w:rFonts w:ascii="Arial" w:hAnsi="Arial" w:cs="Arial"/>
        </w:rPr>
        <w:t xml:space="preserve">s successful in meeting its objectives and clients’ needs. </w:t>
      </w:r>
      <w:r w:rsidR="00995F35" w:rsidRPr="00CE1879">
        <w:rPr>
          <w:rFonts w:ascii="Arial" w:hAnsi="Arial" w:cs="Arial"/>
        </w:rPr>
        <w:t>F</w:t>
      </w:r>
      <w:r w:rsidR="008651BB" w:rsidRPr="00CE1879">
        <w:rPr>
          <w:rFonts w:ascii="Arial" w:hAnsi="Arial" w:cs="Arial"/>
        </w:rPr>
        <w:t xml:space="preserve">or the most part, </w:t>
      </w:r>
      <w:r w:rsidR="00BD6605" w:rsidRPr="00CE1879">
        <w:rPr>
          <w:rFonts w:ascii="Arial" w:hAnsi="Arial" w:cs="Arial"/>
        </w:rPr>
        <w:t xml:space="preserve">respondents </w:t>
      </w:r>
      <w:r w:rsidR="008651BB" w:rsidRPr="00CE1879">
        <w:rPr>
          <w:rFonts w:ascii="Arial" w:hAnsi="Arial" w:cs="Arial"/>
        </w:rPr>
        <w:t>fe</w:t>
      </w:r>
      <w:r w:rsidR="00BD6605" w:rsidRPr="00CE1879">
        <w:rPr>
          <w:rFonts w:ascii="Arial" w:hAnsi="Arial" w:cs="Arial"/>
        </w:rPr>
        <w:t xml:space="preserve">lt </w:t>
      </w:r>
      <w:r w:rsidR="008651BB" w:rsidRPr="00CE1879">
        <w:rPr>
          <w:rFonts w:ascii="Arial" w:hAnsi="Arial" w:cs="Arial"/>
        </w:rPr>
        <w:t xml:space="preserve">that their organisation </w:t>
      </w:r>
      <w:r w:rsidR="00995F35" w:rsidRPr="00CE1879">
        <w:rPr>
          <w:rFonts w:ascii="Arial" w:hAnsi="Arial" w:cs="Arial"/>
        </w:rPr>
        <w:t>wa</w:t>
      </w:r>
      <w:r w:rsidR="008651BB" w:rsidRPr="00CE1879">
        <w:rPr>
          <w:rFonts w:ascii="Arial" w:hAnsi="Arial" w:cs="Arial"/>
        </w:rPr>
        <w:t xml:space="preserve">s aware of and committed to the various aspects of </w:t>
      </w:r>
      <w:r w:rsidR="00B506AF" w:rsidRPr="00CE1879">
        <w:rPr>
          <w:rFonts w:ascii="Arial" w:hAnsi="Arial" w:cs="Arial"/>
        </w:rPr>
        <w:t>person-centred</w:t>
      </w:r>
      <w:r w:rsidR="008651BB" w:rsidRPr="00CE1879">
        <w:rPr>
          <w:rFonts w:ascii="Arial" w:hAnsi="Arial" w:cs="Arial"/>
        </w:rPr>
        <w:t xml:space="preserve"> service and  that this </w:t>
      </w:r>
      <w:r w:rsidR="00995F35" w:rsidRPr="00CE1879">
        <w:rPr>
          <w:rFonts w:ascii="Arial" w:hAnsi="Arial" w:cs="Arial"/>
        </w:rPr>
        <w:t>wa</w:t>
      </w:r>
      <w:r w:rsidR="008651BB" w:rsidRPr="00CE1879">
        <w:rPr>
          <w:rFonts w:ascii="Arial" w:hAnsi="Arial" w:cs="Arial"/>
        </w:rPr>
        <w:t xml:space="preserve">s effective in improving the lives of </w:t>
      </w:r>
      <w:r w:rsidR="00C00176" w:rsidRPr="00CE1879">
        <w:rPr>
          <w:rFonts w:ascii="Arial" w:hAnsi="Arial" w:cs="Arial"/>
        </w:rPr>
        <w:t>people with disability</w:t>
      </w:r>
      <w:r w:rsidR="008651BB" w:rsidRPr="00CE1879">
        <w:rPr>
          <w:rFonts w:ascii="Arial" w:hAnsi="Arial" w:cs="Arial"/>
        </w:rPr>
        <w:t>.</w:t>
      </w:r>
    </w:p>
    <w:p w:rsidR="009E0D6E" w:rsidRPr="00CE1879" w:rsidRDefault="009E0D6E" w:rsidP="00F00E67">
      <w:pPr>
        <w:spacing w:line="360" w:lineRule="auto"/>
        <w:ind w:left="360"/>
        <w:rPr>
          <w:rFonts w:ascii="Arial" w:hAnsi="Arial" w:cs="Arial"/>
        </w:rPr>
      </w:pPr>
    </w:p>
    <w:p w:rsidR="003658A2" w:rsidRPr="00CE1879" w:rsidRDefault="008651BB" w:rsidP="00F00E67">
      <w:pPr>
        <w:spacing w:line="360" w:lineRule="auto"/>
        <w:rPr>
          <w:rFonts w:ascii="Arial" w:hAnsi="Arial" w:cs="Arial"/>
        </w:rPr>
      </w:pPr>
      <w:r w:rsidRPr="00CE1879">
        <w:rPr>
          <w:rFonts w:ascii="Arial" w:hAnsi="Arial" w:cs="Arial"/>
        </w:rPr>
        <w:t xml:space="preserve">Particularly strong results were seen in terms of employees’ alignment towards the mission, values and purpose of their organisation, and their understanding of how their own role contributes to the organisation’s (and clients’) outcomes. Being focused on achieving results and high standards of performance were also scored highly, as well as having a workforce that is free of discrimination and harassment. Noticeably weaker results were seen </w:t>
      </w:r>
      <w:r w:rsidR="00DC4535" w:rsidRPr="00CE1879">
        <w:rPr>
          <w:rFonts w:ascii="Arial" w:hAnsi="Arial" w:cs="Arial"/>
        </w:rPr>
        <w:t xml:space="preserve">for how well different parts of </w:t>
      </w:r>
      <w:r w:rsidRPr="00CE1879">
        <w:rPr>
          <w:rFonts w:ascii="Arial" w:hAnsi="Arial" w:cs="Arial"/>
        </w:rPr>
        <w:t>organisations share resources and work effectively together, satisfaction with income, use of technology and involvement of staff in decision making processes.</w:t>
      </w:r>
    </w:p>
    <w:p w:rsidR="006D2512" w:rsidRPr="00CE1879" w:rsidRDefault="006D2512" w:rsidP="00F00E67">
      <w:pPr>
        <w:spacing w:line="360" w:lineRule="auto"/>
        <w:rPr>
          <w:rFonts w:ascii="Arial" w:hAnsi="Arial" w:cs="Arial"/>
        </w:rPr>
      </w:pPr>
    </w:p>
    <w:p w:rsidR="007E4B3D" w:rsidRPr="00CE1879" w:rsidRDefault="00BD6605" w:rsidP="00F00E67">
      <w:pPr>
        <w:spacing w:line="360" w:lineRule="auto"/>
        <w:rPr>
          <w:rFonts w:ascii="Arial" w:hAnsi="Arial" w:cs="Arial"/>
          <w:b/>
          <w:noProof w:val="0"/>
        </w:rPr>
      </w:pPr>
      <w:r w:rsidRPr="00CE1879">
        <w:rPr>
          <w:rFonts w:ascii="Arial" w:hAnsi="Arial" w:cs="Arial"/>
          <w:b/>
          <w:noProof w:val="0"/>
        </w:rPr>
        <w:t>Co</w:t>
      </w:r>
      <w:r w:rsidR="006D2512" w:rsidRPr="00CE1879">
        <w:rPr>
          <w:rFonts w:ascii="Arial" w:hAnsi="Arial" w:cs="Arial"/>
          <w:b/>
          <w:noProof w:val="0"/>
        </w:rPr>
        <w:t>m</w:t>
      </w:r>
      <w:r w:rsidRPr="00CE1879">
        <w:rPr>
          <w:rFonts w:ascii="Arial" w:hAnsi="Arial" w:cs="Arial"/>
          <w:b/>
          <w:noProof w:val="0"/>
        </w:rPr>
        <w:t xml:space="preserve">parison and </w:t>
      </w:r>
      <w:r w:rsidR="007E4B3D" w:rsidRPr="00CE1879">
        <w:rPr>
          <w:rFonts w:ascii="Arial" w:hAnsi="Arial" w:cs="Arial"/>
          <w:b/>
          <w:noProof w:val="0"/>
        </w:rPr>
        <w:t>Changes</w:t>
      </w:r>
      <w:r w:rsidRPr="00CE1879">
        <w:rPr>
          <w:rFonts w:ascii="Arial" w:hAnsi="Arial" w:cs="Arial"/>
          <w:b/>
          <w:noProof w:val="0"/>
        </w:rPr>
        <w:t xml:space="preserve"> between the two survey rounds</w:t>
      </w:r>
    </w:p>
    <w:p w:rsidR="00C00176" w:rsidRPr="00CE1879" w:rsidRDefault="006D2512" w:rsidP="00F00E67">
      <w:pPr>
        <w:spacing w:line="360" w:lineRule="auto"/>
        <w:rPr>
          <w:rFonts w:ascii="Arial" w:hAnsi="Arial" w:cs="Arial"/>
          <w:noProof w:val="0"/>
        </w:rPr>
      </w:pPr>
      <w:r w:rsidRPr="00CE1879">
        <w:rPr>
          <w:rFonts w:ascii="Arial" w:hAnsi="Arial" w:cs="Arial"/>
          <w:noProof w:val="0"/>
        </w:rPr>
        <w:t>W</w:t>
      </w:r>
      <w:r w:rsidR="00BD6605" w:rsidRPr="00CE1879">
        <w:rPr>
          <w:rFonts w:ascii="Arial" w:hAnsi="Arial" w:cs="Arial"/>
          <w:noProof w:val="0"/>
        </w:rPr>
        <w:t xml:space="preserve">e were not expecting to see significant changes between rounds </w:t>
      </w:r>
      <w:r w:rsidR="00C00176" w:rsidRPr="00CE1879">
        <w:rPr>
          <w:rFonts w:ascii="Arial" w:hAnsi="Arial" w:cs="Arial"/>
          <w:noProof w:val="0"/>
        </w:rPr>
        <w:t>1</w:t>
      </w:r>
      <w:r w:rsidR="00BD6605" w:rsidRPr="00CE1879">
        <w:rPr>
          <w:rFonts w:ascii="Arial" w:hAnsi="Arial" w:cs="Arial"/>
          <w:noProof w:val="0"/>
        </w:rPr>
        <w:t xml:space="preserve"> and </w:t>
      </w:r>
      <w:r w:rsidR="00C00176" w:rsidRPr="00CE1879">
        <w:rPr>
          <w:rFonts w:ascii="Arial" w:hAnsi="Arial" w:cs="Arial"/>
          <w:noProof w:val="0"/>
        </w:rPr>
        <w:t>2</w:t>
      </w:r>
      <w:r w:rsidRPr="00CE1879">
        <w:rPr>
          <w:rFonts w:ascii="Arial" w:hAnsi="Arial" w:cs="Arial"/>
          <w:noProof w:val="0"/>
        </w:rPr>
        <w:t xml:space="preserve">. In the first instance, </w:t>
      </w:r>
      <w:r w:rsidR="00BD6605" w:rsidRPr="00CE1879">
        <w:rPr>
          <w:rFonts w:ascii="Arial" w:hAnsi="Arial" w:cs="Arial"/>
          <w:noProof w:val="0"/>
        </w:rPr>
        <w:t>the relatively short time p</w:t>
      </w:r>
      <w:r w:rsidRPr="00CE1879">
        <w:rPr>
          <w:rFonts w:ascii="Arial" w:hAnsi="Arial" w:cs="Arial"/>
          <w:noProof w:val="0"/>
        </w:rPr>
        <w:t>e</w:t>
      </w:r>
      <w:r w:rsidR="00BD6605" w:rsidRPr="00CE1879">
        <w:rPr>
          <w:rFonts w:ascii="Arial" w:hAnsi="Arial" w:cs="Arial"/>
          <w:noProof w:val="0"/>
        </w:rPr>
        <w:t xml:space="preserve">riod between surveys </w:t>
      </w:r>
      <w:r w:rsidRPr="00CE1879">
        <w:rPr>
          <w:rFonts w:ascii="Arial" w:hAnsi="Arial" w:cs="Arial"/>
          <w:noProof w:val="0"/>
        </w:rPr>
        <w:t>would be unlikely to allow for significant changes to occur. S</w:t>
      </w:r>
      <w:r w:rsidR="00BD6605" w:rsidRPr="00CE1879">
        <w:rPr>
          <w:rFonts w:ascii="Arial" w:hAnsi="Arial" w:cs="Arial"/>
          <w:noProof w:val="0"/>
        </w:rPr>
        <w:t>econdly</w:t>
      </w:r>
      <w:r w:rsidRPr="00CE1879">
        <w:rPr>
          <w:rFonts w:ascii="Arial" w:hAnsi="Arial" w:cs="Arial"/>
          <w:noProof w:val="0"/>
        </w:rPr>
        <w:t>, g</w:t>
      </w:r>
      <w:r w:rsidR="0071719E" w:rsidRPr="00CE1879">
        <w:rPr>
          <w:rFonts w:ascii="Arial" w:hAnsi="Arial" w:cs="Arial"/>
          <w:noProof w:val="0"/>
        </w:rPr>
        <w:t>iven the number of organisations involved</w:t>
      </w:r>
      <w:r w:rsidRPr="00CE1879">
        <w:rPr>
          <w:rFonts w:ascii="Arial" w:hAnsi="Arial" w:cs="Arial"/>
          <w:noProof w:val="0"/>
        </w:rPr>
        <w:t xml:space="preserve"> and that different organisations were focussing on different areas for improvement, many changes would balance out across the sample. Similarly, whilst particular organisations may have sufficient focus and resources to achieve improvements in targeted areas, achieving significant sector-wide changes </w:t>
      </w:r>
      <w:r w:rsidR="00C00176" w:rsidRPr="00CE1879">
        <w:rPr>
          <w:rFonts w:ascii="Arial" w:hAnsi="Arial" w:cs="Arial"/>
          <w:noProof w:val="0"/>
        </w:rPr>
        <w:t>are</w:t>
      </w:r>
      <w:r w:rsidRPr="00CE1879">
        <w:rPr>
          <w:rFonts w:ascii="Arial" w:hAnsi="Arial" w:cs="Arial"/>
          <w:noProof w:val="0"/>
        </w:rPr>
        <w:t xml:space="preserve"> likely to require more strategic and policy focussed initiatives that are beyond the scope of individual organisations. </w:t>
      </w:r>
    </w:p>
    <w:p w:rsidR="00C00176" w:rsidRPr="00CE1879" w:rsidRDefault="00C00176" w:rsidP="00F00E67">
      <w:pPr>
        <w:spacing w:line="360" w:lineRule="auto"/>
        <w:rPr>
          <w:rFonts w:ascii="Arial" w:hAnsi="Arial" w:cs="Arial"/>
          <w:noProof w:val="0"/>
        </w:rPr>
      </w:pPr>
    </w:p>
    <w:p w:rsidR="009220ED" w:rsidRPr="00CE1879" w:rsidRDefault="007E4B3D" w:rsidP="00F00E67">
      <w:pPr>
        <w:spacing w:line="360" w:lineRule="auto"/>
        <w:rPr>
          <w:rFonts w:ascii="Arial" w:hAnsi="Arial" w:cs="Arial"/>
        </w:rPr>
      </w:pPr>
      <w:r w:rsidRPr="00CE1879">
        <w:rPr>
          <w:rFonts w:ascii="Arial" w:hAnsi="Arial" w:cs="Arial"/>
        </w:rPr>
        <w:t>At the sector level</w:t>
      </w:r>
      <w:r w:rsidR="00BA70DD" w:rsidRPr="00CE1879">
        <w:rPr>
          <w:rFonts w:ascii="Arial" w:hAnsi="Arial" w:cs="Arial"/>
        </w:rPr>
        <w:t>,</w:t>
      </w:r>
      <w:r w:rsidR="0071719E" w:rsidRPr="00CE1879">
        <w:rPr>
          <w:rFonts w:ascii="Arial" w:hAnsi="Arial" w:cs="Arial"/>
        </w:rPr>
        <w:t xml:space="preserve"> this was indeed the case</w:t>
      </w:r>
      <w:r w:rsidRPr="00CE1879">
        <w:rPr>
          <w:rFonts w:ascii="Arial" w:hAnsi="Arial" w:cs="Arial"/>
        </w:rPr>
        <w:t xml:space="preserve"> </w:t>
      </w:r>
      <w:r w:rsidR="0083124B" w:rsidRPr="00CE1879">
        <w:rPr>
          <w:rFonts w:ascii="Arial" w:hAnsi="Arial" w:cs="Arial"/>
        </w:rPr>
        <w:t>and satisfaction scores increased</w:t>
      </w:r>
      <w:r w:rsidR="00273A9C" w:rsidRPr="00CE1879">
        <w:rPr>
          <w:rFonts w:ascii="Arial" w:hAnsi="Arial" w:cs="Arial"/>
        </w:rPr>
        <w:t xml:space="preserve"> by </w:t>
      </w:r>
      <w:r w:rsidR="0083124B" w:rsidRPr="00CE1879">
        <w:rPr>
          <w:rFonts w:ascii="Arial" w:hAnsi="Arial" w:cs="Arial"/>
        </w:rPr>
        <w:t xml:space="preserve">only </w:t>
      </w:r>
      <w:r w:rsidR="00273A9C" w:rsidRPr="00CE1879">
        <w:rPr>
          <w:rFonts w:ascii="Arial" w:hAnsi="Arial" w:cs="Arial"/>
        </w:rPr>
        <w:t xml:space="preserve">around one percentage point on average. The largest improvements were seen in terms of organisations’ awareness of </w:t>
      </w:r>
      <w:r w:rsidR="00B506AF" w:rsidRPr="00CE1879">
        <w:rPr>
          <w:rFonts w:ascii="Arial" w:hAnsi="Arial" w:cs="Arial"/>
        </w:rPr>
        <w:t>person-centred</w:t>
      </w:r>
      <w:r w:rsidR="0083124B" w:rsidRPr="00CE1879">
        <w:rPr>
          <w:rFonts w:ascii="Arial" w:hAnsi="Arial" w:cs="Arial"/>
        </w:rPr>
        <w:t xml:space="preserve"> a</w:t>
      </w:r>
      <w:r w:rsidR="00273A9C" w:rsidRPr="00CE1879">
        <w:rPr>
          <w:rFonts w:ascii="Arial" w:hAnsi="Arial" w:cs="Arial"/>
        </w:rPr>
        <w:t xml:space="preserve">pproaches, satisfaction with </w:t>
      </w:r>
      <w:r w:rsidR="00DC4535" w:rsidRPr="00CE1879">
        <w:rPr>
          <w:rFonts w:ascii="Arial" w:hAnsi="Arial" w:cs="Arial"/>
        </w:rPr>
        <w:t>f</w:t>
      </w:r>
      <w:r w:rsidR="00273A9C" w:rsidRPr="00CE1879">
        <w:rPr>
          <w:rFonts w:ascii="Arial" w:hAnsi="Arial" w:cs="Arial"/>
        </w:rPr>
        <w:t xml:space="preserve">acilities and </w:t>
      </w:r>
      <w:r w:rsidR="00DC4535" w:rsidRPr="00CE1879">
        <w:rPr>
          <w:rFonts w:ascii="Arial" w:hAnsi="Arial" w:cs="Arial"/>
        </w:rPr>
        <w:t>r</w:t>
      </w:r>
      <w:r w:rsidR="00273A9C" w:rsidRPr="00CE1879">
        <w:rPr>
          <w:rFonts w:ascii="Arial" w:hAnsi="Arial" w:cs="Arial"/>
        </w:rPr>
        <w:t xml:space="preserve">ewards. No broad </w:t>
      </w:r>
      <w:r w:rsidRPr="00CE1879">
        <w:rPr>
          <w:rFonts w:ascii="Arial" w:hAnsi="Arial" w:cs="Arial"/>
        </w:rPr>
        <w:t>measures (i.e. scale-level results)</w:t>
      </w:r>
      <w:r w:rsidR="00273A9C" w:rsidRPr="00CE1879">
        <w:rPr>
          <w:rFonts w:ascii="Arial" w:hAnsi="Arial" w:cs="Arial"/>
        </w:rPr>
        <w:t xml:space="preserve"> showed a decr</w:t>
      </w:r>
      <w:r w:rsidRPr="00CE1879">
        <w:rPr>
          <w:rFonts w:ascii="Arial" w:hAnsi="Arial" w:cs="Arial"/>
        </w:rPr>
        <w:t>ease beyond the margin of error and</w:t>
      </w:r>
      <w:r w:rsidR="00DC4535" w:rsidRPr="00CE1879">
        <w:rPr>
          <w:rFonts w:ascii="Arial" w:hAnsi="Arial" w:cs="Arial"/>
        </w:rPr>
        <w:t xml:space="preserve"> </w:t>
      </w:r>
      <w:r w:rsidRPr="00CE1879">
        <w:rPr>
          <w:rFonts w:ascii="Arial" w:hAnsi="Arial" w:cs="Arial"/>
        </w:rPr>
        <w:t>t</w:t>
      </w:r>
      <w:r w:rsidR="00DC4535" w:rsidRPr="00CE1879">
        <w:rPr>
          <w:rFonts w:ascii="Arial" w:hAnsi="Arial" w:cs="Arial"/>
        </w:rPr>
        <w:t xml:space="preserve">he only </w:t>
      </w:r>
      <w:r w:rsidRPr="00CE1879">
        <w:rPr>
          <w:rFonts w:ascii="Arial" w:hAnsi="Arial" w:cs="Arial"/>
        </w:rPr>
        <w:t>item-level results</w:t>
      </w:r>
      <w:r w:rsidR="00DC4535" w:rsidRPr="00CE1879">
        <w:rPr>
          <w:rFonts w:ascii="Arial" w:hAnsi="Arial" w:cs="Arial"/>
        </w:rPr>
        <w:t xml:space="preserve"> showing a decrease were in relation to how organisations handle change and learn from their mistakes and confidence in senior leadership.</w:t>
      </w:r>
    </w:p>
    <w:p w:rsidR="007E4B3D" w:rsidRPr="00CE1879" w:rsidRDefault="007E4B3D" w:rsidP="00F00E67">
      <w:pPr>
        <w:spacing w:line="360" w:lineRule="auto"/>
        <w:rPr>
          <w:rFonts w:ascii="Arial" w:hAnsi="Arial" w:cs="Arial"/>
        </w:rPr>
      </w:pPr>
    </w:p>
    <w:p w:rsidR="00A54528" w:rsidRPr="00CE1879" w:rsidRDefault="007E4B3D" w:rsidP="00F00E67">
      <w:pPr>
        <w:spacing w:line="360" w:lineRule="auto"/>
        <w:rPr>
          <w:rFonts w:ascii="Arial" w:hAnsi="Arial" w:cs="Arial"/>
        </w:rPr>
      </w:pPr>
      <w:r w:rsidRPr="00CE1879">
        <w:rPr>
          <w:rFonts w:ascii="Arial" w:hAnsi="Arial" w:cs="Arial"/>
        </w:rPr>
        <w:t xml:space="preserve">Within organisations though, a greater level of change was apparent. </w:t>
      </w:r>
      <w:r w:rsidR="00CD2DB8" w:rsidRPr="00CE1879">
        <w:rPr>
          <w:rFonts w:ascii="Arial" w:hAnsi="Arial" w:cs="Arial"/>
        </w:rPr>
        <w:t xml:space="preserve">For any given management practice, a shift of over five percentage points in satisfaction scores is often considered to be of practical significance. That is, regardless of the level </w:t>
      </w:r>
      <w:r w:rsidR="00BD6605" w:rsidRPr="00CE1879">
        <w:rPr>
          <w:rFonts w:ascii="Arial" w:hAnsi="Arial" w:cs="Arial"/>
        </w:rPr>
        <w:t xml:space="preserve">of </w:t>
      </w:r>
      <w:r w:rsidR="00CD2DB8" w:rsidRPr="00CE1879">
        <w:rPr>
          <w:rFonts w:ascii="Arial" w:hAnsi="Arial" w:cs="Arial"/>
        </w:rPr>
        <w:t xml:space="preserve">statistical significance (which can vary depending on an organisation’s size and response rate across different years), a shift in results of more than five percentage points is usually considered by managers to be worth paying attention to. </w:t>
      </w:r>
      <w:r w:rsidR="0071719E" w:rsidRPr="00CE1879">
        <w:rPr>
          <w:rFonts w:ascii="Arial" w:hAnsi="Arial" w:cs="Arial"/>
        </w:rPr>
        <w:t xml:space="preserve">Of the 39 scales included in the survey, 25 of these showed </w:t>
      </w:r>
      <w:r w:rsidR="000F30C9" w:rsidRPr="00CE1879">
        <w:rPr>
          <w:rFonts w:ascii="Arial" w:hAnsi="Arial" w:cs="Arial"/>
        </w:rPr>
        <w:t xml:space="preserve">such </w:t>
      </w:r>
      <w:r w:rsidR="0071719E" w:rsidRPr="00CE1879">
        <w:rPr>
          <w:rFonts w:ascii="Arial" w:hAnsi="Arial" w:cs="Arial"/>
        </w:rPr>
        <w:t>a</w:t>
      </w:r>
      <w:r w:rsidR="000F30C9" w:rsidRPr="00CE1879">
        <w:rPr>
          <w:rFonts w:ascii="Arial" w:hAnsi="Arial" w:cs="Arial"/>
        </w:rPr>
        <w:t>n</w:t>
      </w:r>
      <w:r w:rsidR="0071719E" w:rsidRPr="00CE1879">
        <w:rPr>
          <w:rFonts w:ascii="Arial" w:hAnsi="Arial" w:cs="Arial"/>
        </w:rPr>
        <w:t xml:space="preserve"> increase (&gt;5%) by at least a quarter of the organisations. Comparatively, only 6 scales showed a substantial decrease by at least a quarter of the organisations.</w:t>
      </w:r>
      <w:r w:rsidR="000F30C9" w:rsidRPr="00CE1879">
        <w:rPr>
          <w:rFonts w:ascii="Arial" w:hAnsi="Arial" w:cs="Arial"/>
        </w:rPr>
        <w:t xml:space="preserve"> Areas that were most frequently improved upon in this sense included satisfaction with rewards, recognition, awareness of </w:t>
      </w:r>
      <w:r w:rsidR="00B506AF" w:rsidRPr="00CE1879">
        <w:rPr>
          <w:rFonts w:ascii="Arial" w:hAnsi="Arial" w:cs="Arial"/>
        </w:rPr>
        <w:t>person-centred</w:t>
      </w:r>
      <w:r w:rsidR="000F30C9" w:rsidRPr="00CE1879">
        <w:rPr>
          <w:rFonts w:ascii="Arial" w:hAnsi="Arial" w:cs="Arial"/>
        </w:rPr>
        <w:t xml:space="preserve"> approaches, and recruitment and selection. Areas that most frequently decreased included cross-unit cooperation and satisfaction with senior leadership.</w:t>
      </w:r>
    </w:p>
    <w:p w:rsidR="00A54528" w:rsidRPr="00CE1879" w:rsidRDefault="00A54528" w:rsidP="00F00E67">
      <w:pPr>
        <w:spacing w:line="360" w:lineRule="auto"/>
        <w:rPr>
          <w:rFonts w:ascii="Arial" w:hAnsi="Arial" w:cs="Arial"/>
        </w:rPr>
      </w:pPr>
    </w:p>
    <w:p w:rsidR="00A54528" w:rsidRPr="00CE1879" w:rsidRDefault="00A54528" w:rsidP="00F00E67">
      <w:pPr>
        <w:spacing w:line="360" w:lineRule="auto"/>
        <w:rPr>
          <w:rFonts w:ascii="Arial" w:hAnsi="Arial" w:cs="Arial"/>
          <w:b/>
          <w:noProof w:val="0"/>
        </w:rPr>
      </w:pPr>
      <w:r w:rsidRPr="00CE1879">
        <w:rPr>
          <w:rFonts w:ascii="Arial" w:hAnsi="Arial" w:cs="Arial"/>
          <w:b/>
          <w:noProof w:val="0"/>
        </w:rPr>
        <w:t>Sector Differences</w:t>
      </w:r>
    </w:p>
    <w:p w:rsidR="00A54528" w:rsidRPr="00CE1879" w:rsidRDefault="00A54528" w:rsidP="00F00E67">
      <w:pPr>
        <w:spacing w:line="360" w:lineRule="auto"/>
        <w:rPr>
          <w:rFonts w:ascii="Arial" w:hAnsi="Arial" w:cs="Arial"/>
          <w:b/>
          <w:noProof w:val="0"/>
        </w:rPr>
      </w:pPr>
      <w:r w:rsidRPr="00CE1879">
        <w:rPr>
          <w:rFonts w:ascii="Arial" w:hAnsi="Arial" w:cs="Arial"/>
          <w:noProof w:val="0"/>
        </w:rPr>
        <w:t>Compared to results</w:t>
      </w:r>
      <w:r w:rsidRPr="00CE1879">
        <w:rPr>
          <w:rFonts w:ascii="Arial" w:hAnsi="Arial" w:cs="Arial"/>
        </w:rPr>
        <w:t xml:space="preserve"> typically seen across other industries, staff working in </w:t>
      </w:r>
      <w:r w:rsidR="00C33BBC" w:rsidRPr="00CE1879">
        <w:rPr>
          <w:rFonts w:ascii="Arial" w:hAnsi="Arial" w:cs="Arial"/>
        </w:rPr>
        <w:t>d</w:t>
      </w:r>
      <w:r w:rsidRPr="00CE1879">
        <w:rPr>
          <w:rFonts w:ascii="Arial" w:hAnsi="Arial" w:cs="Arial"/>
        </w:rPr>
        <w:t xml:space="preserve">isability </w:t>
      </w:r>
      <w:r w:rsidR="00C33BBC" w:rsidRPr="00CE1879">
        <w:rPr>
          <w:rFonts w:ascii="Arial" w:hAnsi="Arial" w:cs="Arial"/>
        </w:rPr>
        <w:t>s</w:t>
      </w:r>
      <w:r w:rsidRPr="00CE1879">
        <w:rPr>
          <w:rFonts w:ascii="Arial" w:hAnsi="Arial" w:cs="Arial"/>
        </w:rPr>
        <w:t>ervices organisations particularly liked the type of work that they do and thought that it gave them a feeling of personal achievement. They believe strongly in the values and purpose of their organisation and feel emotionally attached to it and</w:t>
      </w:r>
      <w:r w:rsidR="00BA70DD" w:rsidRPr="00CE1879">
        <w:rPr>
          <w:rFonts w:ascii="Arial" w:hAnsi="Arial" w:cs="Arial"/>
        </w:rPr>
        <w:t>,</w:t>
      </w:r>
      <w:r w:rsidRPr="00CE1879">
        <w:rPr>
          <w:rFonts w:ascii="Arial" w:hAnsi="Arial" w:cs="Arial"/>
        </w:rPr>
        <w:t xml:space="preserve"> for the most part</w:t>
      </w:r>
      <w:r w:rsidR="00BA70DD" w:rsidRPr="00CE1879">
        <w:rPr>
          <w:rFonts w:ascii="Arial" w:hAnsi="Arial" w:cs="Arial"/>
        </w:rPr>
        <w:t>,</w:t>
      </w:r>
      <w:r w:rsidRPr="00CE1879">
        <w:rPr>
          <w:rFonts w:ascii="Arial" w:hAnsi="Arial" w:cs="Arial"/>
        </w:rPr>
        <w:t xml:space="preserve"> are planning to stay with their current employer. Moreso than in other industries, employees indicate that they have received training and development that has improved their performance.</w:t>
      </w:r>
    </w:p>
    <w:p w:rsidR="00A54528" w:rsidRPr="00CE1879" w:rsidRDefault="00A54528" w:rsidP="00F00E67">
      <w:pPr>
        <w:spacing w:line="360" w:lineRule="auto"/>
        <w:rPr>
          <w:rFonts w:ascii="Arial" w:hAnsi="Arial" w:cs="Arial"/>
        </w:rPr>
      </w:pPr>
    </w:p>
    <w:p w:rsidR="00580034" w:rsidRPr="00CE1879" w:rsidRDefault="00A54528" w:rsidP="00F00E67">
      <w:pPr>
        <w:spacing w:line="360" w:lineRule="auto"/>
        <w:rPr>
          <w:rFonts w:ascii="Arial" w:hAnsi="Arial" w:cs="Arial"/>
        </w:rPr>
      </w:pPr>
      <w:r w:rsidRPr="00CE1879">
        <w:rPr>
          <w:rFonts w:ascii="Arial" w:hAnsi="Arial" w:cs="Arial"/>
        </w:rPr>
        <w:t>None of the results were noticeably below those seen in other industries, but some weaker results were on par with those seen elsewhere. In particular, satisfaction with income was quite low (although it improved noticeably for round two) and there were concerns around the extent to which organisations make good use of technology or the skills that people have with technology.</w:t>
      </w:r>
    </w:p>
    <w:p w:rsidR="00580034" w:rsidRPr="00CE1879" w:rsidRDefault="00580034" w:rsidP="00F00E67">
      <w:pPr>
        <w:spacing w:line="360" w:lineRule="auto"/>
        <w:rPr>
          <w:rFonts w:ascii="Arial" w:hAnsi="Arial" w:cs="Arial"/>
          <w:b/>
          <w:noProof w:val="0"/>
        </w:rPr>
      </w:pPr>
    </w:p>
    <w:p w:rsidR="00A520CD" w:rsidRPr="00CE1879" w:rsidRDefault="00A520CD" w:rsidP="0072500F">
      <w:pPr>
        <w:spacing w:after="200" w:line="360" w:lineRule="auto"/>
        <w:rPr>
          <w:rFonts w:ascii="Arial" w:hAnsi="Arial" w:cs="Arial"/>
          <w:b/>
          <w:noProof w:val="0"/>
        </w:rPr>
      </w:pPr>
      <w:r w:rsidRPr="00CE1879">
        <w:rPr>
          <w:rFonts w:ascii="Arial" w:hAnsi="Arial" w:cs="Arial"/>
          <w:b/>
          <w:noProof w:val="0"/>
        </w:rPr>
        <w:br w:type="page"/>
      </w:r>
    </w:p>
    <w:p w:rsidR="00580034" w:rsidRPr="00CE1879" w:rsidRDefault="00580034" w:rsidP="00F00E67">
      <w:pPr>
        <w:spacing w:line="360" w:lineRule="auto"/>
        <w:rPr>
          <w:rFonts w:ascii="Arial" w:hAnsi="Arial" w:cs="Arial"/>
          <w:b/>
          <w:noProof w:val="0"/>
        </w:rPr>
      </w:pPr>
      <w:r w:rsidRPr="00CE1879">
        <w:rPr>
          <w:rFonts w:ascii="Arial" w:hAnsi="Arial" w:cs="Arial"/>
          <w:b/>
          <w:noProof w:val="0"/>
        </w:rPr>
        <w:t>Demographic Trends</w:t>
      </w:r>
    </w:p>
    <w:p w:rsidR="00580034" w:rsidRPr="00CE1879" w:rsidRDefault="00580034" w:rsidP="00F00E67">
      <w:pPr>
        <w:spacing w:line="360" w:lineRule="auto"/>
        <w:rPr>
          <w:rFonts w:ascii="Arial" w:hAnsi="Arial" w:cs="Arial"/>
        </w:rPr>
      </w:pPr>
      <w:r w:rsidRPr="00CE1879">
        <w:rPr>
          <w:rFonts w:ascii="Arial" w:hAnsi="Arial" w:cs="Arial"/>
          <w:noProof w:val="0"/>
        </w:rPr>
        <w:t>Across both rounds of surveying, analysis of demographic data revealed more similarities than differences</w:t>
      </w:r>
      <w:r w:rsidRPr="00CE1879">
        <w:rPr>
          <w:rFonts w:ascii="Arial" w:hAnsi="Arial" w:cs="Arial"/>
        </w:rPr>
        <w:t xml:space="preserve"> between most groups of people. Few noticeable differences were seen across employment status (full-time or part-time), gender or parental status. However, for volunteers, people in a primary care role (other than as a parent) or those people </w:t>
      </w:r>
      <w:r w:rsidR="00BA70DD" w:rsidRPr="00CE1879">
        <w:rPr>
          <w:rFonts w:ascii="Arial" w:hAnsi="Arial" w:cs="Arial"/>
        </w:rPr>
        <w:t>whose</w:t>
      </w:r>
      <w:r w:rsidRPr="00CE1879">
        <w:rPr>
          <w:rFonts w:ascii="Arial" w:hAnsi="Arial" w:cs="Arial"/>
        </w:rPr>
        <w:t xml:space="preserve"> </w:t>
      </w:r>
      <w:r w:rsidR="00BA70DD" w:rsidRPr="00CE1879">
        <w:rPr>
          <w:rFonts w:ascii="Arial" w:hAnsi="Arial" w:cs="Arial"/>
        </w:rPr>
        <w:t>first</w:t>
      </w:r>
      <w:r w:rsidRPr="00CE1879">
        <w:rPr>
          <w:rFonts w:ascii="Arial" w:hAnsi="Arial" w:cs="Arial"/>
        </w:rPr>
        <w:t xml:space="preserve"> language was not </w:t>
      </w:r>
      <w:r w:rsidR="00BA70DD" w:rsidRPr="00CE1879">
        <w:rPr>
          <w:rFonts w:ascii="Arial" w:hAnsi="Arial" w:cs="Arial"/>
        </w:rPr>
        <w:t>E</w:t>
      </w:r>
      <w:r w:rsidRPr="00CE1879">
        <w:rPr>
          <w:rFonts w:ascii="Arial" w:hAnsi="Arial" w:cs="Arial"/>
        </w:rPr>
        <w:t>nglish, satisfaction was slightly higher. People with a disability also reported higher levels of satisfaction, but this difference disappeared if they also required a work related adjustment. Similar to other research</w:t>
      </w:r>
      <w:r w:rsidR="00893386" w:rsidRPr="00CE1879">
        <w:rPr>
          <w:rStyle w:val="FootnoteReference"/>
          <w:rFonts w:ascii="Arial" w:hAnsi="Arial" w:cs="Arial"/>
        </w:rPr>
        <w:footnoteReference w:id="9"/>
      </w:r>
      <w:r w:rsidR="00C33BBC" w:rsidRPr="00CE1879">
        <w:rPr>
          <w:rFonts w:ascii="Arial" w:hAnsi="Arial" w:cs="Arial"/>
        </w:rPr>
        <w:t>,</w:t>
      </w:r>
      <w:r w:rsidR="00893386" w:rsidRPr="00CE1879">
        <w:rPr>
          <w:rFonts w:ascii="Arial" w:hAnsi="Arial" w:cs="Arial"/>
        </w:rPr>
        <w:t xml:space="preserve"> </w:t>
      </w:r>
      <w:r w:rsidRPr="00CE1879">
        <w:rPr>
          <w:rFonts w:ascii="Arial" w:hAnsi="Arial" w:cs="Arial"/>
        </w:rPr>
        <w:t xml:space="preserve">we also found that engagement and general satisfaction was highest for people over 55 years of age and for those that had been employed with their organisation for more than 10 years. However, satisfaction was also quite high for those that were under 25 or that had been with their employer for less than </w:t>
      </w:r>
      <w:r w:rsidR="00BA70DD" w:rsidRPr="00CE1879">
        <w:rPr>
          <w:rFonts w:ascii="Arial" w:hAnsi="Arial" w:cs="Arial"/>
        </w:rPr>
        <w:t>two</w:t>
      </w:r>
      <w:r w:rsidRPr="00CE1879">
        <w:rPr>
          <w:rFonts w:ascii="Arial" w:hAnsi="Arial" w:cs="Arial"/>
        </w:rPr>
        <w:t xml:space="preserve"> years.</w:t>
      </w:r>
    </w:p>
    <w:p w:rsidR="00BA70DD" w:rsidRPr="00CE1879" w:rsidRDefault="00BA70DD" w:rsidP="00F00E67">
      <w:pPr>
        <w:spacing w:line="360" w:lineRule="auto"/>
        <w:rPr>
          <w:rFonts w:ascii="Arial" w:hAnsi="Arial" w:cs="Arial"/>
        </w:rPr>
      </w:pPr>
    </w:p>
    <w:p w:rsidR="00580034" w:rsidRPr="00CE1879" w:rsidRDefault="00580034" w:rsidP="0072500F">
      <w:pPr>
        <w:spacing w:after="200" w:line="360" w:lineRule="auto"/>
        <w:rPr>
          <w:rFonts w:ascii="Arial" w:hAnsi="Arial" w:cs="Arial"/>
          <w:b/>
          <w:noProof w:val="0"/>
        </w:rPr>
      </w:pPr>
      <w:r w:rsidRPr="00CE1879">
        <w:rPr>
          <w:rFonts w:ascii="Arial" w:hAnsi="Arial" w:cs="Arial"/>
          <w:b/>
          <w:noProof w:val="0"/>
        </w:rPr>
        <w:t>Drivers</w:t>
      </w:r>
    </w:p>
    <w:p w:rsidR="00580034" w:rsidRPr="00CE1879" w:rsidRDefault="00580034" w:rsidP="00F00E67">
      <w:pPr>
        <w:spacing w:line="360" w:lineRule="auto"/>
        <w:rPr>
          <w:rFonts w:ascii="Arial" w:hAnsi="Arial" w:cs="Arial"/>
        </w:rPr>
      </w:pPr>
      <w:r w:rsidRPr="00CE1879">
        <w:rPr>
          <w:rFonts w:ascii="Arial" w:hAnsi="Arial" w:cs="Arial"/>
          <w:noProof w:val="0"/>
        </w:rPr>
        <w:t>A key aspect</w:t>
      </w:r>
      <w:r w:rsidRPr="00CE1879">
        <w:rPr>
          <w:rFonts w:ascii="Arial" w:hAnsi="Arial" w:cs="Arial"/>
        </w:rPr>
        <w:t xml:space="preserve"> of the project was understanding how each of the management practices covered by the survey impact on the outcome measures of passion/engagement, progress and PCA readiness. In general terms, the strongest predictors of these outcomes </w:t>
      </w:r>
      <w:r w:rsidR="000D1630" w:rsidRPr="00CE1879">
        <w:rPr>
          <w:rFonts w:ascii="Arial" w:hAnsi="Arial" w:cs="Arial"/>
        </w:rPr>
        <w:t xml:space="preserve">in round two </w:t>
      </w:r>
      <w:r w:rsidRPr="00CE1879">
        <w:rPr>
          <w:rFonts w:ascii="Arial" w:hAnsi="Arial" w:cs="Arial"/>
        </w:rPr>
        <w:t xml:space="preserve">were found to be </w:t>
      </w:r>
      <w:r w:rsidRPr="00CE1879">
        <w:rPr>
          <w:rFonts w:ascii="Arial" w:hAnsi="Arial" w:cs="Arial"/>
          <w:b/>
        </w:rPr>
        <w:t>confidence in senior leadership</w:t>
      </w:r>
      <w:r w:rsidRPr="00CE1879">
        <w:rPr>
          <w:rFonts w:ascii="Arial" w:hAnsi="Arial" w:cs="Arial"/>
        </w:rPr>
        <w:t xml:space="preserve">, </w:t>
      </w:r>
      <w:r w:rsidRPr="00CE1879">
        <w:rPr>
          <w:rFonts w:ascii="Arial" w:hAnsi="Arial" w:cs="Arial"/>
          <w:b/>
        </w:rPr>
        <w:t>providing appropriate recognition for achievement</w:t>
      </w:r>
      <w:r w:rsidRPr="00CE1879">
        <w:rPr>
          <w:rFonts w:ascii="Arial" w:hAnsi="Arial" w:cs="Arial"/>
        </w:rPr>
        <w:t xml:space="preserve"> and </w:t>
      </w:r>
      <w:r w:rsidRPr="00CE1879">
        <w:rPr>
          <w:rFonts w:ascii="Arial" w:hAnsi="Arial" w:cs="Arial"/>
          <w:b/>
        </w:rPr>
        <w:t>acknowledgement of efforts towards being more person centered</w:t>
      </w:r>
      <w:r w:rsidRPr="00CE1879">
        <w:rPr>
          <w:rFonts w:ascii="Arial" w:hAnsi="Arial" w:cs="Arial"/>
        </w:rPr>
        <w:t xml:space="preserve">, and </w:t>
      </w:r>
      <w:r w:rsidR="000F5D41" w:rsidRPr="00CE1879">
        <w:rPr>
          <w:rFonts w:ascii="Arial" w:hAnsi="Arial" w:cs="Arial"/>
          <w:b/>
        </w:rPr>
        <w:t>involving staff in decision making processes that may affect them</w:t>
      </w:r>
      <w:r w:rsidR="000F5D41" w:rsidRPr="00CE1879">
        <w:rPr>
          <w:rFonts w:ascii="Arial" w:hAnsi="Arial" w:cs="Arial"/>
        </w:rPr>
        <w:t>.</w:t>
      </w:r>
      <w:r w:rsidR="009E3047" w:rsidRPr="00CE1879">
        <w:rPr>
          <w:rFonts w:ascii="Arial" w:hAnsi="Arial" w:cs="Arial"/>
        </w:rPr>
        <w:t xml:space="preserve"> </w:t>
      </w:r>
      <w:r w:rsidR="000D7EFF" w:rsidRPr="00CE1879">
        <w:rPr>
          <w:rFonts w:ascii="Arial" w:hAnsi="Arial" w:cs="Arial"/>
        </w:rPr>
        <w:t xml:space="preserve">These drivers  were very similar to those seen previously in round one of the survey, although the round one results showed a slightly stronger impact for </w:t>
      </w:r>
      <w:r w:rsidR="000D7EFF" w:rsidRPr="00CE1879">
        <w:rPr>
          <w:rFonts w:ascii="Arial" w:hAnsi="Arial" w:cs="Arial"/>
          <w:b/>
        </w:rPr>
        <w:t>recruitment and selection</w:t>
      </w:r>
      <w:r w:rsidR="000D7EFF" w:rsidRPr="00CE1879">
        <w:rPr>
          <w:rFonts w:ascii="Arial" w:hAnsi="Arial" w:cs="Arial"/>
        </w:rPr>
        <w:t xml:space="preserve">, and </w:t>
      </w:r>
      <w:r w:rsidR="000D7EFF" w:rsidRPr="00CE1879">
        <w:rPr>
          <w:rFonts w:ascii="Arial" w:hAnsi="Arial" w:cs="Arial"/>
          <w:b/>
        </w:rPr>
        <w:t>learning and development</w:t>
      </w:r>
      <w:r w:rsidR="000D7EFF" w:rsidRPr="00CE1879">
        <w:rPr>
          <w:rFonts w:ascii="Arial" w:hAnsi="Arial" w:cs="Arial"/>
        </w:rPr>
        <w:t>.</w:t>
      </w:r>
    </w:p>
    <w:p w:rsidR="00580034" w:rsidRPr="00CE1879" w:rsidRDefault="00580034" w:rsidP="00F00E67">
      <w:pPr>
        <w:spacing w:line="360" w:lineRule="auto"/>
        <w:ind w:left="360"/>
        <w:rPr>
          <w:rFonts w:ascii="Arial" w:hAnsi="Arial" w:cs="Arial"/>
        </w:rPr>
      </w:pPr>
    </w:p>
    <w:p w:rsidR="009E3047" w:rsidRPr="00CE1879" w:rsidRDefault="00580034" w:rsidP="00F00E67">
      <w:pPr>
        <w:spacing w:line="360" w:lineRule="auto"/>
        <w:rPr>
          <w:rFonts w:ascii="Arial" w:hAnsi="Arial" w:cs="Arial"/>
          <w:b/>
        </w:rPr>
      </w:pPr>
      <w:r w:rsidRPr="00CE1879">
        <w:rPr>
          <w:rFonts w:ascii="Arial" w:hAnsi="Arial" w:cs="Arial"/>
        </w:rPr>
        <w:t xml:space="preserve">Engagement was driven mostly by whether people thought </w:t>
      </w:r>
      <w:r w:rsidRPr="00CE1879">
        <w:rPr>
          <w:rFonts w:ascii="Arial" w:hAnsi="Arial" w:cs="Arial"/>
          <w:b/>
        </w:rPr>
        <w:t>the organisation was generally successful and meeting its objectives</w:t>
      </w:r>
      <w:r w:rsidRPr="00CE1879">
        <w:rPr>
          <w:rFonts w:ascii="Arial" w:hAnsi="Arial" w:cs="Arial"/>
        </w:rPr>
        <w:t xml:space="preserve">, whilst perceptions of progress were largely determined by </w:t>
      </w:r>
      <w:r w:rsidRPr="00CE1879">
        <w:rPr>
          <w:rFonts w:ascii="Arial" w:hAnsi="Arial" w:cs="Arial"/>
          <w:b/>
        </w:rPr>
        <w:t xml:space="preserve">confidence in </w:t>
      </w:r>
      <w:r w:rsidR="009D213F" w:rsidRPr="00CE1879">
        <w:rPr>
          <w:rFonts w:ascii="Arial" w:hAnsi="Arial" w:cs="Arial"/>
          <w:b/>
        </w:rPr>
        <w:t>s</w:t>
      </w:r>
      <w:r w:rsidRPr="00CE1879">
        <w:rPr>
          <w:rFonts w:ascii="Arial" w:hAnsi="Arial" w:cs="Arial"/>
          <w:b/>
        </w:rPr>
        <w:t xml:space="preserve">enior </w:t>
      </w:r>
      <w:r w:rsidR="009D213F" w:rsidRPr="00CE1879">
        <w:rPr>
          <w:rFonts w:ascii="Arial" w:hAnsi="Arial" w:cs="Arial"/>
          <w:b/>
        </w:rPr>
        <w:t>l</w:t>
      </w:r>
      <w:r w:rsidRPr="00CE1879">
        <w:rPr>
          <w:rFonts w:ascii="Arial" w:hAnsi="Arial" w:cs="Arial"/>
          <w:b/>
        </w:rPr>
        <w:t>eadership</w:t>
      </w:r>
      <w:r w:rsidRPr="00CE1879">
        <w:rPr>
          <w:rFonts w:ascii="Arial" w:hAnsi="Arial" w:cs="Arial"/>
        </w:rPr>
        <w:t xml:space="preserve">. Readiness for </w:t>
      </w:r>
      <w:r w:rsidR="00B506AF" w:rsidRPr="00CE1879">
        <w:rPr>
          <w:rFonts w:ascii="Arial" w:hAnsi="Arial" w:cs="Arial"/>
        </w:rPr>
        <w:t>person-centred</w:t>
      </w:r>
      <w:r w:rsidRPr="00CE1879">
        <w:rPr>
          <w:rFonts w:ascii="Arial" w:hAnsi="Arial" w:cs="Arial"/>
        </w:rPr>
        <w:t xml:space="preserve"> </w:t>
      </w:r>
      <w:r w:rsidR="009D213F" w:rsidRPr="00CE1879">
        <w:rPr>
          <w:rFonts w:ascii="Arial" w:hAnsi="Arial" w:cs="Arial"/>
        </w:rPr>
        <w:t>a</w:t>
      </w:r>
      <w:r w:rsidRPr="00CE1879">
        <w:rPr>
          <w:rFonts w:ascii="Arial" w:hAnsi="Arial" w:cs="Arial"/>
        </w:rPr>
        <w:t xml:space="preserve">pproaches appeared to depend on whether staff felt their organisation had </w:t>
      </w:r>
      <w:r w:rsidRPr="00CE1879">
        <w:rPr>
          <w:rFonts w:ascii="Arial" w:hAnsi="Arial" w:cs="Arial"/>
          <w:b/>
        </w:rPr>
        <w:t>managed change well in the past</w:t>
      </w:r>
      <w:r w:rsidRPr="00CE1879">
        <w:rPr>
          <w:rFonts w:ascii="Arial" w:hAnsi="Arial" w:cs="Arial"/>
        </w:rPr>
        <w:t xml:space="preserve">, and whether it </w:t>
      </w:r>
      <w:r w:rsidR="003F77E1" w:rsidRPr="00CE1879">
        <w:rPr>
          <w:rFonts w:ascii="Arial" w:hAnsi="Arial" w:cs="Arial"/>
        </w:rPr>
        <w:t xml:space="preserve">was </w:t>
      </w:r>
      <w:r w:rsidR="009E3047" w:rsidRPr="00CE1879">
        <w:rPr>
          <w:rFonts w:ascii="Arial" w:hAnsi="Arial" w:cs="Arial"/>
        </w:rPr>
        <w:t xml:space="preserve">successfully achieving its objectives and </w:t>
      </w:r>
      <w:r w:rsidR="009E3047" w:rsidRPr="00CE1879">
        <w:rPr>
          <w:rFonts w:ascii="Arial" w:hAnsi="Arial" w:cs="Arial"/>
          <w:b/>
        </w:rPr>
        <w:t>providing</w:t>
      </w:r>
      <w:r w:rsidRPr="00CE1879">
        <w:rPr>
          <w:rFonts w:ascii="Arial" w:hAnsi="Arial" w:cs="Arial"/>
          <w:b/>
        </w:rPr>
        <w:t xml:space="preserve"> quality services that were valued by clients. </w:t>
      </w:r>
    </w:p>
    <w:p w:rsidR="009E3047" w:rsidRPr="00CE1879" w:rsidRDefault="009E3047" w:rsidP="00F00E67">
      <w:pPr>
        <w:spacing w:line="360" w:lineRule="auto"/>
        <w:rPr>
          <w:rFonts w:ascii="Arial" w:hAnsi="Arial" w:cs="Arial"/>
        </w:rPr>
      </w:pPr>
    </w:p>
    <w:p w:rsidR="00580034" w:rsidRPr="00CE1879" w:rsidRDefault="00580034" w:rsidP="00F00E67">
      <w:pPr>
        <w:spacing w:line="360" w:lineRule="auto"/>
        <w:rPr>
          <w:rFonts w:ascii="Arial" w:hAnsi="Arial" w:cs="Arial"/>
        </w:rPr>
      </w:pPr>
      <w:r w:rsidRPr="00CE1879">
        <w:rPr>
          <w:rFonts w:ascii="Arial" w:hAnsi="Arial" w:cs="Arial"/>
        </w:rPr>
        <w:t xml:space="preserve">The relative impact of the various practices across the combined outcome measures </w:t>
      </w:r>
      <w:r w:rsidR="009E3047" w:rsidRPr="00CE1879">
        <w:rPr>
          <w:rFonts w:ascii="Arial" w:hAnsi="Arial" w:cs="Arial"/>
        </w:rPr>
        <w:t xml:space="preserve">in round two </w:t>
      </w:r>
      <w:r w:rsidRPr="00CE1879">
        <w:rPr>
          <w:rFonts w:ascii="Arial" w:hAnsi="Arial" w:cs="Arial"/>
        </w:rPr>
        <w:t xml:space="preserve">is shown </w:t>
      </w:r>
      <w:r w:rsidR="00EB7EDE" w:rsidRPr="00CE1879">
        <w:rPr>
          <w:rFonts w:ascii="Arial" w:hAnsi="Arial" w:cs="Arial"/>
        </w:rPr>
        <w:t xml:space="preserve">in the gap analysis </w:t>
      </w:r>
      <w:r w:rsidRPr="00CE1879">
        <w:rPr>
          <w:rFonts w:ascii="Arial" w:hAnsi="Arial" w:cs="Arial"/>
        </w:rPr>
        <w:t>below alongside how well organisations were performing. Areas in the bottom right may be con</w:t>
      </w:r>
      <w:r w:rsidR="000D7EFF" w:rsidRPr="00CE1879">
        <w:rPr>
          <w:rFonts w:ascii="Arial" w:hAnsi="Arial" w:cs="Arial"/>
        </w:rPr>
        <w:t xml:space="preserve">sidered as potential priorities. Again, these results were very similar to those seen previously in round one, </w:t>
      </w:r>
      <w:r w:rsidR="0034632B" w:rsidRPr="00CE1879">
        <w:rPr>
          <w:rFonts w:ascii="Arial" w:hAnsi="Arial" w:cs="Arial"/>
        </w:rPr>
        <w:t>however,</w:t>
      </w:r>
      <w:r w:rsidR="000D7EFF" w:rsidRPr="00CE1879">
        <w:rPr>
          <w:rFonts w:ascii="Arial" w:hAnsi="Arial" w:cs="Arial"/>
        </w:rPr>
        <w:t xml:space="preserve"> supporting people’s wellness emerged as a clearer priority in round two. </w:t>
      </w:r>
    </w:p>
    <w:p w:rsidR="00AE1094" w:rsidRPr="00CE1879" w:rsidRDefault="00AE1094" w:rsidP="00F00E67">
      <w:pPr>
        <w:spacing w:line="360" w:lineRule="auto"/>
        <w:rPr>
          <w:rFonts w:ascii="Arial" w:hAnsi="Arial" w:cs="Arial"/>
        </w:rPr>
      </w:pPr>
    </w:p>
    <w:p w:rsidR="001953D9" w:rsidRPr="00CE1879" w:rsidRDefault="00165AAA" w:rsidP="00F00E67">
      <w:pPr>
        <w:spacing w:after="200" w:line="360" w:lineRule="auto"/>
        <w:rPr>
          <w:rFonts w:ascii="Arial" w:hAnsi="Arial" w:cs="Arial"/>
          <w:lang w:bidi="en-US"/>
        </w:rPr>
      </w:pPr>
      <w:r w:rsidRPr="00CE1879">
        <w:rPr>
          <w:rFonts w:ascii="Arial" w:hAnsi="Arial" w:cs="Arial"/>
          <w:b/>
          <w:color w:val="000000" w:themeColor="text1"/>
        </w:rPr>
        <w:t>P</w:t>
      </w:r>
      <w:r w:rsidR="00DB2CCB" w:rsidRPr="00CE1879">
        <w:rPr>
          <w:rFonts w:ascii="Arial" w:hAnsi="Arial" w:cs="Arial"/>
          <w:b/>
          <w:color w:val="000000" w:themeColor="text1"/>
        </w:rPr>
        <w:t xml:space="preserve">riorities &amp; </w:t>
      </w:r>
      <w:r w:rsidR="001953D9" w:rsidRPr="00CE1879">
        <w:rPr>
          <w:rFonts w:ascii="Arial" w:hAnsi="Arial" w:cs="Arial"/>
          <w:b/>
          <w:color w:val="000000" w:themeColor="text1"/>
        </w:rPr>
        <w:t>Discussion</w:t>
      </w:r>
      <w:r w:rsidR="00CE72DA" w:rsidRPr="00CE1879">
        <w:rPr>
          <w:rFonts w:ascii="Arial" w:hAnsi="Arial" w:cs="Arial"/>
          <w:b/>
          <w:color w:val="000000" w:themeColor="text1"/>
        </w:rPr>
        <w:t>:</w:t>
      </w:r>
    </w:p>
    <w:p w:rsidR="001953D9" w:rsidRPr="00CE1879" w:rsidRDefault="001953D9" w:rsidP="00F00E67">
      <w:pPr>
        <w:spacing w:line="360" w:lineRule="auto"/>
        <w:rPr>
          <w:rFonts w:ascii="Arial" w:hAnsi="Arial" w:cs="Arial"/>
        </w:rPr>
      </w:pPr>
      <w:r w:rsidRPr="00CE1879">
        <w:rPr>
          <w:rFonts w:ascii="Arial" w:hAnsi="Arial" w:cs="Arial"/>
          <w:b/>
          <w:noProof w:val="0"/>
        </w:rPr>
        <w:t>Organisation Priorities</w:t>
      </w:r>
    </w:p>
    <w:p w:rsidR="00976E38" w:rsidRPr="00CE1879" w:rsidRDefault="00976E38" w:rsidP="00F00E67">
      <w:pPr>
        <w:spacing w:line="360" w:lineRule="auto"/>
        <w:rPr>
          <w:rFonts w:ascii="Arial" w:hAnsi="Arial" w:cs="Arial"/>
        </w:rPr>
      </w:pPr>
      <w:r w:rsidRPr="00CE1879">
        <w:rPr>
          <w:rFonts w:ascii="Arial" w:hAnsi="Arial" w:cs="Arial"/>
        </w:rPr>
        <w:t>Participating organisations were presented with results specific to th</w:t>
      </w:r>
      <w:r w:rsidR="00C33BBC" w:rsidRPr="00CE1879">
        <w:rPr>
          <w:rFonts w:ascii="Arial" w:hAnsi="Arial" w:cs="Arial"/>
        </w:rPr>
        <w:t>e</w:t>
      </w:r>
      <w:r w:rsidRPr="00CE1879">
        <w:rPr>
          <w:rFonts w:ascii="Arial" w:hAnsi="Arial" w:cs="Arial"/>
        </w:rPr>
        <w:t xml:space="preserve">ir </w:t>
      </w:r>
      <w:r w:rsidR="00165AAA" w:rsidRPr="00CE1879">
        <w:rPr>
          <w:rFonts w:ascii="Arial" w:hAnsi="Arial" w:cs="Arial"/>
        </w:rPr>
        <w:t>organisation including a breakdown of responses and opinions across different demographics, listings of best and worst items in relation to benchmarks and previous results, listings of text comments, and separate reports and comparisons for different work areas.</w:t>
      </w:r>
    </w:p>
    <w:p w:rsidR="00C33BBC" w:rsidRPr="00CE1879" w:rsidRDefault="00C33BBC" w:rsidP="00F00E67">
      <w:pPr>
        <w:spacing w:line="360" w:lineRule="auto"/>
        <w:rPr>
          <w:rFonts w:ascii="Arial" w:hAnsi="Arial" w:cs="Arial"/>
        </w:rPr>
      </w:pPr>
    </w:p>
    <w:p w:rsidR="00B879DF" w:rsidRPr="00CE1879" w:rsidRDefault="001953D9" w:rsidP="0072500F">
      <w:pPr>
        <w:spacing w:line="360" w:lineRule="auto"/>
        <w:rPr>
          <w:rFonts w:ascii="Arial" w:hAnsi="Arial" w:cs="Arial"/>
        </w:rPr>
      </w:pPr>
      <w:r w:rsidRPr="00CE1879">
        <w:rPr>
          <w:rFonts w:ascii="Arial" w:hAnsi="Arial" w:cs="Arial"/>
        </w:rPr>
        <w:t xml:space="preserve">For each organisation, the survey reports </w:t>
      </w:r>
      <w:r w:rsidR="00165AAA" w:rsidRPr="00CE1879">
        <w:rPr>
          <w:rFonts w:ascii="Arial" w:hAnsi="Arial" w:cs="Arial"/>
        </w:rPr>
        <w:t xml:space="preserve">also </w:t>
      </w:r>
      <w:r w:rsidRPr="00CE1879">
        <w:rPr>
          <w:rFonts w:ascii="Arial" w:hAnsi="Arial" w:cs="Arial"/>
        </w:rPr>
        <w:t>outlined practices that are having a high impact on the outcome measures</w:t>
      </w:r>
      <w:r w:rsidR="00ED2AF1" w:rsidRPr="00CE1879">
        <w:rPr>
          <w:rFonts w:ascii="Arial" w:hAnsi="Arial" w:cs="Arial"/>
        </w:rPr>
        <w:t xml:space="preserve"> for their staff,</w:t>
      </w:r>
      <w:r w:rsidRPr="00CE1879">
        <w:rPr>
          <w:rFonts w:ascii="Arial" w:hAnsi="Arial" w:cs="Arial"/>
        </w:rPr>
        <w:t xml:space="preserve"> but were being performed relatively poorly. </w:t>
      </w:r>
      <w:r w:rsidR="00976E38" w:rsidRPr="00CE1879">
        <w:rPr>
          <w:rFonts w:ascii="Arial" w:hAnsi="Arial" w:cs="Arial"/>
        </w:rPr>
        <w:t xml:space="preserve">Consequently, </w:t>
      </w:r>
      <w:r w:rsidR="00165AAA" w:rsidRPr="00CE1879">
        <w:rPr>
          <w:rFonts w:ascii="Arial" w:hAnsi="Arial" w:cs="Arial"/>
        </w:rPr>
        <w:t>potential</w:t>
      </w:r>
      <w:r w:rsidRPr="00CE1879">
        <w:rPr>
          <w:rFonts w:ascii="Arial" w:hAnsi="Arial" w:cs="Arial"/>
        </w:rPr>
        <w:t xml:space="preserve"> high priorit</w:t>
      </w:r>
      <w:r w:rsidR="00165AAA" w:rsidRPr="00CE1879">
        <w:rPr>
          <w:rFonts w:ascii="Arial" w:hAnsi="Arial" w:cs="Arial"/>
        </w:rPr>
        <w:t>y</w:t>
      </w:r>
      <w:r w:rsidR="00976E38" w:rsidRPr="00CE1879">
        <w:rPr>
          <w:rFonts w:ascii="Arial" w:hAnsi="Arial" w:cs="Arial"/>
        </w:rPr>
        <w:t xml:space="preserve"> areas were identified</w:t>
      </w:r>
      <w:r w:rsidR="00165AAA" w:rsidRPr="00CE1879">
        <w:rPr>
          <w:rFonts w:ascii="Arial" w:hAnsi="Arial" w:cs="Arial"/>
        </w:rPr>
        <w:t xml:space="preserve"> in each organisation for further consideration</w:t>
      </w:r>
      <w:r w:rsidRPr="00CE1879">
        <w:rPr>
          <w:rFonts w:ascii="Arial" w:hAnsi="Arial" w:cs="Arial"/>
        </w:rPr>
        <w:t xml:space="preserve">. </w:t>
      </w:r>
      <w:r w:rsidR="00D5677B" w:rsidRPr="00CE1879">
        <w:rPr>
          <w:rFonts w:ascii="Arial" w:hAnsi="Arial" w:cs="Arial"/>
        </w:rPr>
        <w:t>T</w:t>
      </w:r>
      <w:r w:rsidRPr="00CE1879">
        <w:rPr>
          <w:rFonts w:ascii="Arial" w:hAnsi="Arial" w:cs="Arial"/>
        </w:rPr>
        <w:t>hrough consultation sessions and feedback pres</w:t>
      </w:r>
      <w:r w:rsidR="00413780" w:rsidRPr="00CE1879">
        <w:rPr>
          <w:rFonts w:ascii="Arial" w:hAnsi="Arial" w:cs="Arial"/>
        </w:rPr>
        <w:t>entations</w:t>
      </w:r>
      <w:r w:rsidR="00DA006F" w:rsidRPr="00CE1879">
        <w:rPr>
          <w:rFonts w:ascii="Arial" w:hAnsi="Arial" w:cs="Arial"/>
        </w:rPr>
        <w:t>,</w:t>
      </w:r>
      <w:r w:rsidRPr="00CE1879">
        <w:rPr>
          <w:rFonts w:ascii="Arial" w:hAnsi="Arial" w:cs="Arial"/>
        </w:rPr>
        <w:t xml:space="preserve"> organisations were assisted to </w:t>
      </w:r>
      <w:r w:rsidR="00165AAA" w:rsidRPr="00CE1879">
        <w:rPr>
          <w:rFonts w:ascii="Arial" w:hAnsi="Arial" w:cs="Arial"/>
        </w:rPr>
        <w:t>narrow down these potential priorities to focus on items</w:t>
      </w:r>
      <w:r w:rsidRPr="00CE1879">
        <w:rPr>
          <w:rFonts w:ascii="Arial" w:hAnsi="Arial" w:cs="Arial"/>
        </w:rPr>
        <w:t xml:space="preserve"> they could reasonably do something about at the local level as opposed to more systemic issues.</w:t>
      </w:r>
      <w:r w:rsidR="00ED2AF1" w:rsidRPr="00CE1879">
        <w:rPr>
          <w:rFonts w:ascii="Arial" w:hAnsi="Arial" w:cs="Arial"/>
        </w:rPr>
        <w:t xml:space="preserve"> Some of the more common issues that were identified </w:t>
      </w:r>
      <w:r w:rsidR="00F90883" w:rsidRPr="00CE1879">
        <w:rPr>
          <w:rFonts w:ascii="Arial" w:hAnsi="Arial" w:cs="Arial"/>
        </w:rPr>
        <w:t xml:space="preserve">by organisations </w:t>
      </w:r>
      <w:r w:rsidR="00ED2AF1" w:rsidRPr="00CE1879">
        <w:rPr>
          <w:rFonts w:ascii="Arial" w:hAnsi="Arial" w:cs="Arial"/>
        </w:rPr>
        <w:t>are described below.</w:t>
      </w:r>
    </w:p>
    <w:p w:rsidR="00976E38" w:rsidRPr="00CE1879" w:rsidRDefault="00976E38" w:rsidP="0072500F">
      <w:pPr>
        <w:spacing w:line="360" w:lineRule="auto"/>
        <w:rPr>
          <w:rFonts w:ascii="Arial" w:hAnsi="Arial" w:cs="Arial"/>
          <w:b/>
        </w:rPr>
      </w:pPr>
      <w:r w:rsidRPr="00CE1879">
        <w:rPr>
          <w:rFonts w:ascii="Arial" w:hAnsi="Arial" w:cs="Arial"/>
          <w:b/>
        </w:rPr>
        <w:t>Common  Organisational Priorities</w:t>
      </w:r>
    </w:p>
    <w:p w:rsidR="00B879DF" w:rsidRPr="00CE1879" w:rsidRDefault="00B879DF" w:rsidP="0072500F">
      <w:pPr>
        <w:spacing w:line="360" w:lineRule="auto"/>
        <w:rPr>
          <w:rFonts w:ascii="Arial" w:hAnsi="Arial" w:cs="Arial"/>
          <w:b/>
        </w:rPr>
      </w:pPr>
    </w:p>
    <w:p w:rsidR="001953D9" w:rsidRPr="00CE1879" w:rsidRDefault="00185BC6" w:rsidP="00F00E67">
      <w:pPr>
        <w:spacing w:line="360" w:lineRule="auto"/>
        <w:rPr>
          <w:rFonts w:ascii="Arial" w:hAnsi="Arial" w:cs="Arial"/>
          <w:b/>
        </w:rPr>
      </w:pPr>
      <w:r w:rsidRPr="00CE1879">
        <w:rPr>
          <w:rFonts w:ascii="Arial" w:hAnsi="Arial" w:cs="Arial"/>
          <w:b/>
        </w:rPr>
        <w:t xml:space="preserve">Short </w:t>
      </w:r>
      <w:r w:rsidR="00311152" w:rsidRPr="00CE1879">
        <w:rPr>
          <w:rFonts w:ascii="Arial" w:hAnsi="Arial" w:cs="Arial"/>
          <w:b/>
        </w:rPr>
        <w:t>T</w:t>
      </w:r>
      <w:r w:rsidRPr="00CE1879">
        <w:rPr>
          <w:rFonts w:ascii="Arial" w:hAnsi="Arial" w:cs="Arial"/>
          <w:b/>
        </w:rPr>
        <w:t>erm</w:t>
      </w:r>
    </w:p>
    <w:p w:rsidR="00B879DF" w:rsidRDefault="001953D9" w:rsidP="00F00E67">
      <w:pPr>
        <w:spacing w:line="360" w:lineRule="auto"/>
        <w:rPr>
          <w:rFonts w:ascii="Arial" w:hAnsi="Arial" w:cs="Arial"/>
        </w:rPr>
      </w:pPr>
      <w:r w:rsidRPr="00CE1879">
        <w:rPr>
          <w:rFonts w:ascii="Arial" w:hAnsi="Arial" w:cs="Arial"/>
        </w:rPr>
        <w:t xml:space="preserve">The most common and potentially addressable priority that emerged for participating organisations was that of recognition. That is, providing recognition for a job well done and acknowledging the achievements of staff, particularly in relation to efforts at being more </w:t>
      </w:r>
      <w:r w:rsidR="00B506AF" w:rsidRPr="00CE1879">
        <w:rPr>
          <w:rFonts w:ascii="Arial" w:hAnsi="Arial" w:cs="Arial"/>
        </w:rPr>
        <w:t>person-centred</w:t>
      </w:r>
      <w:r w:rsidRPr="00CE1879">
        <w:rPr>
          <w:rFonts w:ascii="Arial" w:hAnsi="Arial" w:cs="Arial"/>
        </w:rPr>
        <w:t xml:space="preserve"> in their work. </w:t>
      </w:r>
      <w:r w:rsidR="00185BC6" w:rsidRPr="00CE1879">
        <w:rPr>
          <w:rFonts w:ascii="Arial" w:hAnsi="Arial" w:cs="Arial"/>
        </w:rPr>
        <w:t>The identification of this area as a low result was often surprising to</w:t>
      </w:r>
      <w:r w:rsidR="00AD3AF5" w:rsidRPr="00CE1879">
        <w:rPr>
          <w:rFonts w:ascii="Arial" w:hAnsi="Arial" w:cs="Arial"/>
        </w:rPr>
        <w:t xml:space="preserve"> managers</w:t>
      </w:r>
      <w:r w:rsidR="00185BC6" w:rsidRPr="00CE1879">
        <w:rPr>
          <w:rFonts w:ascii="Arial" w:hAnsi="Arial" w:cs="Arial"/>
        </w:rPr>
        <w:t>, but on reflection made sense given the structure of many organisations. As staff are of</w:t>
      </w:r>
      <w:r w:rsidR="00AD3AF5" w:rsidRPr="00CE1879">
        <w:rPr>
          <w:rFonts w:ascii="Arial" w:hAnsi="Arial" w:cs="Arial"/>
        </w:rPr>
        <w:t xml:space="preserve">ten operating </w:t>
      </w:r>
      <w:r w:rsidR="00C33BBC" w:rsidRPr="00CE1879">
        <w:rPr>
          <w:rFonts w:ascii="Arial" w:hAnsi="Arial" w:cs="Arial"/>
        </w:rPr>
        <w:t xml:space="preserve">in </w:t>
      </w:r>
      <w:r w:rsidR="00AF012C" w:rsidRPr="00CE1879">
        <w:rPr>
          <w:rFonts w:ascii="Arial" w:hAnsi="Arial" w:cs="Arial"/>
        </w:rPr>
        <w:t>service setttings that are not direclty supervised  (i.e</w:t>
      </w:r>
      <w:r w:rsidR="0055608E" w:rsidRPr="00CE1879">
        <w:rPr>
          <w:rFonts w:ascii="Arial" w:hAnsi="Arial" w:cs="Arial"/>
        </w:rPr>
        <w:t>.</w:t>
      </w:r>
      <w:r w:rsidR="00AF012C" w:rsidRPr="00CE1879">
        <w:rPr>
          <w:rFonts w:ascii="Arial" w:hAnsi="Arial" w:cs="Arial"/>
        </w:rPr>
        <w:t xml:space="preserve"> </w:t>
      </w:r>
      <w:r w:rsidR="00185BC6" w:rsidRPr="00CE1879">
        <w:rPr>
          <w:rFonts w:ascii="Arial" w:hAnsi="Arial" w:cs="Arial"/>
        </w:rPr>
        <w:t>away from the main office or in clients</w:t>
      </w:r>
      <w:r w:rsidR="00AD3AF5" w:rsidRPr="00CE1879">
        <w:rPr>
          <w:rFonts w:ascii="Arial" w:hAnsi="Arial" w:cs="Arial"/>
        </w:rPr>
        <w:t>’ homes</w:t>
      </w:r>
      <w:r w:rsidR="00AF012C" w:rsidRPr="00CE1879">
        <w:rPr>
          <w:rFonts w:ascii="Arial" w:hAnsi="Arial" w:cs="Arial"/>
        </w:rPr>
        <w:t>)</w:t>
      </w:r>
      <w:r w:rsidR="00AD3AF5" w:rsidRPr="00CE1879">
        <w:rPr>
          <w:rFonts w:ascii="Arial" w:hAnsi="Arial" w:cs="Arial"/>
        </w:rPr>
        <w:t xml:space="preserve">, it can </w:t>
      </w:r>
      <w:r w:rsidR="00185BC6" w:rsidRPr="00CE1879">
        <w:rPr>
          <w:rFonts w:ascii="Arial" w:hAnsi="Arial" w:cs="Arial"/>
        </w:rPr>
        <w:t xml:space="preserve">be difficult for managers to </w:t>
      </w:r>
      <w:r w:rsidR="00AF012C" w:rsidRPr="00CE1879">
        <w:rPr>
          <w:rFonts w:ascii="Arial" w:hAnsi="Arial" w:cs="Arial"/>
        </w:rPr>
        <w:t>observe</w:t>
      </w:r>
      <w:r w:rsidR="00185BC6" w:rsidRPr="00CE1879">
        <w:rPr>
          <w:rFonts w:ascii="Arial" w:hAnsi="Arial" w:cs="Arial"/>
        </w:rPr>
        <w:t xml:space="preserve"> </w:t>
      </w:r>
      <w:r w:rsidR="00AF012C" w:rsidRPr="00CE1879">
        <w:rPr>
          <w:rFonts w:ascii="Arial" w:hAnsi="Arial" w:cs="Arial"/>
        </w:rPr>
        <w:t xml:space="preserve">good practice </w:t>
      </w:r>
      <w:r w:rsidR="00185BC6" w:rsidRPr="00CE1879">
        <w:rPr>
          <w:rFonts w:ascii="Arial" w:hAnsi="Arial" w:cs="Arial"/>
        </w:rPr>
        <w:t xml:space="preserve">achievements or </w:t>
      </w:r>
      <w:r w:rsidR="007F2A06" w:rsidRPr="00CE1879">
        <w:rPr>
          <w:rFonts w:ascii="Arial" w:hAnsi="Arial" w:cs="Arial"/>
        </w:rPr>
        <w:t xml:space="preserve">special </w:t>
      </w:r>
      <w:r w:rsidR="00185BC6" w:rsidRPr="00CE1879">
        <w:rPr>
          <w:rFonts w:ascii="Arial" w:hAnsi="Arial" w:cs="Arial"/>
        </w:rPr>
        <w:t xml:space="preserve"> e</w:t>
      </w:r>
      <w:r w:rsidR="00215593" w:rsidRPr="00CE1879">
        <w:rPr>
          <w:rFonts w:ascii="Arial" w:hAnsi="Arial" w:cs="Arial"/>
        </w:rPr>
        <w:t>fforts</w:t>
      </w:r>
      <w:r w:rsidR="007F2A06" w:rsidRPr="00CE1879">
        <w:rPr>
          <w:rFonts w:ascii="Arial" w:hAnsi="Arial" w:cs="Arial"/>
        </w:rPr>
        <w:t xml:space="preserve">. </w:t>
      </w:r>
    </w:p>
    <w:p w:rsidR="00CE1879" w:rsidRPr="00CE1879" w:rsidRDefault="00CE1879" w:rsidP="00F00E67">
      <w:pPr>
        <w:spacing w:line="360" w:lineRule="auto"/>
        <w:rPr>
          <w:rFonts w:ascii="Arial" w:hAnsi="Arial" w:cs="Arial"/>
        </w:rPr>
      </w:pPr>
    </w:p>
    <w:p w:rsidR="00B879DF" w:rsidRPr="00CE1879" w:rsidRDefault="00371148" w:rsidP="00F00E67">
      <w:pPr>
        <w:spacing w:line="360" w:lineRule="auto"/>
        <w:rPr>
          <w:rFonts w:ascii="Arial" w:hAnsi="Arial" w:cs="Arial"/>
        </w:rPr>
      </w:pPr>
      <w:r w:rsidRPr="00CE1879">
        <w:rPr>
          <w:rFonts w:ascii="Arial" w:hAnsi="Arial" w:cs="Arial"/>
        </w:rPr>
        <w:t>Respondents identified</w:t>
      </w:r>
      <w:r w:rsidR="002A4018" w:rsidRPr="00CE1879">
        <w:rPr>
          <w:rFonts w:ascii="Arial" w:hAnsi="Arial" w:cs="Arial"/>
        </w:rPr>
        <w:t xml:space="preserve"> communication from senior m</w:t>
      </w:r>
      <w:r w:rsidR="00DB2CCB" w:rsidRPr="00CE1879">
        <w:rPr>
          <w:rFonts w:ascii="Arial" w:hAnsi="Arial" w:cs="Arial"/>
        </w:rPr>
        <w:t xml:space="preserve">anagement </w:t>
      </w:r>
      <w:r w:rsidRPr="00CE1879">
        <w:rPr>
          <w:rFonts w:ascii="Arial" w:hAnsi="Arial" w:cs="Arial"/>
        </w:rPr>
        <w:t xml:space="preserve">as an area of concern: both </w:t>
      </w:r>
      <w:r w:rsidR="00DB2CCB" w:rsidRPr="00CE1879">
        <w:rPr>
          <w:rFonts w:ascii="Arial" w:hAnsi="Arial" w:cs="Arial"/>
        </w:rPr>
        <w:t>generally</w:t>
      </w:r>
      <w:r w:rsidRPr="00CE1879">
        <w:rPr>
          <w:rFonts w:ascii="Arial" w:hAnsi="Arial" w:cs="Arial"/>
        </w:rPr>
        <w:t xml:space="preserve"> and in relation to organisational direction or strategy. </w:t>
      </w:r>
      <w:r w:rsidR="00DB2CCB" w:rsidRPr="00CE1879">
        <w:rPr>
          <w:rFonts w:ascii="Arial" w:hAnsi="Arial" w:cs="Arial"/>
        </w:rPr>
        <w:t xml:space="preserve"> Th</w:t>
      </w:r>
      <w:r w:rsidR="00DF4F85" w:rsidRPr="00CE1879">
        <w:rPr>
          <w:rFonts w:ascii="Arial" w:hAnsi="Arial" w:cs="Arial"/>
        </w:rPr>
        <w:t xml:space="preserve">e </w:t>
      </w:r>
      <w:r w:rsidR="00DB2CCB" w:rsidRPr="00CE1879">
        <w:rPr>
          <w:rFonts w:ascii="Arial" w:hAnsi="Arial" w:cs="Arial"/>
        </w:rPr>
        <w:t xml:space="preserve"> </w:t>
      </w:r>
      <w:r w:rsidR="00DF4F85" w:rsidRPr="00CE1879">
        <w:rPr>
          <w:rFonts w:ascii="Arial" w:hAnsi="Arial" w:cs="Arial"/>
        </w:rPr>
        <w:t>dynamic nature of the policy and regulatory environment and providers</w:t>
      </w:r>
      <w:r w:rsidR="00DA006F" w:rsidRPr="00CE1879">
        <w:rPr>
          <w:rFonts w:ascii="Arial" w:hAnsi="Arial" w:cs="Arial"/>
        </w:rPr>
        <w:t>’</w:t>
      </w:r>
      <w:r w:rsidRPr="00CE1879">
        <w:rPr>
          <w:rFonts w:ascii="Arial" w:hAnsi="Arial" w:cs="Arial"/>
        </w:rPr>
        <w:t xml:space="preserve"> varied</w:t>
      </w:r>
      <w:r w:rsidR="00DF4F85" w:rsidRPr="00CE1879">
        <w:rPr>
          <w:rFonts w:ascii="Arial" w:hAnsi="Arial" w:cs="Arial"/>
        </w:rPr>
        <w:t xml:space="preserve"> exposure to self d</w:t>
      </w:r>
      <w:r w:rsidRPr="00CE1879">
        <w:rPr>
          <w:rFonts w:ascii="Arial" w:hAnsi="Arial" w:cs="Arial"/>
        </w:rPr>
        <w:t>ir</w:t>
      </w:r>
      <w:r w:rsidR="00DF4F85" w:rsidRPr="00CE1879">
        <w:rPr>
          <w:rFonts w:ascii="Arial" w:hAnsi="Arial" w:cs="Arial"/>
        </w:rPr>
        <w:t xml:space="preserve">ected supports and/or individualised funding is a contributory factor here. </w:t>
      </w:r>
      <w:r w:rsidR="00DB2CCB" w:rsidRPr="00CE1879">
        <w:rPr>
          <w:rFonts w:ascii="Arial" w:hAnsi="Arial" w:cs="Arial"/>
        </w:rPr>
        <w:t>In response to this, leaders in a number of the organisation</w:t>
      </w:r>
      <w:r w:rsidR="008054BC" w:rsidRPr="00CE1879">
        <w:rPr>
          <w:rFonts w:ascii="Arial" w:hAnsi="Arial" w:cs="Arial"/>
        </w:rPr>
        <w:t>s</w:t>
      </w:r>
      <w:r w:rsidR="00DB2CCB" w:rsidRPr="00CE1879">
        <w:rPr>
          <w:rFonts w:ascii="Arial" w:hAnsi="Arial" w:cs="Arial"/>
        </w:rPr>
        <w:t xml:space="preserve"> </w:t>
      </w:r>
      <w:r w:rsidR="00C36CAC" w:rsidRPr="00CE1879">
        <w:rPr>
          <w:rFonts w:ascii="Arial" w:hAnsi="Arial" w:cs="Arial"/>
        </w:rPr>
        <w:t>undertook</w:t>
      </w:r>
      <w:r w:rsidR="00DB2CCB" w:rsidRPr="00CE1879">
        <w:rPr>
          <w:rFonts w:ascii="Arial" w:hAnsi="Arial" w:cs="Arial"/>
        </w:rPr>
        <w:t xml:space="preserve"> to implement greater communication with staff via activities such as staff newsletters and emails, blogs and on the ground personal interaction.</w:t>
      </w:r>
      <w:r w:rsidR="00C36CAC" w:rsidRPr="00CE1879">
        <w:rPr>
          <w:rFonts w:ascii="Arial" w:hAnsi="Arial" w:cs="Arial"/>
        </w:rPr>
        <w:t xml:space="preserve"> This did result in some improvements </w:t>
      </w:r>
      <w:r w:rsidRPr="00CE1879">
        <w:rPr>
          <w:rFonts w:ascii="Arial" w:hAnsi="Arial" w:cs="Arial"/>
        </w:rPr>
        <w:t>by</w:t>
      </w:r>
      <w:r w:rsidR="00C36CAC" w:rsidRPr="00CE1879">
        <w:rPr>
          <w:rFonts w:ascii="Arial" w:hAnsi="Arial" w:cs="Arial"/>
        </w:rPr>
        <w:t xml:space="preserve"> round two, but there remains a clear need for leaders to do more in this area.</w:t>
      </w:r>
      <w:r w:rsidR="008054BC" w:rsidRPr="00CE1879">
        <w:rPr>
          <w:rFonts w:ascii="Arial" w:hAnsi="Arial" w:cs="Arial"/>
        </w:rPr>
        <w:t xml:space="preserve"> In particular, the round two results suggested that involving staff more in decision making processes that affect them would be likely to </w:t>
      </w:r>
      <w:r w:rsidR="00DC6BC2" w:rsidRPr="00CE1879">
        <w:rPr>
          <w:rFonts w:ascii="Arial" w:hAnsi="Arial" w:cs="Arial"/>
        </w:rPr>
        <w:t>yield significant benefits.</w:t>
      </w:r>
    </w:p>
    <w:p w:rsidR="00B879DF" w:rsidRPr="00CE1879" w:rsidRDefault="00B879DF" w:rsidP="0072500F">
      <w:pPr>
        <w:spacing w:line="360" w:lineRule="auto"/>
        <w:rPr>
          <w:rFonts w:ascii="Arial" w:hAnsi="Arial" w:cs="Arial"/>
          <w:b/>
        </w:rPr>
      </w:pPr>
    </w:p>
    <w:p w:rsidR="00B879DF" w:rsidRPr="00CE1879" w:rsidRDefault="00185BC6" w:rsidP="00F00E67">
      <w:pPr>
        <w:spacing w:line="360" w:lineRule="auto"/>
        <w:rPr>
          <w:rFonts w:ascii="Arial" w:hAnsi="Arial" w:cs="Arial"/>
        </w:rPr>
      </w:pPr>
      <w:r w:rsidRPr="00CE1879">
        <w:rPr>
          <w:rFonts w:ascii="Arial" w:hAnsi="Arial" w:cs="Arial"/>
          <w:b/>
        </w:rPr>
        <w:t xml:space="preserve">Longer </w:t>
      </w:r>
      <w:r w:rsidR="00311152" w:rsidRPr="00CE1879">
        <w:rPr>
          <w:rFonts w:ascii="Arial" w:hAnsi="Arial" w:cs="Arial"/>
          <w:b/>
        </w:rPr>
        <w:t>T</w:t>
      </w:r>
      <w:r w:rsidRPr="00CE1879">
        <w:rPr>
          <w:rFonts w:ascii="Arial" w:hAnsi="Arial" w:cs="Arial"/>
          <w:b/>
        </w:rPr>
        <w:t>erm</w:t>
      </w:r>
    </w:p>
    <w:p w:rsidR="00663CA3" w:rsidRPr="00CE1879" w:rsidRDefault="00C06D97" w:rsidP="0072500F">
      <w:pPr>
        <w:spacing w:line="360" w:lineRule="auto"/>
        <w:rPr>
          <w:rFonts w:ascii="Arial" w:hAnsi="Arial" w:cs="Arial"/>
        </w:rPr>
      </w:pPr>
      <w:r w:rsidRPr="00CE1879">
        <w:rPr>
          <w:rFonts w:ascii="Arial" w:hAnsi="Arial" w:cs="Arial"/>
        </w:rPr>
        <w:t>Cross unit co-operation was identified by many organisations as a</w:t>
      </w:r>
      <w:r w:rsidR="00663CA3" w:rsidRPr="00CE1879">
        <w:rPr>
          <w:rFonts w:ascii="Arial" w:hAnsi="Arial" w:cs="Arial"/>
        </w:rPr>
        <w:t>n</w:t>
      </w:r>
      <w:r w:rsidR="00AD3AF5" w:rsidRPr="00CE1879">
        <w:rPr>
          <w:rFonts w:ascii="Arial" w:hAnsi="Arial" w:cs="Arial"/>
        </w:rPr>
        <w:t xml:space="preserve"> </w:t>
      </w:r>
      <w:r w:rsidR="00663CA3" w:rsidRPr="00CE1879">
        <w:rPr>
          <w:rFonts w:ascii="Arial" w:hAnsi="Arial" w:cs="Arial"/>
        </w:rPr>
        <w:t xml:space="preserve">area </w:t>
      </w:r>
      <w:r w:rsidRPr="00CE1879">
        <w:rPr>
          <w:rFonts w:ascii="Arial" w:hAnsi="Arial" w:cs="Arial"/>
        </w:rPr>
        <w:t xml:space="preserve">they could address over the </w:t>
      </w:r>
      <w:r w:rsidR="00663CA3" w:rsidRPr="00CE1879">
        <w:rPr>
          <w:rFonts w:ascii="Arial" w:hAnsi="Arial" w:cs="Arial"/>
        </w:rPr>
        <w:t xml:space="preserve"> longer term. Whilst organisations varied in term</w:t>
      </w:r>
      <w:r w:rsidR="00AD3AF5" w:rsidRPr="00CE1879">
        <w:rPr>
          <w:rFonts w:ascii="Arial" w:hAnsi="Arial" w:cs="Arial"/>
        </w:rPr>
        <w:t>s of</w:t>
      </w:r>
      <w:r w:rsidR="00663CA3" w:rsidRPr="00CE1879">
        <w:rPr>
          <w:rFonts w:ascii="Arial" w:hAnsi="Arial" w:cs="Arial"/>
        </w:rPr>
        <w:t xml:space="preserve"> how well different areas, teams or depa</w:t>
      </w:r>
      <w:r w:rsidR="00AD3AF5" w:rsidRPr="00CE1879">
        <w:rPr>
          <w:rFonts w:ascii="Arial" w:hAnsi="Arial" w:cs="Arial"/>
        </w:rPr>
        <w:t>rtments were able to communicate</w:t>
      </w:r>
      <w:r w:rsidR="00663CA3" w:rsidRPr="00CE1879">
        <w:rPr>
          <w:rFonts w:ascii="Arial" w:hAnsi="Arial" w:cs="Arial"/>
        </w:rPr>
        <w:t xml:space="preserve">, share resources and work well together, this was </w:t>
      </w:r>
      <w:r w:rsidR="00FF75A1" w:rsidRPr="00CE1879">
        <w:rPr>
          <w:rFonts w:ascii="Arial" w:hAnsi="Arial" w:cs="Arial"/>
        </w:rPr>
        <w:t xml:space="preserve">commonly </w:t>
      </w:r>
      <w:r w:rsidR="00663CA3" w:rsidRPr="00CE1879">
        <w:rPr>
          <w:rFonts w:ascii="Arial" w:hAnsi="Arial" w:cs="Arial"/>
        </w:rPr>
        <w:t>an area that had a large impact on overall staff engagement and s</w:t>
      </w:r>
      <w:r w:rsidR="00AD3AF5" w:rsidRPr="00CE1879">
        <w:rPr>
          <w:rFonts w:ascii="Arial" w:hAnsi="Arial" w:cs="Arial"/>
        </w:rPr>
        <w:t>atisfaction</w:t>
      </w:r>
      <w:r w:rsidR="00663CA3" w:rsidRPr="00CE1879">
        <w:rPr>
          <w:rFonts w:ascii="Arial" w:hAnsi="Arial" w:cs="Arial"/>
        </w:rPr>
        <w:t xml:space="preserve">. </w:t>
      </w:r>
      <w:r w:rsidR="00FF75A1" w:rsidRPr="00CE1879">
        <w:rPr>
          <w:rFonts w:ascii="Arial" w:hAnsi="Arial" w:cs="Arial"/>
        </w:rPr>
        <w:t>A</w:t>
      </w:r>
      <w:r w:rsidR="00663CA3" w:rsidRPr="00CE1879">
        <w:rPr>
          <w:rFonts w:ascii="Arial" w:hAnsi="Arial" w:cs="Arial"/>
        </w:rPr>
        <w:t xml:space="preserve"> number of organisations are endeavouring to increase job rotation, cross functional acitivities and horizontal communication</w:t>
      </w:r>
      <w:r w:rsidR="00FF75A1" w:rsidRPr="00CE1879">
        <w:rPr>
          <w:rFonts w:ascii="Arial" w:hAnsi="Arial" w:cs="Arial"/>
        </w:rPr>
        <w:t xml:space="preserve"> as a consequence of reviewing their engagement profile</w:t>
      </w:r>
      <w:r w:rsidR="00663CA3" w:rsidRPr="00CE1879">
        <w:rPr>
          <w:rFonts w:ascii="Arial" w:hAnsi="Arial" w:cs="Arial"/>
        </w:rPr>
        <w:t>.</w:t>
      </w:r>
    </w:p>
    <w:p w:rsidR="00A12436" w:rsidRPr="00CE1879" w:rsidRDefault="00AD3AF5" w:rsidP="00F00E67">
      <w:pPr>
        <w:spacing w:line="360" w:lineRule="auto"/>
        <w:rPr>
          <w:rFonts w:ascii="Arial" w:hAnsi="Arial" w:cs="Arial"/>
        </w:rPr>
      </w:pPr>
      <w:r w:rsidRPr="00CE1879">
        <w:rPr>
          <w:rFonts w:ascii="Arial" w:hAnsi="Arial" w:cs="Arial"/>
        </w:rPr>
        <w:t>A further</w:t>
      </w:r>
      <w:r w:rsidR="00EA64B2" w:rsidRPr="00CE1879">
        <w:rPr>
          <w:rFonts w:ascii="Arial" w:hAnsi="Arial" w:cs="Arial"/>
        </w:rPr>
        <w:t xml:space="preserve"> issue that seemed to be having a relativel</w:t>
      </w:r>
      <w:r w:rsidRPr="00CE1879">
        <w:rPr>
          <w:rFonts w:ascii="Arial" w:hAnsi="Arial" w:cs="Arial"/>
        </w:rPr>
        <w:t xml:space="preserve">y strong impact </w:t>
      </w:r>
      <w:r w:rsidR="00FF75A1" w:rsidRPr="00CE1879">
        <w:rPr>
          <w:rFonts w:ascii="Arial" w:hAnsi="Arial" w:cs="Arial"/>
        </w:rPr>
        <w:t xml:space="preserve">on employee engagement </w:t>
      </w:r>
      <w:r w:rsidRPr="00CE1879">
        <w:rPr>
          <w:rFonts w:ascii="Arial" w:hAnsi="Arial" w:cs="Arial"/>
        </w:rPr>
        <w:t xml:space="preserve">was a </w:t>
      </w:r>
      <w:r w:rsidR="00EA64B2" w:rsidRPr="00CE1879">
        <w:rPr>
          <w:rFonts w:ascii="Arial" w:hAnsi="Arial" w:cs="Arial"/>
        </w:rPr>
        <w:t xml:space="preserve">lack of alignment </w:t>
      </w:r>
      <w:r w:rsidR="00A6793F" w:rsidRPr="00CE1879">
        <w:rPr>
          <w:rFonts w:ascii="Arial" w:hAnsi="Arial" w:cs="Arial"/>
        </w:rPr>
        <w:t xml:space="preserve">or consistency </w:t>
      </w:r>
      <w:r w:rsidR="00EA64B2" w:rsidRPr="00CE1879">
        <w:rPr>
          <w:rFonts w:ascii="Arial" w:hAnsi="Arial" w:cs="Arial"/>
        </w:rPr>
        <w:t xml:space="preserve">between </w:t>
      </w:r>
      <w:r w:rsidR="00A6793F" w:rsidRPr="00CE1879">
        <w:rPr>
          <w:rFonts w:ascii="Arial" w:hAnsi="Arial" w:cs="Arial"/>
        </w:rPr>
        <w:t xml:space="preserve">the current focus on </w:t>
      </w:r>
      <w:r w:rsidR="00B506AF" w:rsidRPr="00CE1879">
        <w:rPr>
          <w:rFonts w:ascii="Arial" w:hAnsi="Arial" w:cs="Arial"/>
        </w:rPr>
        <w:t>person-centred</w:t>
      </w:r>
      <w:r w:rsidR="00A6793F" w:rsidRPr="00CE1879">
        <w:rPr>
          <w:rFonts w:ascii="Arial" w:hAnsi="Arial" w:cs="Arial"/>
        </w:rPr>
        <w:t xml:space="preserve"> approaches, and existing </w:t>
      </w:r>
      <w:r w:rsidR="00EA64B2" w:rsidRPr="00CE1879">
        <w:rPr>
          <w:rFonts w:ascii="Arial" w:hAnsi="Arial" w:cs="Arial"/>
        </w:rPr>
        <w:t xml:space="preserve">organisational processes </w:t>
      </w:r>
      <w:r w:rsidR="00FF75A1" w:rsidRPr="00CE1879">
        <w:rPr>
          <w:rFonts w:ascii="Arial" w:hAnsi="Arial" w:cs="Arial"/>
        </w:rPr>
        <w:t>such as performance appraisals, internal processes and procedures, and communications from management</w:t>
      </w:r>
      <w:r w:rsidR="00EA64B2" w:rsidRPr="00CE1879">
        <w:rPr>
          <w:rFonts w:ascii="Arial" w:hAnsi="Arial" w:cs="Arial"/>
        </w:rPr>
        <w:t xml:space="preserve">. </w:t>
      </w:r>
    </w:p>
    <w:p w:rsidR="00B879DF" w:rsidRPr="00CE1879" w:rsidRDefault="00B879DF" w:rsidP="0072500F">
      <w:pPr>
        <w:spacing w:line="360" w:lineRule="auto"/>
        <w:rPr>
          <w:rFonts w:ascii="Arial" w:hAnsi="Arial" w:cs="Arial"/>
        </w:rPr>
      </w:pPr>
    </w:p>
    <w:p w:rsidR="00EA64B2" w:rsidRPr="00CE1879" w:rsidRDefault="00A6793F" w:rsidP="00F00E67">
      <w:pPr>
        <w:spacing w:line="360" w:lineRule="auto"/>
        <w:rPr>
          <w:rFonts w:ascii="Arial" w:hAnsi="Arial" w:cs="Arial"/>
        </w:rPr>
      </w:pPr>
      <w:r w:rsidRPr="00CE1879">
        <w:rPr>
          <w:rFonts w:ascii="Arial" w:hAnsi="Arial" w:cs="Arial"/>
        </w:rPr>
        <w:t xml:space="preserve">That is, although </w:t>
      </w:r>
      <w:r w:rsidR="00B506AF" w:rsidRPr="00CE1879">
        <w:rPr>
          <w:rFonts w:ascii="Arial" w:hAnsi="Arial" w:cs="Arial"/>
        </w:rPr>
        <w:t>person-centred</w:t>
      </w:r>
      <w:r w:rsidRPr="00CE1879">
        <w:rPr>
          <w:rFonts w:ascii="Arial" w:hAnsi="Arial" w:cs="Arial"/>
        </w:rPr>
        <w:t xml:space="preserve"> approaches were topical and being talked about within the organisation, existing processes and procedures did not reflect this or may have prevented staff from being more </w:t>
      </w:r>
      <w:r w:rsidR="00B506AF" w:rsidRPr="00CE1879">
        <w:rPr>
          <w:rFonts w:ascii="Arial" w:hAnsi="Arial" w:cs="Arial"/>
        </w:rPr>
        <w:t>person-centred</w:t>
      </w:r>
      <w:r w:rsidRPr="00CE1879">
        <w:rPr>
          <w:rFonts w:ascii="Arial" w:hAnsi="Arial" w:cs="Arial"/>
        </w:rPr>
        <w:t xml:space="preserve"> in their work. </w:t>
      </w:r>
      <w:r w:rsidR="00EA64B2" w:rsidRPr="00CE1879">
        <w:rPr>
          <w:rFonts w:ascii="Arial" w:hAnsi="Arial" w:cs="Arial"/>
        </w:rPr>
        <w:t xml:space="preserve">Whilst some organisations were doing quite well in this sense, many indicated that </w:t>
      </w:r>
      <w:r w:rsidRPr="00CE1879">
        <w:rPr>
          <w:rFonts w:ascii="Arial" w:hAnsi="Arial" w:cs="Arial"/>
        </w:rPr>
        <w:t xml:space="preserve">a </w:t>
      </w:r>
      <w:r w:rsidR="00B506AF" w:rsidRPr="00CE1879">
        <w:rPr>
          <w:rFonts w:ascii="Arial" w:hAnsi="Arial" w:cs="Arial"/>
        </w:rPr>
        <w:t>person-centred</w:t>
      </w:r>
      <w:r w:rsidRPr="00CE1879">
        <w:rPr>
          <w:rFonts w:ascii="Arial" w:hAnsi="Arial" w:cs="Arial"/>
        </w:rPr>
        <w:t xml:space="preserve"> </w:t>
      </w:r>
      <w:r w:rsidR="009A3309" w:rsidRPr="00CE1879">
        <w:rPr>
          <w:rFonts w:ascii="Arial" w:hAnsi="Arial" w:cs="Arial"/>
        </w:rPr>
        <w:t xml:space="preserve">approach had not really permeated their organisational culture as yet. In some cases this was linked to current uncertainty around the future operating environment, but most organisations saw this as an area </w:t>
      </w:r>
      <w:r w:rsidR="002A4018" w:rsidRPr="00CE1879">
        <w:rPr>
          <w:rFonts w:ascii="Arial" w:hAnsi="Arial" w:cs="Arial"/>
        </w:rPr>
        <w:t xml:space="preserve">that </w:t>
      </w:r>
      <w:r w:rsidR="009A3309" w:rsidRPr="00CE1879">
        <w:rPr>
          <w:rFonts w:ascii="Arial" w:hAnsi="Arial" w:cs="Arial"/>
        </w:rPr>
        <w:t>could be improved upon by directly addres</w:t>
      </w:r>
      <w:r w:rsidR="00F95492" w:rsidRPr="00CE1879">
        <w:rPr>
          <w:rFonts w:ascii="Arial" w:hAnsi="Arial" w:cs="Arial"/>
        </w:rPr>
        <w:t>s</w:t>
      </w:r>
      <w:r w:rsidR="009A3309" w:rsidRPr="00CE1879">
        <w:rPr>
          <w:rFonts w:ascii="Arial" w:hAnsi="Arial" w:cs="Arial"/>
        </w:rPr>
        <w:t>ing</w:t>
      </w:r>
      <w:r w:rsidR="00F95492" w:rsidRPr="00CE1879">
        <w:rPr>
          <w:rFonts w:ascii="Arial" w:hAnsi="Arial" w:cs="Arial"/>
        </w:rPr>
        <w:t xml:space="preserve"> it</w:t>
      </w:r>
      <w:r w:rsidR="009A3309" w:rsidRPr="00CE1879">
        <w:rPr>
          <w:rFonts w:ascii="Arial" w:hAnsi="Arial" w:cs="Arial"/>
        </w:rPr>
        <w:t>.</w:t>
      </w:r>
    </w:p>
    <w:p w:rsidR="00663CA3" w:rsidRPr="00CE1879" w:rsidRDefault="00663CA3" w:rsidP="00F00E67">
      <w:pPr>
        <w:spacing w:line="360" w:lineRule="auto"/>
        <w:ind w:left="360"/>
        <w:rPr>
          <w:rFonts w:ascii="Arial" w:hAnsi="Arial" w:cs="Arial"/>
        </w:rPr>
      </w:pPr>
    </w:p>
    <w:p w:rsidR="009E0D6E" w:rsidRPr="00CE1879" w:rsidRDefault="00C90D79" w:rsidP="00F00E67">
      <w:pPr>
        <w:spacing w:line="360" w:lineRule="auto"/>
        <w:rPr>
          <w:rFonts w:ascii="Arial" w:hAnsi="Arial" w:cs="Arial"/>
          <w:b/>
          <w:noProof w:val="0"/>
        </w:rPr>
      </w:pPr>
      <w:r w:rsidRPr="00CE1879">
        <w:rPr>
          <w:rFonts w:ascii="Arial" w:hAnsi="Arial" w:cs="Arial"/>
          <w:b/>
          <w:noProof w:val="0"/>
        </w:rPr>
        <w:t>Sector</w:t>
      </w:r>
      <w:r w:rsidR="00A746A2" w:rsidRPr="00CE1879">
        <w:rPr>
          <w:rFonts w:ascii="Arial" w:hAnsi="Arial" w:cs="Arial"/>
          <w:b/>
          <w:noProof w:val="0"/>
        </w:rPr>
        <w:t xml:space="preserve"> Level </w:t>
      </w:r>
      <w:r w:rsidRPr="00CE1879">
        <w:rPr>
          <w:rFonts w:ascii="Arial" w:hAnsi="Arial" w:cs="Arial"/>
          <w:b/>
          <w:noProof w:val="0"/>
        </w:rPr>
        <w:t>Priorities</w:t>
      </w:r>
    </w:p>
    <w:p w:rsidR="00B879DF" w:rsidRPr="00CE1879" w:rsidRDefault="00C90D79" w:rsidP="0072500F">
      <w:pPr>
        <w:spacing w:line="360" w:lineRule="auto"/>
        <w:rPr>
          <w:rFonts w:ascii="Arial" w:hAnsi="Arial" w:cs="Arial"/>
        </w:rPr>
      </w:pPr>
      <w:r w:rsidRPr="00CE1879">
        <w:rPr>
          <w:rFonts w:ascii="Arial" w:hAnsi="Arial" w:cs="Arial"/>
        </w:rPr>
        <w:t>In addition to organisation level strategies, the results also indicated high priority systemic</w:t>
      </w:r>
      <w:r w:rsidR="00FF75A1" w:rsidRPr="00CE1879">
        <w:rPr>
          <w:rFonts w:ascii="Arial" w:hAnsi="Arial" w:cs="Arial"/>
        </w:rPr>
        <w:t xml:space="preserve"> issues</w:t>
      </w:r>
      <w:r w:rsidR="00AD3AF5" w:rsidRPr="00CE1879">
        <w:rPr>
          <w:rFonts w:ascii="Arial" w:hAnsi="Arial" w:cs="Arial"/>
        </w:rPr>
        <w:t>.</w:t>
      </w:r>
    </w:p>
    <w:p w:rsidR="00B879DF" w:rsidRPr="00CE1879" w:rsidRDefault="00B879DF" w:rsidP="0072500F">
      <w:pPr>
        <w:spacing w:line="360" w:lineRule="auto"/>
        <w:rPr>
          <w:rFonts w:ascii="Arial" w:hAnsi="Arial" w:cs="Arial"/>
        </w:rPr>
      </w:pPr>
    </w:p>
    <w:p w:rsidR="00B879DF" w:rsidRPr="00CE1879" w:rsidRDefault="00C90D79" w:rsidP="00F00E67">
      <w:pPr>
        <w:spacing w:line="360" w:lineRule="auto"/>
        <w:rPr>
          <w:rFonts w:ascii="Arial" w:hAnsi="Arial" w:cs="Arial"/>
        </w:rPr>
      </w:pPr>
      <w:r w:rsidRPr="00CE1879">
        <w:rPr>
          <w:rFonts w:ascii="Arial" w:hAnsi="Arial" w:cs="Arial"/>
          <w:b/>
        </w:rPr>
        <w:t>Short Term</w:t>
      </w:r>
    </w:p>
    <w:p w:rsidR="00B879DF" w:rsidRPr="00CE1879" w:rsidRDefault="002213ED" w:rsidP="00F00E67">
      <w:pPr>
        <w:spacing w:line="360" w:lineRule="auto"/>
        <w:rPr>
          <w:rFonts w:ascii="Arial" w:hAnsi="Arial" w:cs="Arial"/>
        </w:rPr>
      </w:pPr>
      <w:r w:rsidRPr="00CE1879">
        <w:rPr>
          <w:rFonts w:ascii="Arial" w:hAnsi="Arial" w:cs="Arial"/>
        </w:rPr>
        <w:t xml:space="preserve">Good </w:t>
      </w:r>
      <w:r w:rsidR="00E81363" w:rsidRPr="00CE1879">
        <w:rPr>
          <w:rFonts w:ascii="Arial" w:hAnsi="Arial" w:cs="Arial"/>
        </w:rPr>
        <w:t xml:space="preserve">leadership </w:t>
      </w:r>
      <w:r w:rsidR="00A23055" w:rsidRPr="00CE1879">
        <w:rPr>
          <w:rFonts w:ascii="Arial" w:hAnsi="Arial" w:cs="Arial"/>
        </w:rPr>
        <w:t>(particularly around communication and consultation with sta</w:t>
      </w:r>
      <w:r w:rsidR="00CD60C6" w:rsidRPr="00CE1879">
        <w:rPr>
          <w:rFonts w:ascii="Arial" w:hAnsi="Arial" w:cs="Arial"/>
        </w:rPr>
        <w:t>f</w:t>
      </w:r>
      <w:r w:rsidR="00A23055" w:rsidRPr="00CE1879">
        <w:rPr>
          <w:rFonts w:ascii="Arial" w:hAnsi="Arial" w:cs="Arial"/>
        </w:rPr>
        <w:t xml:space="preserve">f) </w:t>
      </w:r>
      <w:r w:rsidR="00E81363" w:rsidRPr="00CE1879">
        <w:rPr>
          <w:rFonts w:ascii="Arial" w:hAnsi="Arial" w:cs="Arial"/>
        </w:rPr>
        <w:t xml:space="preserve">was </w:t>
      </w:r>
      <w:r w:rsidRPr="00CE1879">
        <w:rPr>
          <w:rFonts w:ascii="Arial" w:hAnsi="Arial" w:cs="Arial"/>
        </w:rPr>
        <w:t xml:space="preserve">identified by staff as </w:t>
      </w:r>
      <w:r w:rsidR="00E81363" w:rsidRPr="00CE1879">
        <w:rPr>
          <w:rFonts w:ascii="Arial" w:hAnsi="Arial" w:cs="Arial"/>
        </w:rPr>
        <w:t xml:space="preserve">generally being done very well </w:t>
      </w:r>
      <w:r w:rsidRPr="00CE1879">
        <w:rPr>
          <w:rFonts w:ascii="Arial" w:hAnsi="Arial" w:cs="Arial"/>
        </w:rPr>
        <w:t xml:space="preserve">and </w:t>
      </w:r>
      <w:r w:rsidR="00E81363" w:rsidRPr="00CE1879">
        <w:rPr>
          <w:rFonts w:ascii="Arial" w:hAnsi="Arial" w:cs="Arial"/>
        </w:rPr>
        <w:t xml:space="preserve">the area that had the strongest impact across all of the outcome measures. </w:t>
      </w:r>
      <w:r w:rsidR="00A23055" w:rsidRPr="00CE1879">
        <w:rPr>
          <w:rFonts w:ascii="Arial" w:hAnsi="Arial" w:cs="Arial"/>
        </w:rPr>
        <w:t xml:space="preserve">Maintenance of good leadership and improvements here are </w:t>
      </w:r>
      <w:r w:rsidR="00E81363" w:rsidRPr="00CE1879">
        <w:rPr>
          <w:rFonts w:ascii="Arial" w:hAnsi="Arial" w:cs="Arial"/>
        </w:rPr>
        <w:t xml:space="preserve"> likely to lead to significant improvements across a broad </w:t>
      </w:r>
      <w:r w:rsidR="002A4018" w:rsidRPr="00CE1879">
        <w:rPr>
          <w:rFonts w:ascii="Arial" w:hAnsi="Arial" w:cs="Arial"/>
        </w:rPr>
        <w:t xml:space="preserve">range of indicators. </w:t>
      </w:r>
    </w:p>
    <w:p w:rsidR="00B879DF" w:rsidRPr="00CE1879" w:rsidRDefault="00B879DF" w:rsidP="0072500F">
      <w:pPr>
        <w:spacing w:line="360" w:lineRule="auto"/>
        <w:rPr>
          <w:rFonts w:ascii="Arial" w:hAnsi="Arial" w:cs="Arial"/>
          <w:b/>
        </w:rPr>
      </w:pPr>
    </w:p>
    <w:p w:rsidR="00B879DF" w:rsidRPr="00CE1879" w:rsidRDefault="00E81363" w:rsidP="00F00E67">
      <w:pPr>
        <w:spacing w:line="360" w:lineRule="auto"/>
        <w:rPr>
          <w:rFonts w:ascii="Arial" w:hAnsi="Arial" w:cs="Arial"/>
        </w:rPr>
      </w:pPr>
      <w:r w:rsidRPr="00CE1879">
        <w:rPr>
          <w:rFonts w:ascii="Arial" w:hAnsi="Arial" w:cs="Arial"/>
          <w:b/>
        </w:rPr>
        <w:t>Longer Term</w:t>
      </w:r>
    </w:p>
    <w:p w:rsidR="00E81363" w:rsidRPr="00CE1879" w:rsidRDefault="00E1512A" w:rsidP="0072500F">
      <w:pPr>
        <w:spacing w:line="360" w:lineRule="auto"/>
        <w:rPr>
          <w:rFonts w:ascii="Arial" w:hAnsi="Arial" w:cs="Arial"/>
        </w:rPr>
      </w:pPr>
      <w:r w:rsidRPr="00CE1879">
        <w:rPr>
          <w:rFonts w:ascii="Arial" w:hAnsi="Arial" w:cs="Arial"/>
        </w:rPr>
        <w:t>T</w:t>
      </w:r>
      <w:r w:rsidR="00311152" w:rsidRPr="00CE1879">
        <w:rPr>
          <w:rFonts w:ascii="Arial" w:hAnsi="Arial" w:cs="Arial"/>
        </w:rPr>
        <w:t>h</w:t>
      </w:r>
      <w:r w:rsidR="00E81363" w:rsidRPr="00CE1879">
        <w:rPr>
          <w:rFonts w:ascii="Arial" w:hAnsi="Arial" w:cs="Arial"/>
        </w:rPr>
        <w:t xml:space="preserve">e limited availablity of career opportunities was </w:t>
      </w:r>
      <w:r w:rsidRPr="00CE1879">
        <w:rPr>
          <w:rFonts w:ascii="Arial" w:hAnsi="Arial" w:cs="Arial"/>
        </w:rPr>
        <w:t xml:space="preserve">also </w:t>
      </w:r>
      <w:r w:rsidR="00E81363" w:rsidRPr="00CE1879">
        <w:rPr>
          <w:rFonts w:ascii="Arial" w:hAnsi="Arial" w:cs="Arial"/>
        </w:rPr>
        <w:t xml:space="preserve">an area that </w:t>
      </w:r>
      <w:r w:rsidR="00CD60C6" w:rsidRPr="00CE1879">
        <w:rPr>
          <w:rFonts w:ascii="Arial" w:hAnsi="Arial" w:cs="Arial"/>
        </w:rPr>
        <w:t>had</w:t>
      </w:r>
      <w:r w:rsidR="00E81363" w:rsidRPr="00CE1879">
        <w:rPr>
          <w:rFonts w:ascii="Arial" w:hAnsi="Arial" w:cs="Arial"/>
        </w:rPr>
        <w:t xml:space="preserve"> a</w:t>
      </w:r>
      <w:r w:rsidR="00FC29C5" w:rsidRPr="00CE1879">
        <w:rPr>
          <w:rFonts w:ascii="Arial" w:hAnsi="Arial" w:cs="Arial"/>
        </w:rPr>
        <w:t xml:space="preserve"> large impact on staff. O</w:t>
      </w:r>
      <w:r w:rsidR="00E81363" w:rsidRPr="00CE1879">
        <w:rPr>
          <w:rFonts w:ascii="Arial" w:hAnsi="Arial" w:cs="Arial"/>
        </w:rPr>
        <w:t>rganisations can undertake ac</w:t>
      </w:r>
      <w:r w:rsidR="00FC29C5" w:rsidRPr="00CE1879">
        <w:rPr>
          <w:rFonts w:ascii="Arial" w:hAnsi="Arial" w:cs="Arial"/>
        </w:rPr>
        <w:t>tion</w:t>
      </w:r>
      <w:r w:rsidR="0055608E" w:rsidRPr="00CE1879">
        <w:rPr>
          <w:rFonts w:ascii="Arial" w:hAnsi="Arial" w:cs="Arial"/>
        </w:rPr>
        <w:t>s</w:t>
      </w:r>
      <w:r w:rsidR="00FC29C5" w:rsidRPr="00CE1879">
        <w:rPr>
          <w:rFonts w:ascii="Arial" w:hAnsi="Arial" w:cs="Arial"/>
        </w:rPr>
        <w:t xml:space="preserve"> to address this </w:t>
      </w:r>
      <w:r w:rsidRPr="00CE1879">
        <w:rPr>
          <w:rFonts w:ascii="Arial" w:hAnsi="Arial" w:cs="Arial"/>
        </w:rPr>
        <w:t xml:space="preserve"> by increasing</w:t>
      </w:r>
      <w:r w:rsidR="00E81363" w:rsidRPr="00CE1879">
        <w:rPr>
          <w:rFonts w:ascii="Arial" w:hAnsi="Arial" w:cs="Arial"/>
        </w:rPr>
        <w:t xml:space="preserve"> awareness of existing opportunities</w:t>
      </w:r>
      <w:r w:rsidR="00FC29C5" w:rsidRPr="00CE1879">
        <w:rPr>
          <w:rFonts w:ascii="Arial" w:hAnsi="Arial" w:cs="Arial"/>
        </w:rPr>
        <w:t>, facilitated career planning,</w:t>
      </w:r>
      <w:r w:rsidRPr="00CE1879">
        <w:rPr>
          <w:rFonts w:ascii="Arial" w:hAnsi="Arial" w:cs="Arial"/>
        </w:rPr>
        <w:t xml:space="preserve"> learning</w:t>
      </w:r>
      <w:r w:rsidR="00E81363" w:rsidRPr="00CE1879">
        <w:rPr>
          <w:rFonts w:ascii="Arial" w:hAnsi="Arial" w:cs="Arial"/>
        </w:rPr>
        <w:t xml:space="preserve"> </w:t>
      </w:r>
      <w:r w:rsidRPr="00CE1879">
        <w:rPr>
          <w:rFonts w:ascii="Arial" w:hAnsi="Arial" w:cs="Arial"/>
        </w:rPr>
        <w:t xml:space="preserve">and </w:t>
      </w:r>
      <w:r w:rsidR="00E81363" w:rsidRPr="00CE1879">
        <w:rPr>
          <w:rFonts w:ascii="Arial" w:hAnsi="Arial" w:cs="Arial"/>
        </w:rPr>
        <w:t>development</w:t>
      </w:r>
      <w:r w:rsidRPr="00CE1879">
        <w:rPr>
          <w:rFonts w:ascii="Arial" w:hAnsi="Arial" w:cs="Arial"/>
        </w:rPr>
        <w:t>,</w:t>
      </w:r>
      <w:r w:rsidR="00E81363" w:rsidRPr="00CE1879">
        <w:rPr>
          <w:rFonts w:ascii="Arial" w:hAnsi="Arial" w:cs="Arial"/>
        </w:rPr>
        <w:t xml:space="preserve"> </w:t>
      </w:r>
      <w:r w:rsidR="0055608E" w:rsidRPr="00CE1879">
        <w:rPr>
          <w:rFonts w:ascii="Arial" w:hAnsi="Arial" w:cs="Arial"/>
        </w:rPr>
        <w:t>professional supervision</w:t>
      </w:r>
      <w:r w:rsidR="000E758E" w:rsidRPr="00CE1879">
        <w:rPr>
          <w:rFonts w:ascii="Arial" w:hAnsi="Arial" w:cs="Arial"/>
        </w:rPr>
        <w:t>/practice leadership</w:t>
      </w:r>
      <w:r w:rsidR="0055608E" w:rsidRPr="00CE1879">
        <w:rPr>
          <w:rFonts w:ascii="Arial" w:hAnsi="Arial" w:cs="Arial"/>
        </w:rPr>
        <w:t xml:space="preserve"> </w:t>
      </w:r>
      <w:r w:rsidR="00E81363" w:rsidRPr="00CE1879">
        <w:rPr>
          <w:rFonts w:ascii="Arial" w:hAnsi="Arial" w:cs="Arial"/>
        </w:rPr>
        <w:t>and greater role diversity</w:t>
      </w:r>
      <w:r w:rsidR="0055608E" w:rsidRPr="00CE1879">
        <w:rPr>
          <w:rFonts w:ascii="Arial" w:hAnsi="Arial" w:cs="Arial"/>
        </w:rPr>
        <w:t>, for example</w:t>
      </w:r>
      <w:r w:rsidR="00FC29C5" w:rsidRPr="00CE1879">
        <w:rPr>
          <w:rFonts w:ascii="Arial" w:hAnsi="Arial" w:cs="Arial"/>
        </w:rPr>
        <w:t>. However, resolving the core issue of limited positions for advanceme</w:t>
      </w:r>
      <w:r w:rsidRPr="00CE1879">
        <w:rPr>
          <w:rFonts w:ascii="Arial" w:hAnsi="Arial" w:cs="Arial"/>
        </w:rPr>
        <w:t xml:space="preserve">nt </w:t>
      </w:r>
      <w:r w:rsidR="00FC29C5" w:rsidRPr="00CE1879">
        <w:rPr>
          <w:rFonts w:ascii="Arial" w:hAnsi="Arial" w:cs="Arial"/>
        </w:rPr>
        <w:t>is only likely to be succesful in the co</w:t>
      </w:r>
      <w:r w:rsidRPr="00CE1879">
        <w:rPr>
          <w:rFonts w:ascii="Arial" w:hAnsi="Arial" w:cs="Arial"/>
        </w:rPr>
        <w:t>ntext of sector wide approaches</w:t>
      </w:r>
      <w:r w:rsidR="00FC29C5" w:rsidRPr="00CE1879">
        <w:rPr>
          <w:rFonts w:ascii="Arial" w:hAnsi="Arial" w:cs="Arial"/>
        </w:rPr>
        <w:t xml:space="preserve"> that look at the structure of the industry and</w:t>
      </w:r>
      <w:r w:rsidR="00663CA3" w:rsidRPr="00CE1879">
        <w:rPr>
          <w:rFonts w:ascii="Arial" w:hAnsi="Arial" w:cs="Arial"/>
        </w:rPr>
        <w:t xml:space="preserve"> the nature of</w:t>
      </w:r>
      <w:r w:rsidR="00FC29C5" w:rsidRPr="00CE1879">
        <w:rPr>
          <w:rFonts w:ascii="Arial" w:hAnsi="Arial" w:cs="Arial"/>
        </w:rPr>
        <w:t xml:space="preserve"> its workforce.</w:t>
      </w:r>
    </w:p>
    <w:p w:rsidR="009E0D6E" w:rsidRPr="00CE1879" w:rsidRDefault="009E0D6E" w:rsidP="00F00E67">
      <w:pPr>
        <w:spacing w:line="360" w:lineRule="auto"/>
        <w:ind w:left="360"/>
        <w:rPr>
          <w:rFonts w:ascii="Arial" w:hAnsi="Arial" w:cs="Arial"/>
        </w:rPr>
      </w:pPr>
    </w:p>
    <w:p w:rsidR="002E2B39" w:rsidRPr="00CE1879" w:rsidRDefault="002E2B39" w:rsidP="00F00E67">
      <w:pPr>
        <w:spacing w:line="360" w:lineRule="auto"/>
        <w:rPr>
          <w:rFonts w:ascii="Arial" w:hAnsi="Arial" w:cs="Arial"/>
          <w:b/>
          <w:noProof w:val="0"/>
        </w:rPr>
      </w:pPr>
      <w:r w:rsidRPr="00CE1879">
        <w:rPr>
          <w:rFonts w:ascii="Arial" w:hAnsi="Arial" w:cs="Arial"/>
          <w:b/>
          <w:noProof w:val="0"/>
        </w:rPr>
        <w:t>Rewards</w:t>
      </w:r>
    </w:p>
    <w:p w:rsidR="00B879DF" w:rsidRPr="00CE1879" w:rsidRDefault="00FC29C5" w:rsidP="00F00E67">
      <w:pPr>
        <w:spacing w:line="360" w:lineRule="auto"/>
        <w:rPr>
          <w:rFonts w:ascii="Arial" w:hAnsi="Arial" w:cs="Arial"/>
        </w:rPr>
      </w:pPr>
      <w:r w:rsidRPr="00CE1879">
        <w:rPr>
          <w:rFonts w:ascii="Arial" w:hAnsi="Arial" w:cs="Arial"/>
          <w:noProof w:val="0"/>
        </w:rPr>
        <w:t>Satisfaction with remuneration and financial rewards is particularly low throughout the industry</w:t>
      </w:r>
      <w:r w:rsidR="00D5375F" w:rsidRPr="00CE1879">
        <w:rPr>
          <w:rFonts w:ascii="Arial" w:hAnsi="Arial" w:cs="Arial"/>
          <w:noProof w:val="0"/>
        </w:rPr>
        <w:t>. Indeed</w:t>
      </w:r>
      <w:r w:rsidR="00CD60C6" w:rsidRPr="00CE1879">
        <w:rPr>
          <w:rFonts w:ascii="Arial" w:hAnsi="Arial" w:cs="Arial"/>
          <w:noProof w:val="0"/>
        </w:rPr>
        <w:t>,</w:t>
      </w:r>
      <w:r w:rsidR="00D5375F" w:rsidRPr="00CE1879">
        <w:rPr>
          <w:rFonts w:ascii="Arial" w:hAnsi="Arial" w:cs="Arial"/>
          <w:noProof w:val="0"/>
        </w:rPr>
        <w:t xml:space="preserve"> this remained the</w:t>
      </w:r>
      <w:r w:rsidR="00AC1B7A" w:rsidRPr="00CE1879">
        <w:rPr>
          <w:rFonts w:ascii="Arial" w:hAnsi="Arial" w:cs="Arial"/>
          <w:noProof w:val="0"/>
        </w:rPr>
        <w:t xml:space="preserve"> lowest scoring area </w:t>
      </w:r>
      <w:r w:rsidR="002A4018" w:rsidRPr="00CE1879">
        <w:rPr>
          <w:rFonts w:ascii="Arial" w:hAnsi="Arial" w:cs="Arial"/>
          <w:noProof w:val="0"/>
        </w:rPr>
        <w:t>in the survey</w:t>
      </w:r>
      <w:r w:rsidR="000D1630" w:rsidRPr="00CE1879">
        <w:rPr>
          <w:rFonts w:ascii="Arial" w:hAnsi="Arial" w:cs="Arial"/>
          <w:noProof w:val="0"/>
        </w:rPr>
        <w:t xml:space="preserve"> for round two despite showing one of the largest increases in satisfaction sin</w:t>
      </w:r>
      <w:r w:rsidR="00472933" w:rsidRPr="00CE1879">
        <w:rPr>
          <w:rFonts w:ascii="Arial" w:hAnsi="Arial" w:cs="Arial"/>
          <w:noProof w:val="0"/>
        </w:rPr>
        <w:t>c</w:t>
      </w:r>
      <w:r w:rsidR="000D1630" w:rsidRPr="00CE1879">
        <w:rPr>
          <w:rFonts w:ascii="Arial" w:hAnsi="Arial" w:cs="Arial"/>
          <w:noProof w:val="0"/>
        </w:rPr>
        <w:t>e round one</w:t>
      </w:r>
      <w:r w:rsidR="00D5375F" w:rsidRPr="00CE1879">
        <w:rPr>
          <w:rFonts w:ascii="Arial" w:hAnsi="Arial" w:cs="Arial"/>
          <w:noProof w:val="0"/>
        </w:rPr>
        <w:t xml:space="preserve">. </w:t>
      </w:r>
      <w:r w:rsidR="002A4018" w:rsidRPr="00CE1879">
        <w:rPr>
          <w:rFonts w:ascii="Arial" w:hAnsi="Arial" w:cs="Arial"/>
          <w:noProof w:val="0"/>
        </w:rPr>
        <w:t>It</w:t>
      </w:r>
      <w:r w:rsidR="00CD60C6" w:rsidRPr="00CE1879">
        <w:rPr>
          <w:rFonts w:ascii="Arial" w:hAnsi="Arial" w:cs="Arial"/>
          <w:noProof w:val="0"/>
        </w:rPr>
        <w:t xml:space="preserve"> is</w:t>
      </w:r>
      <w:r w:rsidR="002A4018" w:rsidRPr="00CE1879">
        <w:rPr>
          <w:rFonts w:ascii="Arial" w:hAnsi="Arial" w:cs="Arial"/>
          <w:noProof w:val="0"/>
        </w:rPr>
        <w:t xml:space="preserve"> also an area</w:t>
      </w:r>
      <w:r w:rsidRPr="00CE1879">
        <w:rPr>
          <w:rFonts w:ascii="Arial" w:hAnsi="Arial" w:cs="Arial"/>
          <w:noProof w:val="0"/>
        </w:rPr>
        <w:t xml:space="preserve"> that organisations </w:t>
      </w:r>
      <w:r w:rsidR="00AC1B7A" w:rsidRPr="00CE1879">
        <w:rPr>
          <w:rFonts w:ascii="Arial" w:hAnsi="Arial" w:cs="Arial"/>
          <w:noProof w:val="0"/>
        </w:rPr>
        <w:t xml:space="preserve">typically </w:t>
      </w:r>
      <w:r w:rsidRPr="00CE1879">
        <w:rPr>
          <w:rFonts w:ascii="Arial" w:hAnsi="Arial" w:cs="Arial"/>
          <w:noProof w:val="0"/>
        </w:rPr>
        <w:t xml:space="preserve">have limited capacity to address. Whilst any </w:t>
      </w:r>
      <w:r w:rsidR="000D1630" w:rsidRPr="00CE1879">
        <w:rPr>
          <w:rFonts w:ascii="Arial" w:hAnsi="Arial" w:cs="Arial"/>
          <w:noProof w:val="0"/>
        </w:rPr>
        <w:t xml:space="preserve">further </w:t>
      </w:r>
      <w:r w:rsidR="009A3309" w:rsidRPr="00CE1879">
        <w:rPr>
          <w:rFonts w:ascii="Arial" w:hAnsi="Arial" w:cs="Arial"/>
          <w:noProof w:val="0"/>
        </w:rPr>
        <w:t>improvement in rewards</w:t>
      </w:r>
      <w:r w:rsidRPr="00CE1879">
        <w:rPr>
          <w:rFonts w:ascii="Arial" w:hAnsi="Arial" w:cs="Arial"/>
        </w:rPr>
        <w:t xml:space="preserve"> would no doubt be appreciated by staff, the survey results indicated very little relationship between such rewards and the outcome measures. That is, increased levels of </w:t>
      </w:r>
      <w:r w:rsidR="00A41CEA" w:rsidRPr="00CE1879">
        <w:rPr>
          <w:rFonts w:ascii="Arial" w:hAnsi="Arial" w:cs="Arial"/>
        </w:rPr>
        <w:t xml:space="preserve">satisfaction with </w:t>
      </w:r>
      <w:r w:rsidRPr="00CE1879">
        <w:rPr>
          <w:rFonts w:ascii="Arial" w:hAnsi="Arial" w:cs="Arial"/>
        </w:rPr>
        <w:t xml:space="preserve">remuneration and </w:t>
      </w:r>
      <w:r w:rsidR="00AC1B7A" w:rsidRPr="00CE1879">
        <w:rPr>
          <w:rFonts w:ascii="Arial" w:hAnsi="Arial" w:cs="Arial"/>
        </w:rPr>
        <w:t xml:space="preserve">financial </w:t>
      </w:r>
      <w:r w:rsidRPr="00CE1879">
        <w:rPr>
          <w:rFonts w:ascii="Arial" w:hAnsi="Arial" w:cs="Arial"/>
        </w:rPr>
        <w:t>benefits did not appear to impact greatly on whether people liked their job and their organisation, whether they inten</w:t>
      </w:r>
      <w:r w:rsidR="00CD60C6" w:rsidRPr="00CE1879">
        <w:rPr>
          <w:rFonts w:ascii="Arial" w:hAnsi="Arial" w:cs="Arial"/>
        </w:rPr>
        <w:t>d</w:t>
      </w:r>
      <w:r w:rsidRPr="00CE1879">
        <w:rPr>
          <w:rFonts w:ascii="Arial" w:hAnsi="Arial" w:cs="Arial"/>
        </w:rPr>
        <w:t>ed to leave or their satisfaction with the organisation’s performance and its readine</w:t>
      </w:r>
      <w:r w:rsidR="00AC1B7A" w:rsidRPr="00CE1879">
        <w:rPr>
          <w:rFonts w:ascii="Arial" w:hAnsi="Arial" w:cs="Arial"/>
        </w:rPr>
        <w:t xml:space="preserve">ss for </w:t>
      </w:r>
      <w:r w:rsidR="00B506AF" w:rsidRPr="00CE1879">
        <w:rPr>
          <w:rFonts w:ascii="Arial" w:hAnsi="Arial" w:cs="Arial"/>
        </w:rPr>
        <w:t>person-centred</w:t>
      </w:r>
      <w:r w:rsidR="00AC1B7A" w:rsidRPr="00CE1879">
        <w:rPr>
          <w:rFonts w:ascii="Arial" w:hAnsi="Arial" w:cs="Arial"/>
        </w:rPr>
        <w:t xml:space="preserve"> approaches</w:t>
      </w:r>
      <w:r w:rsidRPr="00CE1879">
        <w:rPr>
          <w:rFonts w:ascii="Arial" w:hAnsi="Arial" w:cs="Arial"/>
        </w:rPr>
        <w:t xml:space="preserve">. </w:t>
      </w:r>
      <w:r w:rsidR="000E758E" w:rsidRPr="00CE1879">
        <w:rPr>
          <w:rFonts w:ascii="Arial" w:hAnsi="Arial" w:cs="Arial"/>
        </w:rPr>
        <w:t>The finding that staff</w:t>
      </w:r>
      <w:r w:rsidRPr="00CE1879">
        <w:rPr>
          <w:rFonts w:ascii="Arial" w:hAnsi="Arial" w:cs="Arial"/>
        </w:rPr>
        <w:t xml:space="preserve"> are attracted to the secto</w:t>
      </w:r>
      <w:r w:rsidR="001D41EB" w:rsidRPr="00CE1879">
        <w:rPr>
          <w:rFonts w:ascii="Arial" w:hAnsi="Arial" w:cs="Arial"/>
        </w:rPr>
        <w:t>r for other reasons</w:t>
      </w:r>
      <w:r w:rsidR="000E758E" w:rsidRPr="00CE1879">
        <w:rPr>
          <w:rFonts w:ascii="Arial" w:hAnsi="Arial" w:cs="Arial"/>
        </w:rPr>
        <w:t xml:space="preserve"> is consistent with other research</w:t>
      </w:r>
      <w:r w:rsidR="001D41EB" w:rsidRPr="00CE1879">
        <w:rPr>
          <w:rFonts w:ascii="Arial" w:hAnsi="Arial" w:cs="Arial"/>
        </w:rPr>
        <w:t xml:space="preserve">. Whilst there are clear </w:t>
      </w:r>
      <w:r w:rsidR="00AC1B7A" w:rsidRPr="00CE1879">
        <w:rPr>
          <w:rFonts w:ascii="Arial" w:hAnsi="Arial" w:cs="Arial"/>
        </w:rPr>
        <w:t>equity</w:t>
      </w:r>
      <w:r w:rsidR="001D41EB" w:rsidRPr="00CE1879">
        <w:rPr>
          <w:rFonts w:ascii="Arial" w:hAnsi="Arial" w:cs="Arial"/>
        </w:rPr>
        <w:t xml:space="preserve"> and market related issues to consider in relation to remuneration, the survey results at least suggest that there are probably other factors that are higher </w:t>
      </w:r>
      <w:r w:rsidR="00AC1B7A" w:rsidRPr="00CE1879">
        <w:rPr>
          <w:rFonts w:ascii="Arial" w:hAnsi="Arial" w:cs="Arial"/>
        </w:rPr>
        <w:t xml:space="preserve">immediate </w:t>
      </w:r>
      <w:r w:rsidR="001D41EB" w:rsidRPr="00CE1879">
        <w:rPr>
          <w:rFonts w:ascii="Arial" w:hAnsi="Arial" w:cs="Arial"/>
        </w:rPr>
        <w:t>priorities given the</w:t>
      </w:r>
      <w:r w:rsidR="009A3309" w:rsidRPr="00CE1879">
        <w:rPr>
          <w:rFonts w:ascii="Arial" w:hAnsi="Arial" w:cs="Arial"/>
        </w:rPr>
        <w:t>ir</w:t>
      </w:r>
      <w:r w:rsidR="001D41EB" w:rsidRPr="00CE1879">
        <w:rPr>
          <w:rFonts w:ascii="Arial" w:hAnsi="Arial" w:cs="Arial"/>
        </w:rPr>
        <w:t xml:space="preserve"> relative impact on </w:t>
      </w:r>
      <w:r w:rsidR="0004145A" w:rsidRPr="00CE1879">
        <w:rPr>
          <w:rFonts w:ascii="Arial" w:hAnsi="Arial" w:cs="Arial"/>
        </w:rPr>
        <w:t>engagement</w:t>
      </w:r>
      <w:r w:rsidR="001D41EB" w:rsidRPr="00CE1879">
        <w:rPr>
          <w:rFonts w:ascii="Arial" w:hAnsi="Arial" w:cs="Arial"/>
        </w:rPr>
        <w:t>.</w:t>
      </w:r>
    </w:p>
    <w:p w:rsidR="0072500F" w:rsidRPr="00CE1879" w:rsidRDefault="0072500F" w:rsidP="0072500F">
      <w:pPr>
        <w:spacing w:line="360" w:lineRule="auto"/>
        <w:rPr>
          <w:rFonts w:ascii="Arial" w:hAnsi="Arial" w:cs="Arial"/>
          <w:b/>
          <w:noProof w:val="0"/>
        </w:rPr>
      </w:pPr>
    </w:p>
    <w:p w:rsidR="00ED2AF1" w:rsidRPr="00CE1879" w:rsidRDefault="00ED2AF1" w:rsidP="0072500F">
      <w:pPr>
        <w:spacing w:line="360" w:lineRule="auto"/>
        <w:rPr>
          <w:rFonts w:ascii="Arial" w:hAnsi="Arial" w:cs="Arial"/>
        </w:rPr>
      </w:pPr>
      <w:r w:rsidRPr="00CE1879">
        <w:rPr>
          <w:rFonts w:ascii="Arial" w:hAnsi="Arial" w:cs="Arial"/>
          <w:b/>
          <w:noProof w:val="0"/>
        </w:rPr>
        <w:t>Wellness &amp; Work/Life Balance</w:t>
      </w:r>
    </w:p>
    <w:p w:rsidR="002B5DA0" w:rsidRPr="00CE1879" w:rsidRDefault="00ED2AF1" w:rsidP="00F00E67">
      <w:pPr>
        <w:spacing w:line="360" w:lineRule="auto"/>
        <w:rPr>
          <w:rFonts w:ascii="Arial" w:hAnsi="Arial" w:cs="Arial"/>
        </w:rPr>
      </w:pPr>
      <w:r w:rsidRPr="00CE1879">
        <w:rPr>
          <w:rFonts w:ascii="Arial" w:hAnsi="Arial" w:cs="Arial"/>
        </w:rPr>
        <w:t xml:space="preserve">Whilst general workload and work/life balance did not emerge as an area of priority, how well people are able to </w:t>
      </w:r>
      <w:r w:rsidR="00AD3AF5" w:rsidRPr="00CE1879">
        <w:rPr>
          <w:rFonts w:ascii="Arial" w:hAnsi="Arial" w:cs="Arial"/>
        </w:rPr>
        <w:t xml:space="preserve">cope with and </w:t>
      </w:r>
      <w:r w:rsidRPr="00CE1879">
        <w:rPr>
          <w:rFonts w:ascii="Arial" w:hAnsi="Arial" w:cs="Arial"/>
        </w:rPr>
        <w:t>manage levels of job</w:t>
      </w:r>
      <w:r w:rsidR="000100ED" w:rsidRPr="00CE1879">
        <w:rPr>
          <w:rFonts w:ascii="Arial" w:hAnsi="Arial" w:cs="Arial"/>
        </w:rPr>
        <w:t>-</w:t>
      </w:r>
      <w:r w:rsidRPr="00CE1879">
        <w:rPr>
          <w:rFonts w:ascii="Arial" w:hAnsi="Arial" w:cs="Arial"/>
        </w:rPr>
        <w:t>related stress did have a strong impact on the outcome measures</w:t>
      </w:r>
      <w:r w:rsidR="002A4018" w:rsidRPr="00CE1879">
        <w:rPr>
          <w:rFonts w:ascii="Arial" w:hAnsi="Arial" w:cs="Arial"/>
        </w:rPr>
        <w:t xml:space="preserve">. Although </w:t>
      </w:r>
      <w:r w:rsidRPr="00CE1879">
        <w:rPr>
          <w:rFonts w:ascii="Arial" w:hAnsi="Arial" w:cs="Arial"/>
        </w:rPr>
        <w:t>satisfaction in this area was reasonable</w:t>
      </w:r>
      <w:r w:rsidR="00C36CAC" w:rsidRPr="00CE1879">
        <w:rPr>
          <w:rFonts w:ascii="Arial" w:hAnsi="Arial" w:cs="Arial"/>
        </w:rPr>
        <w:t xml:space="preserve"> and consistent across rounds one and two</w:t>
      </w:r>
      <w:r w:rsidRPr="00CE1879">
        <w:rPr>
          <w:rFonts w:ascii="Arial" w:hAnsi="Arial" w:cs="Arial"/>
        </w:rPr>
        <w:t>, in cases where people were reporting high levels of stress</w:t>
      </w:r>
      <w:r w:rsidR="000100ED" w:rsidRPr="00CE1879">
        <w:rPr>
          <w:rFonts w:ascii="Arial" w:hAnsi="Arial" w:cs="Arial"/>
        </w:rPr>
        <w:t>,</w:t>
      </w:r>
      <w:r w:rsidRPr="00CE1879">
        <w:rPr>
          <w:rFonts w:ascii="Arial" w:hAnsi="Arial" w:cs="Arial"/>
        </w:rPr>
        <w:t xml:space="preserve"> it was seen to have a high impact across the broad range of outcomes</w:t>
      </w:r>
      <w:r w:rsidR="00F95492" w:rsidRPr="00CE1879">
        <w:rPr>
          <w:rFonts w:ascii="Arial" w:hAnsi="Arial" w:cs="Arial"/>
        </w:rPr>
        <w:t xml:space="preserve"> and this be</w:t>
      </w:r>
      <w:r w:rsidR="00C36CAC" w:rsidRPr="00CE1879">
        <w:rPr>
          <w:rFonts w:ascii="Arial" w:hAnsi="Arial" w:cs="Arial"/>
        </w:rPr>
        <w:t>came even more apparent during round two</w:t>
      </w:r>
      <w:r w:rsidRPr="00CE1879">
        <w:rPr>
          <w:rFonts w:ascii="Arial" w:hAnsi="Arial" w:cs="Arial"/>
        </w:rPr>
        <w:t>. Staff were often operating</w:t>
      </w:r>
      <w:r w:rsidR="00AD3AF5" w:rsidRPr="00CE1879">
        <w:rPr>
          <w:rFonts w:ascii="Arial" w:hAnsi="Arial" w:cs="Arial"/>
        </w:rPr>
        <w:t xml:space="preserve"> in highly difficult situations, both physically and emotionally</w:t>
      </w:r>
      <w:r w:rsidR="00DB4CBB" w:rsidRPr="00CE1879">
        <w:rPr>
          <w:rFonts w:ascii="Arial" w:hAnsi="Arial" w:cs="Arial"/>
        </w:rPr>
        <w:t>,</w:t>
      </w:r>
      <w:r w:rsidR="00AD3AF5" w:rsidRPr="00CE1879">
        <w:rPr>
          <w:rFonts w:ascii="Arial" w:hAnsi="Arial" w:cs="Arial"/>
        </w:rPr>
        <w:t xml:space="preserve"> given the nature of their work. As </w:t>
      </w:r>
      <w:r w:rsidRPr="00CE1879">
        <w:rPr>
          <w:rFonts w:ascii="Arial" w:hAnsi="Arial" w:cs="Arial"/>
        </w:rPr>
        <w:t xml:space="preserve">such, a number of organisations undertook to find ways to provide greater levels of support </w:t>
      </w:r>
      <w:r w:rsidR="00AD3AF5" w:rsidRPr="00CE1879">
        <w:rPr>
          <w:rFonts w:ascii="Arial" w:hAnsi="Arial" w:cs="Arial"/>
        </w:rPr>
        <w:t>and</w:t>
      </w:r>
      <w:r w:rsidRPr="00CE1879">
        <w:rPr>
          <w:rFonts w:ascii="Arial" w:hAnsi="Arial" w:cs="Arial"/>
        </w:rPr>
        <w:t xml:space="preserve"> supervision, and to make more counseling or debriefing session</w:t>
      </w:r>
      <w:r w:rsidR="00AD3AF5" w:rsidRPr="00CE1879">
        <w:rPr>
          <w:rFonts w:ascii="Arial" w:hAnsi="Arial" w:cs="Arial"/>
        </w:rPr>
        <w:t>s</w:t>
      </w:r>
      <w:r w:rsidRPr="00CE1879">
        <w:rPr>
          <w:rFonts w:ascii="Arial" w:hAnsi="Arial" w:cs="Arial"/>
        </w:rPr>
        <w:t xml:space="preserve"> available for their staff.</w:t>
      </w:r>
      <w:r w:rsidR="000E758E" w:rsidRPr="00CE1879">
        <w:rPr>
          <w:rFonts w:ascii="Arial" w:hAnsi="Arial" w:cs="Arial"/>
        </w:rPr>
        <w:t xml:space="preserve"> </w:t>
      </w:r>
    </w:p>
    <w:p w:rsidR="00DF6502" w:rsidRPr="00CE1879" w:rsidRDefault="00DF6502" w:rsidP="00F00E67">
      <w:pPr>
        <w:spacing w:line="360" w:lineRule="auto"/>
        <w:rPr>
          <w:rFonts w:ascii="Arial" w:hAnsi="Arial" w:cs="Arial"/>
        </w:rPr>
      </w:pPr>
    </w:p>
    <w:p w:rsidR="00DF6502" w:rsidRPr="00CE1879" w:rsidRDefault="00CE72DA" w:rsidP="0072500F">
      <w:pPr>
        <w:spacing w:line="360" w:lineRule="auto"/>
        <w:ind w:left="-360"/>
        <w:rPr>
          <w:rFonts w:ascii="Arial" w:hAnsi="Arial" w:cs="Arial"/>
          <w:b/>
        </w:rPr>
      </w:pPr>
      <w:r w:rsidRPr="00CE1879">
        <w:rPr>
          <w:rFonts w:ascii="Arial" w:hAnsi="Arial" w:cs="Arial"/>
          <w:b/>
        </w:rPr>
        <w:t>Conclusion:</w:t>
      </w:r>
      <w:r w:rsidR="00DF6502" w:rsidRPr="00CE1879">
        <w:rPr>
          <w:rFonts w:ascii="Arial" w:hAnsi="Arial" w:cs="Arial"/>
          <w:b/>
        </w:rPr>
        <w:t xml:space="preserve"> </w:t>
      </w:r>
    </w:p>
    <w:p w:rsidR="00847CA3" w:rsidRPr="00CE1879" w:rsidRDefault="00847CA3" w:rsidP="00F00E67">
      <w:pPr>
        <w:spacing w:line="360" w:lineRule="auto"/>
        <w:ind w:left="-360"/>
        <w:rPr>
          <w:rFonts w:ascii="Arial" w:hAnsi="Arial" w:cs="Arial"/>
          <w:b/>
        </w:rPr>
      </w:pPr>
    </w:p>
    <w:p w:rsidR="000F010B" w:rsidRPr="00CE1879" w:rsidRDefault="006F598F" w:rsidP="00F00E67">
      <w:pPr>
        <w:spacing w:line="360" w:lineRule="auto"/>
        <w:ind w:left="-360"/>
        <w:rPr>
          <w:rFonts w:ascii="Arial" w:hAnsi="Arial" w:cs="Arial"/>
          <w:noProof w:val="0"/>
          <w:color w:val="222222"/>
          <w:lang w:eastAsia="en-AU"/>
        </w:rPr>
      </w:pPr>
      <w:r w:rsidRPr="00CE1879">
        <w:rPr>
          <w:rFonts w:ascii="Arial" w:hAnsi="Arial" w:cs="Arial"/>
          <w:noProof w:val="0"/>
          <w:color w:val="222222"/>
          <w:lang w:eastAsia="en-AU"/>
        </w:rPr>
        <w:t>T</w:t>
      </w:r>
      <w:r w:rsidR="00DF6502" w:rsidRPr="00CE1879">
        <w:rPr>
          <w:rFonts w:ascii="Arial" w:hAnsi="Arial" w:cs="Arial"/>
          <w:noProof w:val="0"/>
          <w:color w:val="222222"/>
          <w:lang w:eastAsia="en-AU"/>
        </w:rPr>
        <w:t>he findings from</w:t>
      </w:r>
      <w:r w:rsidR="00472933" w:rsidRPr="00CE1879">
        <w:rPr>
          <w:rFonts w:ascii="Arial" w:hAnsi="Arial" w:cs="Arial"/>
          <w:noProof w:val="0"/>
          <w:color w:val="222222"/>
          <w:lang w:eastAsia="en-AU"/>
        </w:rPr>
        <w:t xml:space="preserve"> the</w:t>
      </w:r>
      <w:r w:rsidR="00DF6502" w:rsidRPr="00CE1879">
        <w:rPr>
          <w:rFonts w:ascii="Arial" w:hAnsi="Arial" w:cs="Arial"/>
          <w:noProof w:val="0"/>
          <w:color w:val="222222"/>
          <w:lang w:eastAsia="en-AU"/>
        </w:rPr>
        <w:t xml:space="preserve"> </w:t>
      </w:r>
      <w:r w:rsidR="00A6793F" w:rsidRPr="00CE1879">
        <w:rPr>
          <w:rFonts w:ascii="Arial" w:hAnsi="Arial" w:cs="Arial"/>
          <w:noProof w:val="0"/>
          <w:color w:val="222222"/>
          <w:lang w:eastAsia="en-AU"/>
        </w:rPr>
        <w:t xml:space="preserve">pilot study of </w:t>
      </w:r>
      <w:r w:rsidR="000A4883" w:rsidRPr="00CE1879">
        <w:rPr>
          <w:rFonts w:ascii="Arial" w:hAnsi="Arial" w:cs="Arial"/>
          <w:noProof w:val="0"/>
          <w:color w:val="222222"/>
          <w:lang w:eastAsia="en-AU"/>
        </w:rPr>
        <w:t xml:space="preserve">the </w:t>
      </w:r>
      <w:r w:rsidR="00DF6502" w:rsidRPr="00CE1879">
        <w:rPr>
          <w:rFonts w:ascii="Arial" w:hAnsi="Arial" w:cs="Arial"/>
          <w:noProof w:val="0"/>
          <w:color w:val="222222"/>
          <w:lang w:eastAsia="en-AU"/>
        </w:rPr>
        <w:t>NDS Employee Engagement Survey provided some consistency with earlier studies of the disability services workforce</w:t>
      </w:r>
      <w:r w:rsidR="00762F93" w:rsidRPr="00CE1879">
        <w:rPr>
          <w:rStyle w:val="FootnoteReference"/>
          <w:rFonts w:ascii="Arial" w:hAnsi="Arial" w:cs="Arial"/>
          <w:noProof w:val="0"/>
          <w:color w:val="222222"/>
          <w:lang w:eastAsia="en-AU"/>
        </w:rPr>
        <w:footnoteReference w:id="10"/>
      </w:r>
      <w:r w:rsidR="00DF6502" w:rsidRPr="00CE1879">
        <w:rPr>
          <w:rFonts w:ascii="Arial" w:hAnsi="Arial" w:cs="Arial"/>
          <w:noProof w:val="0"/>
          <w:color w:val="222222"/>
          <w:lang w:eastAsia="en-AU"/>
        </w:rPr>
        <w:t xml:space="preserve"> and the broader </w:t>
      </w:r>
      <w:r w:rsidR="003958DD" w:rsidRPr="00CE1879">
        <w:rPr>
          <w:rFonts w:ascii="Arial" w:hAnsi="Arial" w:cs="Arial"/>
          <w:noProof w:val="0"/>
          <w:color w:val="222222"/>
          <w:lang w:eastAsia="en-AU"/>
        </w:rPr>
        <w:t xml:space="preserve">not-for-profit </w:t>
      </w:r>
      <w:r w:rsidR="00DF6502" w:rsidRPr="00CE1879">
        <w:rPr>
          <w:rFonts w:ascii="Arial" w:hAnsi="Arial" w:cs="Arial"/>
          <w:noProof w:val="0"/>
          <w:color w:val="222222"/>
          <w:lang w:eastAsia="en-AU"/>
        </w:rPr>
        <w:t>sector</w:t>
      </w:r>
      <w:r w:rsidR="00762F93" w:rsidRPr="00CE1879">
        <w:rPr>
          <w:rStyle w:val="FootnoteReference"/>
          <w:rFonts w:ascii="Arial" w:hAnsi="Arial" w:cs="Arial"/>
          <w:noProof w:val="0"/>
          <w:color w:val="222222"/>
          <w:lang w:eastAsia="en-AU"/>
        </w:rPr>
        <w:footnoteReference w:id="11"/>
      </w:r>
      <w:r w:rsidR="00DF6502" w:rsidRPr="00CE1879">
        <w:rPr>
          <w:rFonts w:ascii="Arial" w:hAnsi="Arial" w:cs="Arial"/>
          <w:noProof w:val="0"/>
          <w:color w:val="222222"/>
          <w:lang w:eastAsia="en-AU"/>
        </w:rPr>
        <w:t>.</w:t>
      </w:r>
      <w:r w:rsidR="00CE72DA" w:rsidRPr="00CE1879">
        <w:rPr>
          <w:rFonts w:ascii="Arial" w:hAnsi="Arial" w:cs="Arial"/>
          <w:noProof w:val="0"/>
          <w:color w:val="222222"/>
          <w:lang w:eastAsia="en-AU"/>
        </w:rPr>
        <w:t xml:space="preserve"> </w:t>
      </w:r>
      <w:r w:rsidR="00DF6502" w:rsidRPr="00CE1879">
        <w:rPr>
          <w:rFonts w:ascii="Arial" w:hAnsi="Arial" w:cs="Arial"/>
          <w:noProof w:val="0"/>
          <w:color w:val="222222"/>
          <w:lang w:eastAsia="en-AU"/>
        </w:rPr>
        <w:t>Overall</w:t>
      </w:r>
      <w:r w:rsidR="003F19E9" w:rsidRPr="00CE1879">
        <w:rPr>
          <w:rFonts w:ascii="Arial" w:hAnsi="Arial" w:cs="Arial"/>
          <w:noProof w:val="0"/>
          <w:color w:val="222222"/>
          <w:lang w:eastAsia="en-AU"/>
        </w:rPr>
        <w:t>,</w:t>
      </w:r>
      <w:r w:rsidR="00DF6502" w:rsidRPr="00CE1879">
        <w:rPr>
          <w:rFonts w:ascii="Arial" w:hAnsi="Arial" w:cs="Arial"/>
          <w:noProof w:val="0"/>
          <w:color w:val="222222"/>
          <w:lang w:eastAsia="en-AU"/>
        </w:rPr>
        <w:t xml:space="preserve"> the results from </w:t>
      </w:r>
      <w:r w:rsidR="00F95492" w:rsidRPr="00CE1879">
        <w:rPr>
          <w:rFonts w:ascii="Arial" w:hAnsi="Arial" w:cs="Arial"/>
          <w:noProof w:val="0"/>
          <w:color w:val="222222"/>
          <w:lang w:eastAsia="en-AU"/>
        </w:rPr>
        <w:t xml:space="preserve">round one </w:t>
      </w:r>
      <w:r w:rsidR="000E758E" w:rsidRPr="00CE1879">
        <w:rPr>
          <w:rFonts w:ascii="Arial" w:hAnsi="Arial" w:cs="Arial"/>
          <w:noProof w:val="0"/>
          <w:color w:val="222222"/>
          <w:lang w:eastAsia="en-AU"/>
        </w:rPr>
        <w:t xml:space="preserve">of </w:t>
      </w:r>
      <w:r w:rsidR="00DF6502" w:rsidRPr="00CE1879">
        <w:rPr>
          <w:rFonts w:ascii="Arial" w:hAnsi="Arial" w:cs="Arial"/>
          <w:noProof w:val="0"/>
          <w:color w:val="222222"/>
          <w:lang w:eastAsia="en-AU"/>
        </w:rPr>
        <w:t xml:space="preserve">the survey pilot were </w:t>
      </w:r>
      <w:r w:rsidR="00472933" w:rsidRPr="00CE1879">
        <w:rPr>
          <w:rFonts w:ascii="Arial" w:hAnsi="Arial" w:cs="Arial"/>
          <w:noProof w:val="0"/>
          <w:color w:val="222222"/>
          <w:lang w:eastAsia="en-AU"/>
        </w:rPr>
        <w:t>12</w:t>
      </w:r>
      <w:r w:rsidR="00DF6502" w:rsidRPr="00CE1879">
        <w:rPr>
          <w:rFonts w:ascii="Arial" w:hAnsi="Arial" w:cs="Arial"/>
          <w:noProof w:val="0"/>
          <w:color w:val="222222"/>
          <w:lang w:eastAsia="en-AU"/>
        </w:rPr>
        <w:t xml:space="preserve"> percentage points above all-industry benchmark results</w:t>
      </w:r>
      <w:r w:rsidR="00F95492" w:rsidRPr="00CE1879">
        <w:rPr>
          <w:rFonts w:ascii="Arial" w:hAnsi="Arial" w:cs="Arial"/>
          <w:noProof w:val="0"/>
          <w:color w:val="222222"/>
          <w:lang w:eastAsia="en-AU"/>
        </w:rPr>
        <w:t>, 14 percentage points from round two</w:t>
      </w:r>
      <w:r w:rsidRPr="00CE1879">
        <w:rPr>
          <w:rFonts w:ascii="Arial" w:hAnsi="Arial" w:cs="Arial"/>
          <w:noProof w:val="0"/>
          <w:color w:val="222222"/>
          <w:lang w:eastAsia="en-AU"/>
        </w:rPr>
        <w:t>,</w:t>
      </w:r>
      <w:r w:rsidR="00DF6502" w:rsidRPr="00CE1879">
        <w:rPr>
          <w:rFonts w:ascii="Arial" w:hAnsi="Arial" w:cs="Arial"/>
          <w:noProof w:val="0"/>
          <w:color w:val="222222"/>
          <w:lang w:eastAsia="en-AU"/>
        </w:rPr>
        <w:t xml:space="preserve"> </w:t>
      </w:r>
      <w:r w:rsidR="000F010B" w:rsidRPr="00CE1879">
        <w:rPr>
          <w:rFonts w:ascii="Arial" w:hAnsi="Arial" w:cs="Arial"/>
          <w:noProof w:val="0"/>
          <w:color w:val="222222"/>
          <w:lang w:eastAsia="en-AU"/>
        </w:rPr>
        <w:t>and showed a slight sector-wide</w:t>
      </w:r>
      <w:r w:rsidR="006A6BBE" w:rsidRPr="00CE1879">
        <w:rPr>
          <w:rFonts w:ascii="Arial" w:hAnsi="Arial" w:cs="Arial"/>
          <w:noProof w:val="0"/>
          <w:color w:val="222222"/>
          <w:lang w:eastAsia="en-AU"/>
        </w:rPr>
        <w:t xml:space="preserve"> improvement in </w:t>
      </w:r>
      <w:r w:rsidR="000F010B" w:rsidRPr="00CE1879">
        <w:rPr>
          <w:rFonts w:ascii="Arial" w:hAnsi="Arial" w:cs="Arial"/>
          <w:noProof w:val="0"/>
          <w:color w:val="222222"/>
          <w:lang w:eastAsia="en-AU"/>
        </w:rPr>
        <w:t xml:space="preserve">general </w:t>
      </w:r>
      <w:r w:rsidR="006A6BBE" w:rsidRPr="00CE1879">
        <w:rPr>
          <w:rFonts w:ascii="Arial" w:hAnsi="Arial" w:cs="Arial"/>
          <w:noProof w:val="0"/>
          <w:color w:val="222222"/>
          <w:lang w:eastAsia="en-AU"/>
        </w:rPr>
        <w:t>satisfaction levels between ro</w:t>
      </w:r>
      <w:r w:rsidR="000F010B" w:rsidRPr="00CE1879">
        <w:rPr>
          <w:rFonts w:ascii="Arial" w:hAnsi="Arial" w:cs="Arial"/>
          <w:noProof w:val="0"/>
          <w:color w:val="222222"/>
          <w:lang w:eastAsia="en-AU"/>
        </w:rPr>
        <w:t>unds one and two of the survey. Within organisations, the areas that show</w:t>
      </w:r>
      <w:r w:rsidR="000A4883" w:rsidRPr="00CE1879">
        <w:rPr>
          <w:rFonts w:ascii="Arial" w:hAnsi="Arial" w:cs="Arial"/>
          <w:noProof w:val="0"/>
          <w:color w:val="222222"/>
          <w:lang w:eastAsia="en-AU"/>
        </w:rPr>
        <w:t>ed</w:t>
      </w:r>
      <w:r w:rsidR="000F010B" w:rsidRPr="00CE1879">
        <w:rPr>
          <w:rFonts w:ascii="Arial" w:hAnsi="Arial" w:cs="Arial"/>
          <w:noProof w:val="0"/>
          <w:color w:val="222222"/>
          <w:lang w:eastAsia="en-AU"/>
        </w:rPr>
        <w:t xml:space="preserve"> the most improvement were awareness of issues relating to </w:t>
      </w:r>
      <w:r w:rsidR="00B506AF" w:rsidRPr="00CE1879">
        <w:rPr>
          <w:rFonts w:ascii="Arial" w:hAnsi="Arial" w:cs="Arial"/>
          <w:noProof w:val="0"/>
          <w:color w:val="222222"/>
          <w:lang w:eastAsia="en-AU"/>
        </w:rPr>
        <w:t>person-centred</w:t>
      </w:r>
      <w:r w:rsidR="000F010B" w:rsidRPr="00CE1879">
        <w:rPr>
          <w:rFonts w:ascii="Arial" w:hAnsi="Arial" w:cs="Arial"/>
          <w:noProof w:val="0"/>
          <w:color w:val="222222"/>
          <w:lang w:eastAsia="en-AU"/>
        </w:rPr>
        <w:t xml:space="preserve"> approaches, satisfaction with rewards and recognition, facilities and recruitment and selection procedures. Areas that tended to decrease the most were change management, confidence in senior leadership and cross-unit cooperation.</w:t>
      </w:r>
    </w:p>
    <w:p w:rsidR="000F010B" w:rsidRPr="00CE1879" w:rsidRDefault="000F010B" w:rsidP="00F00E67">
      <w:pPr>
        <w:spacing w:line="360" w:lineRule="auto"/>
        <w:ind w:left="-360"/>
        <w:rPr>
          <w:rFonts w:ascii="Arial" w:hAnsi="Arial" w:cs="Arial"/>
          <w:noProof w:val="0"/>
          <w:color w:val="222222"/>
          <w:lang w:eastAsia="en-AU"/>
        </w:rPr>
      </w:pPr>
    </w:p>
    <w:p w:rsidR="006F598F" w:rsidRPr="00CE1879" w:rsidRDefault="006A6BBE" w:rsidP="00F00E67">
      <w:pPr>
        <w:spacing w:line="360" w:lineRule="auto"/>
        <w:ind w:left="-360"/>
        <w:rPr>
          <w:rFonts w:ascii="Arial" w:hAnsi="Arial" w:cs="Arial"/>
          <w:noProof w:val="0"/>
          <w:color w:val="222222"/>
          <w:lang w:eastAsia="en-AU"/>
        </w:rPr>
      </w:pPr>
      <w:r w:rsidRPr="00CE1879">
        <w:rPr>
          <w:rFonts w:ascii="Arial" w:hAnsi="Arial" w:cs="Arial"/>
          <w:noProof w:val="0"/>
          <w:color w:val="222222"/>
          <w:lang w:eastAsia="en-AU"/>
        </w:rPr>
        <w:t>D</w:t>
      </w:r>
      <w:r w:rsidR="00DF6502" w:rsidRPr="00CE1879">
        <w:rPr>
          <w:rFonts w:ascii="Arial" w:hAnsi="Arial" w:cs="Arial"/>
          <w:noProof w:val="0"/>
          <w:color w:val="222222"/>
          <w:lang w:eastAsia="en-AU"/>
        </w:rPr>
        <w:t>isability services employees who participated in the survey tend</w:t>
      </w:r>
      <w:r w:rsidR="003F19E9" w:rsidRPr="00CE1879">
        <w:rPr>
          <w:rFonts w:ascii="Arial" w:hAnsi="Arial" w:cs="Arial"/>
          <w:noProof w:val="0"/>
          <w:color w:val="222222"/>
          <w:lang w:eastAsia="en-AU"/>
        </w:rPr>
        <w:t>ed</w:t>
      </w:r>
      <w:r w:rsidR="00DF6502" w:rsidRPr="00CE1879">
        <w:rPr>
          <w:rFonts w:ascii="Arial" w:hAnsi="Arial" w:cs="Arial"/>
          <w:noProof w:val="0"/>
          <w:color w:val="222222"/>
          <w:lang w:eastAsia="en-AU"/>
        </w:rPr>
        <w:t xml:space="preserve"> to be highly engaged and satisfied with their job and the nature of the work they do.  </w:t>
      </w:r>
      <w:r w:rsidR="006F598F" w:rsidRPr="00CE1879">
        <w:rPr>
          <w:rFonts w:ascii="Arial" w:hAnsi="Arial" w:cs="Arial"/>
          <w:noProof w:val="0"/>
          <w:color w:val="222222"/>
          <w:lang w:eastAsia="en-AU"/>
        </w:rPr>
        <w:t>Employees also rated alignment to their employer’s mission, values and purpose and how their job role successfully contributes to organisational and client outcomes highly.  However, they rated how organisations share resources and work effectively together, the use of technology and staff involvement in decision making less favourably.</w:t>
      </w:r>
    </w:p>
    <w:p w:rsidR="00DF6502" w:rsidRPr="00CE1879" w:rsidRDefault="00DF6502" w:rsidP="00F00E67">
      <w:pPr>
        <w:spacing w:line="360" w:lineRule="auto"/>
        <w:ind w:left="-360"/>
        <w:rPr>
          <w:rFonts w:ascii="Arial" w:hAnsi="Arial" w:cs="Arial"/>
          <w:noProof w:val="0"/>
          <w:color w:val="222222"/>
          <w:lang w:eastAsia="en-AU"/>
        </w:rPr>
      </w:pPr>
    </w:p>
    <w:p w:rsidR="00DF6502" w:rsidRPr="00CE1879" w:rsidRDefault="00DF6502" w:rsidP="00F00E67">
      <w:pPr>
        <w:spacing w:line="360" w:lineRule="auto"/>
        <w:ind w:left="-360"/>
        <w:rPr>
          <w:rFonts w:ascii="Arial" w:hAnsi="Arial" w:cs="Arial"/>
          <w:noProof w:val="0"/>
          <w:color w:val="222222"/>
          <w:lang w:eastAsia="en-AU"/>
        </w:rPr>
      </w:pPr>
      <w:r w:rsidRPr="00CE1879">
        <w:rPr>
          <w:rFonts w:ascii="Arial" w:hAnsi="Arial" w:cs="Arial"/>
          <w:noProof w:val="0"/>
          <w:color w:val="222222"/>
          <w:lang w:eastAsia="en-AU"/>
        </w:rPr>
        <w:t>Not surprisingly, the results confirmed the ongoing challenges the sector faces in relation to wages</w:t>
      </w:r>
      <w:r w:rsidR="00D5375F" w:rsidRPr="00CE1879">
        <w:rPr>
          <w:rFonts w:ascii="Arial" w:hAnsi="Arial" w:cs="Arial"/>
          <w:noProof w:val="0"/>
          <w:color w:val="222222"/>
          <w:lang w:eastAsia="en-AU"/>
        </w:rPr>
        <w:t>, despite a considerable improvement in this area for round two</w:t>
      </w:r>
      <w:r w:rsidRPr="00CE1879">
        <w:rPr>
          <w:rFonts w:ascii="Arial" w:hAnsi="Arial" w:cs="Arial"/>
          <w:noProof w:val="0"/>
          <w:color w:val="222222"/>
          <w:lang w:eastAsia="en-AU"/>
        </w:rPr>
        <w:t xml:space="preserve">. However, </w:t>
      </w:r>
      <w:r w:rsidR="000A4883" w:rsidRPr="00CE1879">
        <w:rPr>
          <w:rFonts w:ascii="Arial" w:hAnsi="Arial" w:cs="Arial"/>
          <w:noProof w:val="0"/>
          <w:color w:val="222222"/>
          <w:lang w:eastAsia="en-AU"/>
        </w:rPr>
        <w:t>while</w:t>
      </w:r>
      <w:r w:rsidRPr="00CE1879">
        <w:rPr>
          <w:rFonts w:ascii="Arial" w:hAnsi="Arial" w:cs="Arial"/>
          <w:noProof w:val="0"/>
          <w:color w:val="222222"/>
          <w:lang w:eastAsia="en-AU"/>
        </w:rPr>
        <w:t xml:space="preserve"> the results in this area were particularly low, the findings indicated that people join and stay in the sector for other reasons and that </w:t>
      </w:r>
      <w:r w:rsidR="0004145A" w:rsidRPr="00CE1879">
        <w:rPr>
          <w:rFonts w:ascii="Arial" w:hAnsi="Arial" w:cs="Arial"/>
          <w:noProof w:val="0"/>
          <w:color w:val="222222"/>
          <w:lang w:eastAsia="en-AU"/>
        </w:rPr>
        <w:t>better terms and conditions</w:t>
      </w:r>
      <w:r w:rsidRPr="00CE1879">
        <w:rPr>
          <w:rFonts w:ascii="Arial" w:hAnsi="Arial" w:cs="Arial"/>
          <w:noProof w:val="0"/>
          <w:color w:val="222222"/>
          <w:lang w:eastAsia="en-AU"/>
        </w:rPr>
        <w:t xml:space="preserve"> will not necessarily significantly improve employee engagement. </w:t>
      </w:r>
    </w:p>
    <w:p w:rsidR="00DF6502" w:rsidRPr="00CE1879" w:rsidRDefault="00DF6502" w:rsidP="00F00E67">
      <w:pPr>
        <w:spacing w:line="360" w:lineRule="auto"/>
        <w:ind w:left="-360"/>
        <w:rPr>
          <w:rFonts w:ascii="Arial" w:hAnsi="Arial" w:cs="Arial"/>
          <w:noProof w:val="0"/>
          <w:color w:val="222222"/>
          <w:lang w:eastAsia="en-AU"/>
        </w:rPr>
      </w:pPr>
    </w:p>
    <w:p w:rsidR="00DF6502" w:rsidRPr="00CE1879" w:rsidRDefault="00DF6502" w:rsidP="00F00E67">
      <w:pPr>
        <w:spacing w:line="360" w:lineRule="auto"/>
        <w:ind w:left="-360"/>
        <w:rPr>
          <w:rFonts w:ascii="Arial" w:hAnsi="Arial" w:cs="Arial"/>
          <w:noProof w:val="0"/>
          <w:color w:val="222222"/>
          <w:lang w:eastAsia="en-AU"/>
        </w:rPr>
      </w:pPr>
      <w:r w:rsidRPr="00CE1879">
        <w:rPr>
          <w:rFonts w:ascii="Arial" w:hAnsi="Arial" w:cs="Arial"/>
          <w:noProof w:val="0"/>
          <w:color w:val="222222"/>
          <w:lang w:eastAsia="en-AU"/>
        </w:rPr>
        <w:t>One of the priority areas of focus identified through the pilot survey process</w:t>
      </w:r>
      <w:r w:rsidR="00685CA8" w:rsidRPr="00CE1879">
        <w:rPr>
          <w:rFonts w:ascii="Arial" w:hAnsi="Arial" w:cs="Arial"/>
          <w:noProof w:val="0"/>
          <w:color w:val="222222"/>
          <w:lang w:eastAsia="en-AU"/>
        </w:rPr>
        <w:t>,</w:t>
      </w:r>
      <w:r w:rsidRPr="00CE1879">
        <w:rPr>
          <w:rFonts w:ascii="Arial" w:hAnsi="Arial" w:cs="Arial"/>
          <w:noProof w:val="0"/>
          <w:color w:val="222222"/>
          <w:lang w:eastAsia="en-AU"/>
        </w:rPr>
        <w:t xml:space="preserve"> was the need for ongoing investment in leadership.  Although leadership was identified as an area of </w:t>
      </w:r>
      <w:r w:rsidR="006F598F" w:rsidRPr="00CE1879">
        <w:rPr>
          <w:rFonts w:ascii="Arial" w:hAnsi="Arial" w:cs="Arial"/>
          <w:noProof w:val="0"/>
          <w:color w:val="222222"/>
          <w:lang w:eastAsia="en-AU"/>
        </w:rPr>
        <w:t xml:space="preserve">relative </w:t>
      </w:r>
      <w:r w:rsidRPr="00CE1879">
        <w:rPr>
          <w:rFonts w:ascii="Arial" w:hAnsi="Arial" w:cs="Arial"/>
          <w:noProof w:val="0"/>
          <w:color w:val="222222"/>
          <w:lang w:eastAsia="en-AU"/>
        </w:rPr>
        <w:t>strength, particularly in smaller organisation</w:t>
      </w:r>
      <w:r w:rsidR="006F598F" w:rsidRPr="00CE1879">
        <w:rPr>
          <w:rFonts w:ascii="Arial" w:hAnsi="Arial" w:cs="Arial"/>
          <w:noProof w:val="0"/>
          <w:color w:val="222222"/>
          <w:lang w:eastAsia="en-AU"/>
        </w:rPr>
        <w:t>s</w:t>
      </w:r>
      <w:r w:rsidRPr="00CE1879">
        <w:rPr>
          <w:rFonts w:ascii="Arial" w:hAnsi="Arial" w:cs="Arial"/>
          <w:noProof w:val="0"/>
          <w:color w:val="222222"/>
          <w:lang w:eastAsia="en-AU"/>
        </w:rPr>
        <w:t xml:space="preserve">, it directly </w:t>
      </w:r>
      <w:r w:rsidR="006F598F" w:rsidRPr="00CE1879">
        <w:rPr>
          <w:rFonts w:ascii="Arial" w:hAnsi="Arial" w:cs="Arial"/>
          <w:noProof w:val="0"/>
          <w:color w:val="222222"/>
          <w:lang w:eastAsia="en-AU"/>
        </w:rPr>
        <w:t xml:space="preserve">and significantly </w:t>
      </w:r>
      <w:r w:rsidRPr="00CE1879">
        <w:rPr>
          <w:rFonts w:ascii="Arial" w:hAnsi="Arial" w:cs="Arial"/>
          <w:noProof w:val="0"/>
          <w:color w:val="222222"/>
          <w:lang w:eastAsia="en-AU"/>
        </w:rPr>
        <w:t>impact</w:t>
      </w:r>
      <w:r w:rsidR="005A0D72" w:rsidRPr="00CE1879">
        <w:rPr>
          <w:rFonts w:ascii="Arial" w:hAnsi="Arial" w:cs="Arial"/>
          <w:noProof w:val="0"/>
          <w:color w:val="222222"/>
          <w:lang w:eastAsia="en-AU"/>
        </w:rPr>
        <w:t>s</w:t>
      </w:r>
      <w:r w:rsidR="003F19E9" w:rsidRPr="00CE1879">
        <w:rPr>
          <w:rFonts w:ascii="Arial" w:hAnsi="Arial" w:cs="Arial"/>
          <w:noProof w:val="0"/>
          <w:color w:val="222222"/>
          <w:lang w:eastAsia="en-AU"/>
        </w:rPr>
        <w:t xml:space="preserve"> on </w:t>
      </w:r>
      <w:r w:rsidR="005A0D72" w:rsidRPr="00CE1879">
        <w:rPr>
          <w:rFonts w:ascii="Arial" w:hAnsi="Arial" w:cs="Arial"/>
          <w:noProof w:val="0"/>
          <w:color w:val="222222"/>
          <w:lang w:eastAsia="en-AU"/>
        </w:rPr>
        <w:t xml:space="preserve">all levels </w:t>
      </w:r>
      <w:r w:rsidR="003F19E9" w:rsidRPr="00CE1879">
        <w:rPr>
          <w:rFonts w:ascii="Arial" w:hAnsi="Arial" w:cs="Arial"/>
          <w:noProof w:val="0"/>
          <w:color w:val="222222"/>
          <w:lang w:eastAsia="en-AU"/>
        </w:rPr>
        <w:t>of</w:t>
      </w:r>
      <w:r w:rsidRPr="00CE1879">
        <w:rPr>
          <w:rFonts w:ascii="Arial" w:hAnsi="Arial" w:cs="Arial"/>
          <w:noProof w:val="0"/>
          <w:color w:val="222222"/>
          <w:lang w:eastAsia="en-AU"/>
        </w:rPr>
        <w:t xml:space="preserve"> employee engagement. </w:t>
      </w:r>
      <w:r w:rsidR="006A6BBE" w:rsidRPr="00CE1879">
        <w:rPr>
          <w:rFonts w:ascii="Arial" w:hAnsi="Arial" w:cs="Arial"/>
          <w:noProof w:val="0"/>
          <w:color w:val="222222"/>
          <w:lang w:eastAsia="en-AU"/>
        </w:rPr>
        <w:t>In particular, staff would like to receive more information about their organisation’s strategy and direction and would like to be consulted more in relation to decisions that affect them.</w:t>
      </w:r>
    </w:p>
    <w:p w:rsidR="00DF6502" w:rsidRPr="00CE1879" w:rsidRDefault="00DF6502" w:rsidP="00F00E67">
      <w:pPr>
        <w:spacing w:line="360" w:lineRule="auto"/>
        <w:ind w:left="-360"/>
        <w:rPr>
          <w:rFonts w:ascii="Arial" w:hAnsi="Arial" w:cs="Arial"/>
          <w:noProof w:val="0"/>
          <w:color w:val="222222"/>
          <w:lang w:eastAsia="en-AU"/>
        </w:rPr>
      </w:pPr>
    </w:p>
    <w:p w:rsidR="00DF6502" w:rsidRPr="00CE1879" w:rsidRDefault="00DF6502" w:rsidP="00F00E67">
      <w:pPr>
        <w:spacing w:line="360" w:lineRule="auto"/>
        <w:ind w:left="-360"/>
        <w:rPr>
          <w:rFonts w:ascii="Arial" w:hAnsi="Arial" w:cs="Arial"/>
          <w:noProof w:val="0"/>
          <w:color w:val="222222"/>
          <w:lang w:eastAsia="en-AU"/>
        </w:rPr>
      </w:pPr>
      <w:r w:rsidRPr="00CE1879">
        <w:rPr>
          <w:rFonts w:ascii="Arial" w:hAnsi="Arial" w:cs="Arial"/>
          <w:noProof w:val="0"/>
          <w:color w:val="222222"/>
          <w:lang w:eastAsia="en-AU"/>
        </w:rPr>
        <w:t xml:space="preserve">Other priority areas requiring focus include investment in informal and formal employee recognition, particularly in relation to direct service delivery; the implementation of effective communication strategies; cross unit cooperation; the availability of career opportunities and the alignment of organisational processes with </w:t>
      </w:r>
      <w:r w:rsidR="00B506AF" w:rsidRPr="00CE1879">
        <w:rPr>
          <w:rFonts w:ascii="Arial" w:hAnsi="Arial" w:cs="Arial"/>
          <w:noProof w:val="0"/>
          <w:color w:val="222222"/>
          <w:lang w:eastAsia="en-AU"/>
        </w:rPr>
        <w:t>person-centred</w:t>
      </w:r>
      <w:r w:rsidRPr="00CE1879">
        <w:rPr>
          <w:rFonts w:ascii="Arial" w:hAnsi="Arial" w:cs="Arial"/>
          <w:noProof w:val="0"/>
          <w:color w:val="222222"/>
          <w:lang w:eastAsia="en-AU"/>
        </w:rPr>
        <w:t xml:space="preserve"> practices. </w:t>
      </w:r>
    </w:p>
    <w:p w:rsidR="00DF6502" w:rsidRPr="00CE1879" w:rsidRDefault="00DF6502" w:rsidP="00F00E67">
      <w:pPr>
        <w:spacing w:line="360" w:lineRule="auto"/>
        <w:ind w:left="-360"/>
        <w:rPr>
          <w:rFonts w:ascii="Arial" w:hAnsi="Arial" w:cs="Arial"/>
          <w:noProof w:val="0"/>
          <w:color w:val="222222"/>
          <w:lang w:eastAsia="en-AU"/>
        </w:rPr>
      </w:pPr>
    </w:p>
    <w:p w:rsidR="00DF6502" w:rsidRPr="00CE1879" w:rsidRDefault="00DF6502" w:rsidP="00F00E67">
      <w:pPr>
        <w:spacing w:line="360" w:lineRule="auto"/>
        <w:ind w:left="-360"/>
        <w:rPr>
          <w:rFonts w:ascii="Arial" w:hAnsi="Arial" w:cs="Arial"/>
          <w:noProof w:val="0"/>
          <w:color w:val="222222"/>
          <w:lang w:eastAsia="en-AU"/>
        </w:rPr>
      </w:pPr>
      <w:r w:rsidRPr="00CE1879">
        <w:rPr>
          <w:rFonts w:ascii="Arial" w:hAnsi="Arial" w:cs="Arial"/>
          <w:noProof w:val="0"/>
          <w:color w:val="222222"/>
          <w:lang w:eastAsia="en-AU"/>
        </w:rPr>
        <w:t xml:space="preserve">Although workload and work life balance </w:t>
      </w:r>
      <w:r w:rsidR="00000BD7" w:rsidRPr="00CE1879">
        <w:rPr>
          <w:rFonts w:ascii="Arial" w:hAnsi="Arial" w:cs="Arial"/>
          <w:noProof w:val="0"/>
          <w:color w:val="222222"/>
          <w:lang w:eastAsia="en-AU"/>
        </w:rPr>
        <w:t xml:space="preserve">per se </w:t>
      </w:r>
      <w:r w:rsidRPr="00CE1879">
        <w:rPr>
          <w:rFonts w:ascii="Arial" w:hAnsi="Arial" w:cs="Arial"/>
          <w:noProof w:val="0"/>
          <w:color w:val="222222"/>
          <w:lang w:eastAsia="en-AU"/>
        </w:rPr>
        <w:t>were not identified as priorities, how well people are able to cope with</w:t>
      </w:r>
      <w:r w:rsidR="00685CA8" w:rsidRPr="00CE1879">
        <w:rPr>
          <w:rFonts w:ascii="Arial" w:hAnsi="Arial" w:cs="Arial"/>
          <w:noProof w:val="0"/>
          <w:color w:val="222222"/>
          <w:lang w:eastAsia="en-AU"/>
        </w:rPr>
        <w:t>,</w:t>
      </w:r>
      <w:r w:rsidRPr="00CE1879">
        <w:rPr>
          <w:rFonts w:ascii="Arial" w:hAnsi="Arial" w:cs="Arial"/>
          <w:noProof w:val="0"/>
          <w:color w:val="222222"/>
          <w:lang w:eastAsia="en-AU"/>
        </w:rPr>
        <w:t xml:space="preserve"> and manage</w:t>
      </w:r>
      <w:r w:rsidR="00685CA8" w:rsidRPr="00CE1879">
        <w:rPr>
          <w:rFonts w:ascii="Arial" w:hAnsi="Arial" w:cs="Arial"/>
          <w:noProof w:val="0"/>
          <w:color w:val="222222"/>
          <w:lang w:eastAsia="en-AU"/>
        </w:rPr>
        <w:t>,</w:t>
      </w:r>
      <w:r w:rsidRPr="00CE1879">
        <w:rPr>
          <w:rFonts w:ascii="Arial" w:hAnsi="Arial" w:cs="Arial"/>
          <w:noProof w:val="0"/>
          <w:color w:val="222222"/>
          <w:lang w:eastAsia="en-AU"/>
        </w:rPr>
        <w:t xml:space="preserve"> levels of job</w:t>
      </w:r>
      <w:r w:rsidR="00685CA8" w:rsidRPr="00CE1879">
        <w:rPr>
          <w:rFonts w:ascii="Arial" w:hAnsi="Arial" w:cs="Arial"/>
          <w:noProof w:val="0"/>
          <w:color w:val="222222"/>
          <w:lang w:eastAsia="en-AU"/>
        </w:rPr>
        <w:t>-</w:t>
      </w:r>
      <w:r w:rsidRPr="00CE1879">
        <w:rPr>
          <w:rFonts w:ascii="Arial" w:hAnsi="Arial" w:cs="Arial"/>
          <w:noProof w:val="0"/>
          <w:color w:val="222222"/>
          <w:lang w:eastAsia="en-AU"/>
        </w:rPr>
        <w:t xml:space="preserve">related stress did have a strong </w:t>
      </w:r>
      <w:r w:rsidR="00000BD7" w:rsidRPr="00CE1879">
        <w:rPr>
          <w:rFonts w:ascii="Arial" w:hAnsi="Arial" w:cs="Arial"/>
          <w:noProof w:val="0"/>
          <w:color w:val="222222"/>
          <w:lang w:eastAsia="en-AU"/>
        </w:rPr>
        <w:t>impact on the outcome measures. Little progress was made on this issue between round one and round two and</w:t>
      </w:r>
      <w:r w:rsidR="00685CA8" w:rsidRPr="00CE1879">
        <w:rPr>
          <w:rFonts w:ascii="Arial" w:hAnsi="Arial" w:cs="Arial"/>
          <w:noProof w:val="0"/>
          <w:color w:val="222222"/>
          <w:lang w:eastAsia="en-AU"/>
        </w:rPr>
        <w:t>,</w:t>
      </w:r>
      <w:r w:rsidR="00000BD7" w:rsidRPr="00CE1879">
        <w:rPr>
          <w:rFonts w:ascii="Arial" w:hAnsi="Arial" w:cs="Arial"/>
          <w:noProof w:val="0"/>
          <w:color w:val="222222"/>
          <w:lang w:eastAsia="en-AU"/>
        </w:rPr>
        <w:t xml:space="preserve"> although general levels of stress have not increased, it did seem to be having a larger impact on staff during round two. As such, there is an increasing need for organisations to provide support for staff that may be experiencing difficult or stressful situations at work.</w:t>
      </w:r>
      <w:r w:rsidR="00886155" w:rsidRPr="00CE1879">
        <w:rPr>
          <w:rFonts w:ascii="Arial" w:hAnsi="Arial" w:cs="Arial"/>
          <w:noProof w:val="0"/>
          <w:color w:val="222222"/>
          <w:lang w:eastAsia="en-AU"/>
        </w:rPr>
        <w:t xml:space="preserve"> The role of employee assistance programs is directly implicated here.</w:t>
      </w:r>
    </w:p>
    <w:p w:rsidR="00DF6502" w:rsidRPr="00CE1879" w:rsidRDefault="00DF6502" w:rsidP="00F00E67">
      <w:pPr>
        <w:spacing w:line="360" w:lineRule="auto"/>
        <w:ind w:left="-360"/>
        <w:rPr>
          <w:rFonts w:ascii="Arial" w:hAnsi="Arial" w:cs="Arial"/>
          <w:noProof w:val="0"/>
          <w:color w:val="222222"/>
          <w:lang w:eastAsia="en-AU"/>
        </w:rPr>
      </w:pPr>
    </w:p>
    <w:p w:rsidR="00C4522C" w:rsidRPr="00CE1879" w:rsidRDefault="00DF6502" w:rsidP="00F00E67">
      <w:pPr>
        <w:spacing w:line="360" w:lineRule="auto"/>
        <w:ind w:left="-360"/>
        <w:rPr>
          <w:rFonts w:ascii="Arial" w:hAnsi="Arial" w:cs="Arial"/>
          <w:noProof w:val="0"/>
          <w:color w:val="222222"/>
          <w:lang w:eastAsia="en-AU"/>
        </w:rPr>
      </w:pPr>
      <w:r w:rsidRPr="00CE1879">
        <w:rPr>
          <w:rFonts w:ascii="Arial" w:hAnsi="Arial" w:cs="Arial"/>
          <w:noProof w:val="0"/>
          <w:color w:val="222222"/>
          <w:lang w:eastAsia="en-AU"/>
        </w:rPr>
        <w:t>The findings from the pilot</w:t>
      </w:r>
      <w:r w:rsidR="00685CA8" w:rsidRPr="00CE1879">
        <w:rPr>
          <w:rFonts w:ascii="Arial" w:hAnsi="Arial" w:cs="Arial"/>
          <w:noProof w:val="0"/>
          <w:color w:val="222222"/>
          <w:lang w:eastAsia="en-AU"/>
        </w:rPr>
        <w:t>,</w:t>
      </w:r>
      <w:r w:rsidRPr="00CE1879">
        <w:rPr>
          <w:rFonts w:ascii="Arial" w:hAnsi="Arial" w:cs="Arial"/>
          <w:noProof w:val="0"/>
          <w:color w:val="222222"/>
          <w:lang w:eastAsia="en-AU"/>
        </w:rPr>
        <w:t xml:space="preserve"> therefore</w:t>
      </w:r>
      <w:r w:rsidR="00685CA8" w:rsidRPr="00CE1879">
        <w:rPr>
          <w:rFonts w:ascii="Arial" w:hAnsi="Arial" w:cs="Arial"/>
          <w:noProof w:val="0"/>
          <w:color w:val="222222"/>
          <w:lang w:eastAsia="en-AU"/>
        </w:rPr>
        <w:t>,</w:t>
      </w:r>
      <w:r w:rsidRPr="00CE1879">
        <w:rPr>
          <w:rFonts w:ascii="Arial" w:hAnsi="Arial" w:cs="Arial"/>
          <w:noProof w:val="0"/>
          <w:color w:val="222222"/>
          <w:lang w:eastAsia="en-AU"/>
        </w:rPr>
        <w:t xml:space="preserve"> reinforce the need for organisations to focus on, and invest in</w:t>
      </w:r>
      <w:r w:rsidR="003F19E9" w:rsidRPr="00CE1879">
        <w:rPr>
          <w:rFonts w:ascii="Arial" w:hAnsi="Arial" w:cs="Arial"/>
          <w:noProof w:val="0"/>
          <w:color w:val="222222"/>
          <w:lang w:eastAsia="en-AU"/>
        </w:rPr>
        <w:t>,</w:t>
      </w:r>
      <w:r w:rsidRPr="00CE1879">
        <w:rPr>
          <w:rFonts w:ascii="Arial" w:hAnsi="Arial" w:cs="Arial"/>
          <w:noProof w:val="0"/>
          <w:color w:val="222222"/>
          <w:lang w:eastAsia="en-AU"/>
        </w:rPr>
        <w:t xml:space="preserve"> the intrinsic and non-wage related differentiators to successfully attract, recruit and retain current and future employees, a</w:t>
      </w:r>
      <w:r w:rsidR="00886155" w:rsidRPr="00CE1879">
        <w:rPr>
          <w:rFonts w:ascii="Arial" w:hAnsi="Arial" w:cs="Arial"/>
          <w:noProof w:val="0"/>
          <w:color w:val="222222"/>
          <w:lang w:eastAsia="en-AU"/>
        </w:rPr>
        <w:t>s a</w:t>
      </w:r>
      <w:r w:rsidRPr="00CE1879">
        <w:rPr>
          <w:rFonts w:ascii="Arial" w:hAnsi="Arial" w:cs="Arial"/>
          <w:noProof w:val="0"/>
          <w:color w:val="222222"/>
          <w:lang w:eastAsia="en-AU"/>
        </w:rPr>
        <w:t>n</w:t>
      </w:r>
      <w:r w:rsidR="00886155" w:rsidRPr="00CE1879">
        <w:rPr>
          <w:rFonts w:ascii="Arial" w:hAnsi="Arial" w:cs="Arial"/>
          <w:noProof w:val="0"/>
          <w:color w:val="222222"/>
          <w:lang w:eastAsia="en-AU"/>
        </w:rPr>
        <w:t xml:space="preserve"> essential component of any strategy to </w:t>
      </w:r>
      <w:r w:rsidRPr="00CE1879">
        <w:rPr>
          <w:rFonts w:ascii="Arial" w:hAnsi="Arial" w:cs="Arial"/>
          <w:noProof w:val="0"/>
          <w:color w:val="222222"/>
          <w:lang w:eastAsia="en-AU"/>
        </w:rPr>
        <w:t xml:space="preserve">be considered and recognised as an </w:t>
      </w:r>
      <w:r w:rsidR="00886155" w:rsidRPr="00CE1879">
        <w:rPr>
          <w:rFonts w:ascii="Arial" w:hAnsi="Arial" w:cs="Arial"/>
          <w:noProof w:val="0"/>
          <w:color w:val="222222"/>
          <w:lang w:eastAsia="en-AU"/>
        </w:rPr>
        <w:t>‘</w:t>
      </w:r>
      <w:r w:rsidRPr="00CE1879">
        <w:rPr>
          <w:rFonts w:ascii="Arial" w:hAnsi="Arial" w:cs="Arial"/>
          <w:noProof w:val="0"/>
          <w:color w:val="222222"/>
          <w:lang w:eastAsia="en-AU"/>
        </w:rPr>
        <w:t>employer of choice</w:t>
      </w:r>
      <w:r w:rsidR="00886155" w:rsidRPr="00CE1879">
        <w:rPr>
          <w:rFonts w:ascii="Arial" w:hAnsi="Arial" w:cs="Arial"/>
          <w:noProof w:val="0"/>
          <w:color w:val="222222"/>
          <w:lang w:eastAsia="en-AU"/>
        </w:rPr>
        <w:t>’</w:t>
      </w:r>
      <w:r w:rsidRPr="00CE1879">
        <w:rPr>
          <w:rFonts w:ascii="Arial" w:hAnsi="Arial" w:cs="Arial"/>
          <w:noProof w:val="0"/>
          <w:color w:val="222222"/>
          <w:lang w:eastAsia="en-AU"/>
        </w:rPr>
        <w:t>.</w:t>
      </w:r>
    </w:p>
    <w:p w:rsidR="00C4522C" w:rsidRPr="00CE1879" w:rsidRDefault="00C4522C" w:rsidP="00C4522C">
      <w:pPr>
        <w:spacing w:line="360" w:lineRule="auto"/>
        <w:ind w:left="-360"/>
        <w:rPr>
          <w:rFonts w:ascii="Arial" w:hAnsi="Arial" w:cs="Arial"/>
          <w:noProof w:val="0"/>
          <w:color w:val="222222"/>
          <w:lang w:eastAsia="en-AU"/>
        </w:rPr>
      </w:pPr>
    </w:p>
    <w:p w:rsidR="00B879DF" w:rsidRPr="00CE1879" w:rsidRDefault="009E3338" w:rsidP="00C4522C">
      <w:pPr>
        <w:spacing w:line="360" w:lineRule="auto"/>
        <w:ind w:left="-360"/>
        <w:rPr>
          <w:rFonts w:ascii="Arial" w:hAnsi="Arial" w:cs="Arial"/>
          <w:noProof w:val="0"/>
          <w:color w:val="222222"/>
          <w:lang w:eastAsia="en-AU"/>
        </w:rPr>
      </w:pPr>
      <w:r w:rsidRPr="00CE1879">
        <w:rPr>
          <w:rFonts w:ascii="Arial" w:hAnsi="Arial" w:cs="Arial"/>
          <w:b/>
          <w:noProof w:val="0"/>
        </w:rPr>
        <w:t xml:space="preserve">Appendix A: </w:t>
      </w:r>
      <w:r w:rsidR="002B5DA0" w:rsidRPr="00CE1879">
        <w:rPr>
          <w:rFonts w:ascii="Arial" w:hAnsi="Arial" w:cs="Arial"/>
          <w:b/>
          <w:noProof w:val="0"/>
        </w:rPr>
        <w:t xml:space="preserve">Psychometrics </w:t>
      </w:r>
      <w:r w:rsidR="006723F9" w:rsidRPr="00CE1879">
        <w:rPr>
          <w:rFonts w:ascii="Arial" w:hAnsi="Arial" w:cs="Arial"/>
          <w:b/>
          <w:noProof w:val="0"/>
        </w:rPr>
        <w:t xml:space="preserve">and validation </w:t>
      </w:r>
      <w:r w:rsidR="002B5DA0" w:rsidRPr="00CE1879">
        <w:rPr>
          <w:rFonts w:ascii="Arial" w:hAnsi="Arial" w:cs="Arial"/>
          <w:b/>
          <w:noProof w:val="0"/>
        </w:rPr>
        <w:t>of the standard model</w:t>
      </w:r>
    </w:p>
    <w:p w:rsidR="00B879DF" w:rsidRPr="00CE1879" w:rsidRDefault="002B5DA0" w:rsidP="00F00E67">
      <w:pPr>
        <w:spacing w:line="360" w:lineRule="auto"/>
        <w:ind w:left="-360"/>
        <w:rPr>
          <w:rFonts w:ascii="Arial" w:hAnsi="Arial" w:cs="Arial"/>
          <w:noProof w:val="0"/>
          <w:color w:val="222222"/>
          <w:lang w:eastAsia="en-AU"/>
        </w:rPr>
      </w:pPr>
      <w:r w:rsidRPr="00CE1879">
        <w:rPr>
          <w:rFonts w:ascii="Arial" w:hAnsi="Arial" w:cs="Arial"/>
        </w:rPr>
        <w:t>Voice Project</w:t>
      </w:r>
      <w:r w:rsidR="003E3B28" w:rsidRPr="00CE1879">
        <w:rPr>
          <w:rFonts w:ascii="Arial" w:hAnsi="Arial" w:cs="Arial"/>
        </w:rPr>
        <w:t>’</w:t>
      </w:r>
      <w:r w:rsidRPr="00CE1879">
        <w:rPr>
          <w:rFonts w:ascii="Arial" w:hAnsi="Arial" w:cs="Arial"/>
        </w:rPr>
        <w:t>s standard staff engagement survey has undergone rigorous evaluation of its psycho</w:t>
      </w:r>
      <w:r w:rsidR="003E3B28" w:rsidRPr="00CE1879">
        <w:rPr>
          <w:rFonts w:ascii="Arial" w:hAnsi="Arial" w:cs="Arial"/>
        </w:rPr>
        <w:t>metric properties. The tool</w:t>
      </w:r>
      <w:r w:rsidR="00512262" w:rsidRPr="00CE1879">
        <w:rPr>
          <w:rFonts w:ascii="Arial" w:hAnsi="Arial" w:cs="Arial"/>
        </w:rPr>
        <w:t xml:space="preserve"> wa</w:t>
      </w:r>
      <w:r w:rsidR="003E3B28" w:rsidRPr="00CE1879">
        <w:rPr>
          <w:rFonts w:ascii="Arial" w:hAnsi="Arial" w:cs="Arial"/>
        </w:rPr>
        <w:t xml:space="preserve">s </w:t>
      </w:r>
      <w:r w:rsidR="00512262" w:rsidRPr="00CE1879">
        <w:rPr>
          <w:rFonts w:ascii="Arial" w:hAnsi="Arial" w:cs="Arial"/>
        </w:rPr>
        <w:t xml:space="preserve">initially </w:t>
      </w:r>
      <w:r w:rsidR="003E3B28" w:rsidRPr="00CE1879">
        <w:rPr>
          <w:rFonts w:ascii="Arial" w:hAnsi="Arial" w:cs="Arial"/>
        </w:rPr>
        <w:t>tested across 13,729</w:t>
      </w:r>
      <w:r w:rsidR="009E3338" w:rsidRPr="00CE1879">
        <w:rPr>
          <w:rFonts w:ascii="Arial" w:hAnsi="Arial" w:cs="Arial"/>
        </w:rPr>
        <w:t xml:space="preserve"> employees</w:t>
      </w:r>
      <w:r w:rsidR="003E3B28" w:rsidRPr="00CE1879">
        <w:rPr>
          <w:rFonts w:ascii="Arial" w:hAnsi="Arial" w:cs="Arial"/>
        </w:rPr>
        <w:t xml:space="preserve"> representing approximately 1000 organisations. Exploratory factor analyses, confirmatory factor analyses and internal reliability analyses support 31 lower-order work practices and outcomes that aggregate into seven higher-order work systems broadly covering practices and outcomes such as organisational direction, ethics, resources, involvement, wellness, change management, customer satisfaction, job satisfaction, organisational commitment and employees’ intention to stay</w:t>
      </w:r>
      <w:r w:rsidR="00F63349" w:rsidRPr="00CE1879">
        <w:rPr>
          <w:rFonts w:ascii="Arial" w:hAnsi="Arial" w:cs="Arial"/>
        </w:rPr>
        <w:t>.</w:t>
      </w:r>
      <w:r w:rsidR="00863944" w:rsidRPr="00CE1879">
        <w:rPr>
          <w:rFonts w:ascii="Arial" w:hAnsi="Arial" w:cs="Arial"/>
        </w:rPr>
        <w:t xml:space="preserve"> Average loadings across the lower order factors were .65 for the exploratory analys</w:t>
      </w:r>
      <w:r w:rsidR="000A21B3" w:rsidRPr="00CE1879">
        <w:rPr>
          <w:rFonts w:ascii="Arial" w:hAnsi="Arial" w:cs="Arial"/>
        </w:rPr>
        <w:t>e</w:t>
      </w:r>
      <w:r w:rsidR="00863944" w:rsidRPr="00CE1879">
        <w:rPr>
          <w:rFonts w:ascii="Arial" w:hAnsi="Arial" w:cs="Arial"/>
        </w:rPr>
        <w:t>s and .78 for the confirmatory analys</w:t>
      </w:r>
      <w:r w:rsidR="000A21B3" w:rsidRPr="00CE1879">
        <w:rPr>
          <w:rFonts w:ascii="Arial" w:hAnsi="Arial" w:cs="Arial"/>
        </w:rPr>
        <w:t>e</w:t>
      </w:r>
      <w:r w:rsidR="00863944" w:rsidRPr="00CE1879">
        <w:rPr>
          <w:rFonts w:ascii="Arial" w:hAnsi="Arial" w:cs="Arial"/>
        </w:rPr>
        <w:t>s. Average loadings across the higher order factors were .52 and .72 for exploratory and confirmatory analyses</w:t>
      </w:r>
      <w:r w:rsidR="004F0BA7" w:rsidRPr="00CE1879">
        <w:rPr>
          <w:rFonts w:ascii="Arial" w:hAnsi="Arial" w:cs="Arial"/>
        </w:rPr>
        <w:t>,</w:t>
      </w:r>
      <w:r w:rsidR="00863944" w:rsidRPr="00CE1879">
        <w:rPr>
          <w:rFonts w:ascii="Arial" w:hAnsi="Arial" w:cs="Arial"/>
        </w:rPr>
        <w:t xml:space="preserve"> respectively. The average scale alpha was .83 indicating strong reliability and internal consistency.</w:t>
      </w:r>
    </w:p>
    <w:p w:rsidR="00B879DF" w:rsidRPr="00CE1879" w:rsidRDefault="003E3B28" w:rsidP="00F00E67">
      <w:pPr>
        <w:spacing w:line="360" w:lineRule="auto"/>
        <w:ind w:left="-360"/>
        <w:rPr>
          <w:rFonts w:ascii="Arial" w:hAnsi="Arial" w:cs="Arial"/>
          <w:noProof w:val="0"/>
          <w:color w:val="222222"/>
          <w:lang w:eastAsia="en-AU"/>
        </w:rPr>
      </w:pPr>
      <w:r w:rsidRPr="00CE1879">
        <w:rPr>
          <w:rFonts w:ascii="Arial" w:hAnsi="Arial" w:cs="Arial"/>
        </w:rPr>
        <w:t>E</w:t>
      </w:r>
      <w:r w:rsidR="00512262" w:rsidRPr="00CE1879">
        <w:rPr>
          <w:rFonts w:ascii="Arial" w:hAnsi="Arial" w:cs="Arial"/>
        </w:rPr>
        <w:t>xternal validation of the tool ha</w:t>
      </w:r>
      <w:r w:rsidRPr="00CE1879">
        <w:rPr>
          <w:rFonts w:ascii="Arial" w:hAnsi="Arial" w:cs="Arial"/>
        </w:rPr>
        <w:t xml:space="preserve">s </w:t>
      </w:r>
      <w:r w:rsidR="001F1D9B" w:rsidRPr="00CE1879">
        <w:rPr>
          <w:rFonts w:ascii="Arial" w:hAnsi="Arial" w:cs="Arial"/>
        </w:rPr>
        <w:t xml:space="preserve">been </w:t>
      </w:r>
      <w:r w:rsidRPr="00CE1879">
        <w:rPr>
          <w:rFonts w:ascii="Arial" w:hAnsi="Arial" w:cs="Arial"/>
        </w:rPr>
        <w:t>demonstrated by linking scores from the employee survey with independent manager reports of turnover, absenteeism, productivity, health and safety, goal attainment, financial performance, change management, innovation and customer satisfaction.</w:t>
      </w:r>
      <w:r w:rsidR="001F1D9B" w:rsidRPr="00CE1879">
        <w:rPr>
          <w:rFonts w:ascii="Arial" w:hAnsi="Arial" w:cs="Arial"/>
        </w:rPr>
        <w:t xml:space="preserve"> These external measure</w:t>
      </w:r>
      <w:r w:rsidR="000A21B3" w:rsidRPr="00CE1879">
        <w:rPr>
          <w:rFonts w:ascii="Arial" w:hAnsi="Arial" w:cs="Arial"/>
        </w:rPr>
        <w:t>s</w:t>
      </w:r>
      <w:r w:rsidR="001F1D9B" w:rsidRPr="00CE1879">
        <w:rPr>
          <w:rFonts w:ascii="Arial" w:hAnsi="Arial" w:cs="Arial"/>
        </w:rPr>
        <w:t xml:space="preserve"> were aggregated to produce a composite performance measure. On average, the correlation between this composite measure and the lower order scales was .22, with all such correlations being signification at the .001 level. Correlations between the composite measure and the two outcome measures of </w:t>
      </w:r>
      <w:r w:rsidR="009E3338" w:rsidRPr="00CE1879">
        <w:rPr>
          <w:rFonts w:ascii="Arial" w:hAnsi="Arial" w:cs="Arial"/>
        </w:rPr>
        <w:t>p</w:t>
      </w:r>
      <w:r w:rsidR="001F1D9B" w:rsidRPr="00CE1879">
        <w:rPr>
          <w:rFonts w:ascii="Arial" w:hAnsi="Arial" w:cs="Arial"/>
        </w:rPr>
        <w:t xml:space="preserve">assion and </w:t>
      </w:r>
      <w:r w:rsidR="009E3338" w:rsidRPr="00CE1879">
        <w:rPr>
          <w:rFonts w:ascii="Arial" w:hAnsi="Arial" w:cs="Arial"/>
        </w:rPr>
        <w:t>p</w:t>
      </w:r>
      <w:r w:rsidR="001F1D9B" w:rsidRPr="00CE1879">
        <w:rPr>
          <w:rFonts w:ascii="Arial" w:hAnsi="Arial" w:cs="Arial"/>
        </w:rPr>
        <w:t>rogress were similarly significant with values of .32 and .41 respectively.</w:t>
      </w:r>
    </w:p>
    <w:p w:rsidR="00B879DF" w:rsidRPr="00CE1879" w:rsidRDefault="00EA419D" w:rsidP="00F00E67">
      <w:pPr>
        <w:spacing w:line="360" w:lineRule="auto"/>
        <w:ind w:left="-360"/>
        <w:rPr>
          <w:rFonts w:ascii="Arial" w:hAnsi="Arial" w:cs="Arial"/>
          <w:noProof w:val="0"/>
          <w:color w:val="222222"/>
          <w:lang w:eastAsia="en-AU"/>
        </w:rPr>
      </w:pPr>
      <w:r w:rsidRPr="00CE1879">
        <w:rPr>
          <w:rFonts w:ascii="Arial" w:hAnsi="Arial" w:cs="Arial"/>
        </w:rPr>
        <w:t>Additionally, the direction of causality between the higher order factors has been estimated using structural</w:t>
      </w:r>
      <w:r w:rsidR="009E3338" w:rsidRPr="00CE1879">
        <w:rPr>
          <w:rFonts w:ascii="Arial" w:hAnsi="Arial" w:cs="Arial"/>
        </w:rPr>
        <w:t xml:space="preserve"> equation modelling techniques which do generally support the notion of progress and passion as outcome measures. However, progress can be seen to have a strong influence on property, whilst people and peace are only weakl</w:t>
      </w:r>
      <w:r w:rsidR="00B879DF" w:rsidRPr="00CE1879">
        <w:rPr>
          <w:rFonts w:ascii="Arial" w:hAnsi="Arial" w:cs="Arial"/>
        </w:rPr>
        <w:t>y associated with the outcomes.</w:t>
      </w:r>
    </w:p>
    <w:p w:rsidR="00B879DF" w:rsidRPr="00CE1879" w:rsidRDefault="001F1D9B" w:rsidP="00F00E67">
      <w:pPr>
        <w:spacing w:line="360" w:lineRule="auto"/>
        <w:ind w:left="-360"/>
        <w:rPr>
          <w:rFonts w:ascii="Arial" w:hAnsi="Arial" w:cs="Arial"/>
        </w:rPr>
      </w:pPr>
      <w:r w:rsidRPr="00CE1879">
        <w:rPr>
          <w:rFonts w:ascii="Arial" w:hAnsi="Arial" w:cs="Arial"/>
        </w:rPr>
        <w:t xml:space="preserve">For </w:t>
      </w:r>
      <w:r w:rsidR="006723F9" w:rsidRPr="00CE1879">
        <w:rPr>
          <w:rFonts w:ascii="Arial" w:hAnsi="Arial" w:cs="Arial"/>
        </w:rPr>
        <w:t>further details on the tool’s psychometric properties and validation</w:t>
      </w:r>
      <w:r w:rsidR="003958CD" w:rsidRPr="00CE1879">
        <w:rPr>
          <w:rFonts w:ascii="Arial" w:hAnsi="Arial" w:cs="Arial"/>
        </w:rPr>
        <w:t>,</w:t>
      </w:r>
      <w:r w:rsidR="006723F9" w:rsidRPr="00CE1879">
        <w:rPr>
          <w:rFonts w:ascii="Arial" w:hAnsi="Arial" w:cs="Arial"/>
        </w:rPr>
        <w:t xml:space="preserve"> please refer to the article</w:t>
      </w:r>
      <w:r w:rsidR="00F4338D" w:rsidRPr="00CE1879">
        <w:rPr>
          <w:rFonts w:ascii="Arial" w:hAnsi="Arial" w:cs="Arial"/>
        </w:rPr>
        <w:t>s</w:t>
      </w:r>
      <w:r w:rsidR="006723F9" w:rsidRPr="00CE1879">
        <w:rPr>
          <w:rFonts w:ascii="Arial" w:hAnsi="Arial" w:cs="Arial"/>
        </w:rPr>
        <w:t xml:space="preserve"> below:</w:t>
      </w:r>
    </w:p>
    <w:p w:rsidR="00B879DF" w:rsidRPr="00CE1879" w:rsidRDefault="006723F9" w:rsidP="00F00E67">
      <w:pPr>
        <w:spacing w:line="360" w:lineRule="auto"/>
        <w:ind w:left="-360"/>
        <w:rPr>
          <w:rFonts w:ascii="Arial" w:hAnsi="Arial" w:cs="Arial"/>
        </w:rPr>
      </w:pPr>
      <w:r w:rsidRPr="00CE1879">
        <w:rPr>
          <w:rFonts w:ascii="Arial" w:hAnsi="Arial" w:cs="Arial"/>
        </w:rPr>
        <w:t>Langford, P. H. (2009). Measuring organisational climate and employee engagement: Evidence for a “7 Ps” model of work practices and outcomes. Australian Journal of Psychology, 61, 185-198.</w:t>
      </w:r>
    </w:p>
    <w:p w:rsidR="00C4522C" w:rsidRPr="00CE1879" w:rsidRDefault="00E53524" w:rsidP="00F00E67">
      <w:pPr>
        <w:spacing w:line="360" w:lineRule="auto"/>
        <w:ind w:left="-360"/>
        <w:rPr>
          <w:rFonts w:ascii="Arial" w:hAnsi="Arial" w:cs="Arial"/>
          <w:noProof w:val="0"/>
          <w:color w:val="222222"/>
          <w:lang w:eastAsia="en-AU"/>
        </w:rPr>
      </w:pPr>
      <w:r w:rsidRPr="00CE1879">
        <w:rPr>
          <w:rFonts w:ascii="Arial" w:hAnsi="Arial" w:cs="Arial"/>
        </w:rPr>
        <w:t>Langford, P. H., Parkes, L. P., &amp; Metcalf, L. (2006). Developing a structural equation model of organisational performance and employee engagement. Proceedings of the Joint Conference of the Australian Psychological Society and the New Zealand Psychological Society, Auckland.</w:t>
      </w:r>
    </w:p>
    <w:p w:rsidR="00C4522C" w:rsidRPr="00CE1879" w:rsidRDefault="00C4522C" w:rsidP="00C4522C">
      <w:pPr>
        <w:spacing w:line="360" w:lineRule="auto"/>
        <w:ind w:left="-360"/>
        <w:rPr>
          <w:rFonts w:ascii="Arial" w:hAnsi="Arial" w:cs="Arial"/>
          <w:noProof w:val="0"/>
          <w:color w:val="222222"/>
          <w:lang w:eastAsia="en-AU"/>
        </w:rPr>
      </w:pPr>
    </w:p>
    <w:p w:rsidR="00B879DF" w:rsidRPr="00CE1879" w:rsidRDefault="009E3338" w:rsidP="00C4522C">
      <w:pPr>
        <w:spacing w:line="360" w:lineRule="auto"/>
        <w:ind w:left="-360"/>
        <w:rPr>
          <w:rFonts w:ascii="Arial" w:hAnsi="Arial" w:cs="Arial"/>
          <w:noProof w:val="0"/>
          <w:color w:val="222222"/>
          <w:lang w:eastAsia="en-AU"/>
        </w:rPr>
      </w:pPr>
      <w:r w:rsidRPr="00CE1879">
        <w:rPr>
          <w:rFonts w:ascii="Arial" w:hAnsi="Arial" w:cs="Arial"/>
          <w:b/>
          <w:noProof w:val="0"/>
        </w:rPr>
        <w:t xml:space="preserve">Appendix B: Psychometrics of the refined model for </w:t>
      </w:r>
      <w:r w:rsidR="00F4338D" w:rsidRPr="00CE1879">
        <w:rPr>
          <w:rFonts w:ascii="Arial" w:hAnsi="Arial" w:cs="Arial"/>
          <w:b/>
          <w:noProof w:val="0"/>
        </w:rPr>
        <w:t>d</w:t>
      </w:r>
      <w:r w:rsidRPr="00CE1879">
        <w:rPr>
          <w:rFonts w:ascii="Arial" w:hAnsi="Arial" w:cs="Arial"/>
          <w:b/>
          <w:noProof w:val="0"/>
        </w:rPr>
        <w:t xml:space="preserve">isability </w:t>
      </w:r>
      <w:r w:rsidR="00F4338D" w:rsidRPr="00CE1879">
        <w:rPr>
          <w:rFonts w:ascii="Arial" w:hAnsi="Arial" w:cs="Arial"/>
          <w:b/>
          <w:noProof w:val="0"/>
        </w:rPr>
        <w:t>services o</w:t>
      </w:r>
      <w:r w:rsidRPr="00CE1879">
        <w:rPr>
          <w:rFonts w:ascii="Arial" w:hAnsi="Arial" w:cs="Arial"/>
          <w:b/>
          <w:noProof w:val="0"/>
        </w:rPr>
        <w:t>rganisations</w:t>
      </w:r>
    </w:p>
    <w:p w:rsidR="00B879DF" w:rsidRPr="00CE1879" w:rsidRDefault="009D3C05" w:rsidP="00F00E67">
      <w:pPr>
        <w:spacing w:line="360" w:lineRule="auto"/>
        <w:ind w:left="-360"/>
        <w:rPr>
          <w:rFonts w:ascii="Arial" w:hAnsi="Arial" w:cs="Arial"/>
          <w:noProof w:val="0"/>
          <w:color w:val="222222"/>
          <w:lang w:eastAsia="en-AU"/>
        </w:rPr>
      </w:pPr>
      <w:r w:rsidRPr="00CE1879">
        <w:rPr>
          <w:rFonts w:ascii="Arial" w:hAnsi="Arial" w:cs="Arial"/>
        </w:rPr>
        <w:t>T</w:t>
      </w:r>
      <w:r w:rsidR="009E3338" w:rsidRPr="00CE1879">
        <w:rPr>
          <w:rFonts w:ascii="Arial" w:hAnsi="Arial" w:cs="Arial"/>
        </w:rPr>
        <w:t xml:space="preserve">he content of the standard survey </w:t>
      </w:r>
      <w:r w:rsidRPr="00CE1879">
        <w:rPr>
          <w:rFonts w:ascii="Arial" w:hAnsi="Arial" w:cs="Arial"/>
        </w:rPr>
        <w:t>was reviewed</w:t>
      </w:r>
      <w:r w:rsidR="00F4338D" w:rsidRPr="00CE1879">
        <w:rPr>
          <w:rFonts w:ascii="Arial" w:hAnsi="Arial" w:cs="Arial"/>
        </w:rPr>
        <w:t xml:space="preserve"> </w:t>
      </w:r>
      <w:r w:rsidR="009E3338" w:rsidRPr="00CE1879">
        <w:rPr>
          <w:rFonts w:ascii="Arial" w:hAnsi="Arial" w:cs="Arial"/>
        </w:rPr>
        <w:t>in order to increase its relevance to disability</w:t>
      </w:r>
      <w:r w:rsidR="00986F64" w:rsidRPr="00CE1879">
        <w:rPr>
          <w:rFonts w:ascii="Arial" w:hAnsi="Arial" w:cs="Arial"/>
        </w:rPr>
        <w:t xml:space="preserve"> services organisations. This was undertaken in consultation with key stakeholders and subject matter experts within a framework of maintaining good measurement principles (e.g. short and simple items measuring unidimensional constructs, sufficient coverage of content area, preferring to remove items with known weaker item-scale correlations or weaker associations with the outcome measures</w:t>
      </w:r>
      <w:r w:rsidR="00F4338D" w:rsidRPr="00CE1879">
        <w:rPr>
          <w:rFonts w:ascii="Arial" w:hAnsi="Arial" w:cs="Arial"/>
        </w:rPr>
        <w:t>, etc</w:t>
      </w:r>
      <w:r w:rsidR="00986F64" w:rsidRPr="00CE1879">
        <w:rPr>
          <w:rFonts w:ascii="Arial" w:hAnsi="Arial" w:cs="Arial"/>
        </w:rPr>
        <w:t>). Whilst many of the standard scales underwent revision as su</w:t>
      </w:r>
      <w:r w:rsidR="00F45CC2" w:rsidRPr="00CE1879">
        <w:rPr>
          <w:rFonts w:ascii="Arial" w:hAnsi="Arial" w:cs="Arial"/>
        </w:rPr>
        <w:t>ch, a key change was the inclusion</w:t>
      </w:r>
      <w:r w:rsidR="00986F64" w:rsidRPr="00CE1879">
        <w:rPr>
          <w:rFonts w:ascii="Arial" w:hAnsi="Arial" w:cs="Arial"/>
        </w:rPr>
        <w:t xml:space="preserve"> of a third suggested outcome measure of PCA readiness</w:t>
      </w:r>
      <w:r w:rsidR="008A1536" w:rsidRPr="00CE1879">
        <w:rPr>
          <w:rFonts w:ascii="Arial" w:hAnsi="Arial" w:cs="Arial"/>
        </w:rPr>
        <w:t xml:space="preserve">. This </w:t>
      </w:r>
      <w:r w:rsidR="00986F64" w:rsidRPr="00CE1879">
        <w:rPr>
          <w:rFonts w:ascii="Arial" w:hAnsi="Arial" w:cs="Arial"/>
        </w:rPr>
        <w:t>consist</w:t>
      </w:r>
      <w:r w:rsidR="008A1536" w:rsidRPr="00CE1879">
        <w:rPr>
          <w:rFonts w:ascii="Arial" w:hAnsi="Arial" w:cs="Arial"/>
        </w:rPr>
        <w:t>ed</w:t>
      </w:r>
      <w:r w:rsidR="00442736" w:rsidRPr="00CE1879">
        <w:rPr>
          <w:rFonts w:ascii="Arial" w:hAnsi="Arial" w:cs="Arial"/>
        </w:rPr>
        <w:t xml:space="preserve"> </w:t>
      </w:r>
      <w:r w:rsidR="00986F64" w:rsidRPr="00CE1879">
        <w:rPr>
          <w:rFonts w:ascii="Arial" w:hAnsi="Arial" w:cs="Arial"/>
        </w:rPr>
        <w:t>of scales looking at awaren</w:t>
      </w:r>
      <w:r w:rsidR="00F45CC2" w:rsidRPr="00CE1879">
        <w:rPr>
          <w:rFonts w:ascii="Arial" w:hAnsi="Arial" w:cs="Arial"/>
        </w:rPr>
        <w:t xml:space="preserve">ess of </w:t>
      </w:r>
      <w:r w:rsidR="00B506AF" w:rsidRPr="00CE1879">
        <w:rPr>
          <w:rFonts w:ascii="Arial" w:hAnsi="Arial" w:cs="Arial"/>
        </w:rPr>
        <w:t>person-centred</w:t>
      </w:r>
      <w:r w:rsidR="00F45CC2" w:rsidRPr="00CE1879">
        <w:rPr>
          <w:rFonts w:ascii="Arial" w:hAnsi="Arial" w:cs="Arial"/>
        </w:rPr>
        <w:t xml:space="preserve"> approaches</w:t>
      </w:r>
      <w:r w:rsidR="00986F64" w:rsidRPr="00CE1879">
        <w:rPr>
          <w:rFonts w:ascii="Arial" w:hAnsi="Arial" w:cs="Arial"/>
        </w:rPr>
        <w:t xml:space="preserve">, commitment to such approaches and the effectiveness </w:t>
      </w:r>
      <w:r w:rsidR="008A1536" w:rsidRPr="00CE1879">
        <w:rPr>
          <w:rFonts w:ascii="Arial" w:hAnsi="Arial" w:cs="Arial"/>
        </w:rPr>
        <w:t xml:space="preserve">of </w:t>
      </w:r>
      <w:r w:rsidR="00986F64" w:rsidRPr="00CE1879">
        <w:rPr>
          <w:rFonts w:ascii="Arial" w:hAnsi="Arial" w:cs="Arial"/>
        </w:rPr>
        <w:t>such approaches. Within th</w:t>
      </w:r>
      <w:r w:rsidR="00F4338D" w:rsidRPr="00CE1879">
        <w:rPr>
          <w:rFonts w:ascii="Arial" w:hAnsi="Arial" w:cs="Arial"/>
        </w:rPr>
        <w:t>e</w:t>
      </w:r>
      <w:r w:rsidR="00986F64" w:rsidRPr="00CE1879">
        <w:rPr>
          <w:rFonts w:ascii="Arial" w:hAnsi="Arial" w:cs="Arial"/>
        </w:rPr>
        <w:t>s</w:t>
      </w:r>
      <w:r w:rsidR="00F4338D" w:rsidRPr="00CE1879">
        <w:rPr>
          <w:rFonts w:ascii="Arial" w:hAnsi="Arial" w:cs="Arial"/>
        </w:rPr>
        <w:t>e</w:t>
      </w:r>
      <w:r w:rsidR="00986F64" w:rsidRPr="00CE1879">
        <w:rPr>
          <w:rFonts w:ascii="Arial" w:hAnsi="Arial" w:cs="Arial"/>
        </w:rPr>
        <w:t xml:space="preserve"> scales, initial items were designed to address the construct from the point of view of the  individual as well as the organisational context. These items were similarly reviewed by key stakeholders and subject matter experts to determine their appropriateness for the final survey tool.</w:t>
      </w:r>
    </w:p>
    <w:p w:rsidR="00B879DF" w:rsidRPr="00CE1879" w:rsidRDefault="00986F64" w:rsidP="0072500F">
      <w:pPr>
        <w:spacing w:line="360" w:lineRule="auto"/>
        <w:ind w:left="-360"/>
        <w:rPr>
          <w:rFonts w:ascii="Arial" w:hAnsi="Arial" w:cs="Arial"/>
        </w:rPr>
      </w:pPr>
      <w:r w:rsidRPr="00CE1879">
        <w:rPr>
          <w:rFonts w:ascii="Arial" w:hAnsi="Arial" w:cs="Arial"/>
        </w:rPr>
        <w:t>Whilst a detailed investigation of the</w:t>
      </w:r>
      <w:r w:rsidR="00FB547C" w:rsidRPr="00CE1879">
        <w:rPr>
          <w:rFonts w:ascii="Arial" w:hAnsi="Arial" w:cs="Arial"/>
        </w:rPr>
        <w:t xml:space="preserve"> psychometric properties of the final survey</w:t>
      </w:r>
      <w:r w:rsidRPr="00CE1879">
        <w:rPr>
          <w:rFonts w:ascii="Arial" w:hAnsi="Arial" w:cs="Arial"/>
        </w:rPr>
        <w:t xml:space="preserve"> was beyond the scope of the current project, some basic measures were calculated. </w:t>
      </w:r>
      <w:r w:rsidR="00C81723" w:rsidRPr="00CE1879">
        <w:rPr>
          <w:rFonts w:ascii="Arial" w:hAnsi="Arial" w:cs="Arial"/>
        </w:rPr>
        <w:t>Item-scale correlations for each of the three PCA readiness measures were more than acceptable, ranging from .76 to .88. Similarly, scale alphas (internal consistency estimates) for the three PCA measures were quite high, ranging from .81 to .83, with the alpha for PCA readiness as a whole being exceptionally good at .96. Rem</w:t>
      </w:r>
      <w:r w:rsidR="008A1536" w:rsidRPr="00CE1879">
        <w:rPr>
          <w:rFonts w:ascii="Arial" w:hAnsi="Arial" w:cs="Arial"/>
        </w:rPr>
        <w:t xml:space="preserve">oval </w:t>
      </w:r>
      <w:r w:rsidR="00C81723" w:rsidRPr="00CE1879">
        <w:rPr>
          <w:rFonts w:ascii="Arial" w:hAnsi="Arial" w:cs="Arial"/>
        </w:rPr>
        <w:t xml:space="preserve"> of any one question from each of the three measures did </w:t>
      </w:r>
      <w:r w:rsidR="004077BF" w:rsidRPr="00CE1879">
        <w:rPr>
          <w:rFonts w:ascii="Arial" w:hAnsi="Arial" w:cs="Arial"/>
        </w:rPr>
        <w:t xml:space="preserve">not </w:t>
      </w:r>
      <w:r w:rsidR="00F4338D" w:rsidRPr="00CE1879">
        <w:rPr>
          <w:rFonts w:ascii="Arial" w:hAnsi="Arial" w:cs="Arial"/>
        </w:rPr>
        <w:t>increase the</w:t>
      </w:r>
      <w:r w:rsidR="00C81723" w:rsidRPr="00CE1879">
        <w:rPr>
          <w:rFonts w:ascii="Arial" w:hAnsi="Arial" w:cs="Arial"/>
        </w:rPr>
        <w:t xml:space="preserve"> scale alphas</w:t>
      </w:r>
      <w:r w:rsidR="004077BF" w:rsidRPr="00CE1879">
        <w:rPr>
          <w:rFonts w:ascii="Arial" w:hAnsi="Arial" w:cs="Arial"/>
        </w:rPr>
        <w:t>, suggesting that each of the items was an appropriate inclusion within its scale</w:t>
      </w:r>
      <w:r w:rsidR="00C81723" w:rsidRPr="00CE1879">
        <w:rPr>
          <w:rFonts w:ascii="Arial" w:hAnsi="Arial" w:cs="Arial"/>
        </w:rPr>
        <w:t>.</w:t>
      </w:r>
      <w:r w:rsidR="004077BF" w:rsidRPr="00CE1879">
        <w:rPr>
          <w:rFonts w:ascii="Arial" w:hAnsi="Arial" w:cs="Arial"/>
        </w:rPr>
        <w:t xml:space="preserve"> </w:t>
      </w:r>
      <w:r w:rsidR="00C81723" w:rsidRPr="00CE1879">
        <w:rPr>
          <w:rFonts w:ascii="Arial" w:hAnsi="Arial" w:cs="Arial"/>
        </w:rPr>
        <w:t>For the</w:t>
      </w:r>
    </w:p>
    <w:p w:rsidR="00B879DF" w:rsidRPr="00CE1879" w:rsidRDefault="00C81723" w:rsidP="00F00E67">
      <w:pPr>
        <w:spacing w:line="360" w:lineRule="auto"/>
        <w:ind w:left="-360"/>
        <w:rPr>
          <w:rFonts w:ascii="Arial" w:hAnsi="Arial" w:cs="Arial"/>
          <w:noProof w:val="0"/>
          <w:color w:val="222222"/>
          <w:lang w:eastAsia="en-AU"/>
        </w:rPr>
      </w:pPr>
      <w:r w:rsidRPr="00CE1879">
        <w:rPr>
          <w:rFonts w:ascii="Arial" w:hAnsi="Arial" w:cs="Arial"/>
        </w:rPr>
        <w:t xml:space="preserve">existing survey scales that had been slightly modified (removal or addition of an item or slight wording changes), </w:t>
      </w:r>
      <w:r w:rsidR="00F4338D" w:rsidRPr="00CE1879">
        <w:rPr>
          <w:rFonts w:ascii="Arial" w:hAnsi="Arial" w:cs="Arial"/>
        </w:rPr>
        <w:t xml:space="preserve">strong </w:t>
      </w:r>
      <w:r w:rsidRPr="00CE1879">
        <w:rPr>
          <w:rFonts w:ascii="Arial" w:hAnsi="Arial" w:cs="Arial"/>
        </w:rPr>
        <w:t xml:space="preserve">scale reliability </w:t>
      </w:r>
      <w:r w:rsidR="00F4338D" w:rsidRPr="00CE1879">
        <w:rPr>
          <w:rFonts w:ascii="Arial" w:hAnsi="Arial" w:cs="Arial"/>
        </w:rPr>
        <w:t>was maintained with an average alpha of .89 (indeed, a slight improvement from the standard survey content). For new items or items that had been significantly altered, item-scale correlations averaged .85 indicating that the new items were consistently measuring the same construct as the standard content.</w:t>
      </w:r>
    </w:p>
    <w:p w:rsidR="00C4522C" w:rsidRPr="00CE1879" w:rsidRDefault="004077BF" w:rsidP="00F00E67">
      <w:pPr>
        <w:spacing w:line="360" w:lineRule="auto"/>
        <w:ind w:left="-360"/>
        <w:rPr>
          <w:rFonts w:ascii="Arial" w:hAnsi="Arial" w:cs="Arial"/>
          <w:noProof w:val="0"/>
          <w:color w:val="222222"/>
          <w:lang w:eastAsia="en-AU"/>
        </w:rPr>
      </w:pPr>
      <w:r w:rsidRPr="00CE1879">
        <w:rPr>
          <w:rFonts w:ascii="Arial" w:hAnsi="Arial" w:cs="Arial"/>
        </w:rPr>
        <w:t>As such, given the survey development procedures followed and these initial estimates of the tool’s properties, we feel that the NDS Engagement Survey represents a valid and reliable instrument that is tailored to the specific needs of the disability services industry.</w:t>
      </w:r>
    </w:p>
    <w:p w:rsidR="00C4522C" w:rsidRPr="00CE1879" w:rsidRDefault="00C4522C" w:rsidP="00C4522C">
      <w:pPr>
        <w:spacing w:line="360" w:lineRule="auto"/>
        <w:ind w:left="-360"/>
        <w:rPr>
          <w:rFonts w:ascii="Arial" w:hAnsi="Arial" w:cs="Arial"/>
          <w:noProof w:val="0"/>
          <w:color w:val="222222"/>
          <w:lang w:eastAsia="en-AU"/>
        </w:rPr>
      </w:pPr>
    </w:p>
    <w:p w:rsidR="00B879DF" w:rsidRPr="00CE1879" w:rsidRDefault="00B040E7" w:rsidP="00C4522C">
      <w:pPr>
        <w:spacing w:line="360" w:lineRule="auto"/>
        <w:ind w:left="-360"/>
        <w:rPr>
          <w:rFonts w:ascii="Arial" w:hAnsi="Arial" w:cs="Arial"/>
          <w:noProof w:val="0"/>
          <w:color w:val="222222"/>
          <w:lang w:eastAsia="en-AU"/>
        </w:rPr>
      </w:pPr>
      <w:r w:rsidRPr="00CE1879">
        <w:rPr>
          <w:rFonts w:ascii="Arial" w:hAnsi="Arial" w:cs="Arial"/>
          <w:b/>
          <w:noProof w:val="0"/>
        </w:rPr>
        <w:t>Appendix C: Detailed Results</w:t>
      </w:r>
    </w:p>
    <w:p w:rsidR="00EB7EDE" w:rsidRPr="00CE1879" w:rsidRDefault="00EB7EDE" w:rsidP="0072500F">
      <w:pPr>
        <w:spacing w:line="360" w:lineRule="auto"/>
        <w:ind w:left="-360"/>
        <w:rPr>
          <w:rFonts w:ascii="Arial" w:hAnsi="Arial" w:cs="Arial"/>
        </w:rPr>
      </w:pPr>
      <w:r w:rsidRPr="00CE1879">
        <w:rPr>
          <w:rFonts w:ascii="Arial" w:hAnsi="Arial" w:cs="Arial"/>
          <w:noProof w:val="0"/>
        </w:rPr>
        <w:t>The percentages</w:t>
      </w:r>
      <w:r w:rsidRPr="00CE1879">
        <w:rPr>
          <w:rFonts w:ascii="Arial" w:hAnsi="Arial" w:cs="Arial"/>
        </w:rPr>
        <w:t xml:space="preserve"> of people responding favourably to each area are shown in the </w:t>
      </w:r>
      <w:r w:rsidR="007C2663" w:rsidRPr="00CE1879">
        <w:rPr>
          <w:rFonts w:ascii="Arial" w:hAnsi="Arial" w:cs="Arial"/>
        </w:rPr>
        <w:t>information</w:t>
      </w:r>
      <w:r w:rsidRPr="00CE1879">
        <w:rPr>
          <w:rFonts w:ascii="Arial" w:hAnsi="Arial" w:cs="Arial"/>
        </w:rPr>
        <w:t xml:space="preserve"> below alongside the number of percentage points by which this differed from the round one results and from the all-industry benchmark:</w:t>
      </w:r>
    </w:p>
    <w:p w:rsidR="007C2663" w:rsidRPr="00CE1879" w:rsidRDefault="007C2663" w:rsidP="0072500F">
      <w:pPr>
        <w:spacing w:line="360" w:lineRule="auto"/>
        <w:ind w:left="-360"/>
        <w:rPr>
          <w:rFonts w:ascii="Arial" w:hAnsi="Arial" w:cs="Arial"/>
        </w:rPr>
      </w:pPr>
    </w:p>
    <w:p w:rsidR="007C2663" w:rsidRPr="00CE1879" w:rsidRDefault="00835BA5" w:rsidP="0072500F">
      <w:pPr>
        <w:spacing w:line="360" w:lineRule="auto"/>
        <w:ind w:left="-360"/>
        <w:rPr>
          <w:rFonts w:ascii="Arial" w:hAnsi="Arial" w:cs="Arial"/>
          <w:b/>
          <w:sz w:val="36"/>
          <w:szCs w:val="36"/>
        </w:rPr>
      </w:pPr>
      <w:r w:rsidRPr="00CE1879">
        <w:rPr>
          <w:rFonts w:ascii="Arial" w:hAnsi="Arial" w:cs="Arial"/>
          <w:b/>
          <w:sz w:val="36"/>
          <w:szCs w:val="36"/>
        </w:rPr>
        <w:t>Scale</w:t>
      </w:r>
    </w:p>
    <w:p w:rsidR="00835BA5" w:rsidRPr="00CE1879" w:rsidRDefault="00835BA5" w:rsidP="0072500F">
      <w:pPr>
        <w:spacing w:line="360" w:lineRule="auto"/>
        <w:ind w:left="-360"/>
        <w:rPr>
          <w:rFonts w:ascii="Arial" w:hAnsi="Arial" w:cs="Arial"/>
          <w:b/>
        </w:rPr>
      </w:pPr>
      <w:r w:rsidRPr="00CE1879">
        <w:rPr>
          <w:rFonts w:ascii="Arial" w:hAnsi="Arial" w:cs="Arial"/>
          <w:b/>
        </w:rPr>
        <w:t>Round 2 percentage favourable:</w:t>
      </w:r>
    </w:p>
    <w:p w:rsidR="007C2663" w:rsidRPr="00CE1879" w:rsidRDefault="007C2663" w:rsidP="0072500F">
      <w:pPr>
        <w:pStyle w:val="ListParagraph"/>
        <w:numPr>
          <w:ilvl w:val="0"/>
          <w:numId w:val="29"/>
        </w:numPr>
        <w:spacing w:line="360" w:lineRule="auto"/>
        <w:rPr>
          <w:rFonts w:ascii="Arial" w:hAnsi="Arial" w:cs="Arial"/>
        </w:rPr>
      </w:pPr>
      <w:r w:rsidRPr="00CE1879">
        <w:rPr>
          <w:rFonts w:ascii="Arial" w:hAnsi="Arial" w:cs="Arial"/>
        </w:rPr>
        <w:t>High: more than and equal to 80%</w:t>
      </w:r>
    </w:p>
    <w:p w:rsidR="007C2663" w:rsidRPr="00CE1879" w:rsidRDefault="007C2663" w:rsidP="0072500F">
      <w:pPr>
        <w:pStyle w:val="ListParagraph"/>
        <w:numPr>
          <w:ilvl w:val="0"/>
          <w:numId w:val="29"/>
        </w:numPr>
        <w:spacing w:line="360" w:lineRule="auto"/>
        <w:rPr>
          <w:rFonts w:ascii="Arial" w:hAnsi="Arial" w:cs="Arial"/>
        </w:rPr>
      </w:pPr>
      <w:r w:rsidRPr="00CE1879">
        <w:rPr>
          <w:rFonts w:ascii="Arial" w:hAnsi="Arial" w:cs="Arial"/>
        </w:rPr>
        <w:t xml:space="preserve">Medium: 50% and </w:t>
      </w:r>
      <w:r w:rsidR="00835BA5" w:rsidRPr="00CE1879">
        <w:rPr>
          <w:rFonts w:ascii="Arial" w:hAnsi="Arial" w:cs="Arial"/>
        </w:rPr>
        <w:t xml:space="preserve">above but below </w:t>
      </w:r>
      <w:r w:rsidRPr="00CE1879">
        <w:rPr>
          <w:rFonts w:ascii="Arial" w:hAnsi="Arial" w:cs="Arial"/>
        </w:rPr>
        <w:t>80%</w:t>
      </w:r>
    </w:p>
    <w:p w:rsidR="007C2663" w:rsidRPr="00CE1879" w:rsidRDefault="007C2663" w:rsidP="0072500F">
      <w:pPr>
        <w:pStyle w:val="ListParagraph"/>
        <w:numPr>
          <w:ilvl w:val="0"/>
          <w:numId w:val="29"/>
        </w:numPr>
        <w:spacing w:line="360" w:lineRule="auto"/>
        <w:rPr>
          <w:rFonts w:ascii="Arial" w:hAnsi="Arial" w:cs="Arial"/>
        </w:rPr>
      </w:pPr>
      <w:r w:rsidRPr="00CE1879">
        <w:rPr>
          <w:rFonts w:ascii="Arial" w:hAnsi="Arial" w:cs="Arial"/>
        </w:rPr>
        <w:t>Low: below 50%</w:t>
      </w:r>
    </w:p>
    <w:p w:rsidR="00835BA5" w:rsidRPr="00CE1879" w:rsidRDefault="00C50611" w:rsidP="0072500F">
      <w:pPr>
        <w:spacing w:line="360" w:lineRule="auto"/>
        <w:ind w:left="-360"/>
        <w:rPr>
          <w:rFonts w:ascii="Arial" w:hAnsi="Arial" w:cs="Arial"/>
          <w:b/>
        </w:rPr>
      </w:pPr>
      <w:r>
        <w:rPr>
          <w:rFonts w:ascii="Arial" w:hAnsi="Arial" w:cs="Arial"/>
          <w:b/>
        </w:rPr>
        <w:t>P</w:t>
      </w:r>
      <w:r w:rsidR="00835BA5" w:rsidRPr="00CE1879">
        <w:rPr>
          <w:rFonts w:ascii="Arial" w:hAnsi="Arial" w:cs="Arial"/>
          <w:b/>
        </w:rPr>
        <w:t>ercentage difference</w:t>
      </w:r>
      <w:r>
        <w:rPr>
          <w:rFonts w:ascii="Arial" w:hAnsi="Arial" w:cs="Arial"/>
          <w:b/>
        </w:rPr>
        <w:t xml:space="preserve"> from r</w:t>
      </w:r>
      <w:r w:rsidRPr="00CE1879">
        <w:rPr>
          <w:rFonts w:ascii="Arial" w:hAnsi="Arial" w:cs="Arial"/>
          <w:b/>
        </w:rPr>
        <w:t>ound 1</w:t>
      </w:r>
      <w:r w:rsidR="00835BA5" w:rsidRPr="00CE1879">
        <w:rPr>
          <w:rFonts w:ascii="Arial" w:hAnsi="Arial" w:cs="Arial"/>
          <w:b/>
        </w:rPr>
        <w:t>:</w:t>
      </w:r>
    </w:p>
    <w:p w:rsidR="00835BA5" w:rsidRPr="00CE1879" w:rsidRDefault="00835BA5" w:rsidP="0072500F">
      <w:pPr>
        <w:pStyle w:val="ListParagraph"/>
        <w:numPr>
          <w:ilvl w:val="0"/>
          <w:numId w:val="30"/>
        </w:numPr>
        <w:spacing w:line="360" w:lineRule="auto"/>
        <w:rPr>
          <w:rFonts w:ascii="Arial" w:hAnsi="Arial" w:cs="Arial"/>
        </w:rPr>
      </w:pPr>
      <w:r w:rsidRPr="00CE1879">
        <w:rPr>
          <w:rFonts w:ascii="Arial" w:hAnsi="Arial" w:cs="Arial"/>
        </w:rPr>
        <w:t>High: more than and equal to 10%</w:t>
      </w:r>
    </w:p>
    <w:p w:rsidR="00835BA5" w:rsidRPr="00CE1879" w:rsidRDefault="00835BA5" w:rsidP="0072500F">
      <w:pPr>
        <w:pStyle w:val="ListParagraph"/>
        <w:numPr>
          <w:ilvl w:val="0"/>
          <w:numId w:val="30"/>
        </w:numPr>
        <w:spacing w:line="360" w:lineRule="auto"/>
        <w:rPr>
          <w:rFonts w:ascii="Arial" w:hAnsi="Arial" w:cs="Arial"/>
        </w:rPr>
      </w:pPr>
      <w:r w:rsidRPr="00CE1879">
        <w:rPr>
          <w:rFonts w:ascii="Arial" w:hAnsi="Arial" w:cs="Arial"/>
        </w:rPr>
        <w:t xml:space="preserve">Medium: between </w:t>
      </w:r>
      <w:r w:rsidR="00467B08" w:rsidRPr="00CE1879">
        <w:rPr>
          <w:rFonts w:ascii="Arial" w:hAnsi="Arial" w:cs="Arial"/>
        </w:rPr>
        <w:t xml:space="preserve">minus 10% and </w:t>
      </w:r>
      <w:r w:rsidR="0047778E" w:rsidRPr="00CE1879">
        <w:rPr>
          <w:rFonts w:ascii="Arial" w:hAnsi="Arial" w:cs="Arial"/>
        </w:rPr>
        <w:t xml:space="preserve">plus </w:t>
      </w:r>
      <w:r w:rsidR="00467B08" w:rsidRPr="00CE1879">
        <w:rPr>
          <w:rFonts w:ascii="Arial" w:hAnsi="Arial" w:cs="Arial"/>
        </w:rPr>
        <w:t>10%</w:t>
      </w:r>
    </w:p>
    <w:p w:rsidR="00835BA5" w:rsidRPr="00CE1879" w:rsidRDefault="00835BA5" w:rsidP="0072500F">
      <w:pPr>
        <w:pStyle w:val="ListParagraph"/>
        <w:numPr>
          <w:ilvl w:val="0"/>
          <w:numId w:val="30"/>
        </w:numPr>
        <w:spacing w:line="360" w:lineRule="auto"/>
        <w:rPr>
          <w:rFonts w:ascii="Arial" w:hAnsi="Arial" w:cs="Arial"/>
        </w:rPr>
      </w:pPr>
      <w:r w:rsidRPr="00CE1879">
        <w:rPr>
          <w:rFonts w:ascii="Arial" w:hAnsi="Arial" w:cs="Arial"/>
        </w:rPr>
        <w:t xml:space="preserve">Low: </w:t>
      </w:r>
      <w:r w:rsidR="00467B08" w:rsidRPr="00CE1879">
        <w:rPr>
          <w:rFonts w:ascii="Arial" w:hAnsi="Arial" w:cs="Arial"/>
        </w:rPr>
        <w:t>fewer than or equal to 10%</w:t>
      </w:r>
    </w:p>
    <w:p w:rsidR="00467B08" w:rsidRPr="00CE1879" w:rsidRDefault="00467B08" w:rsidP="0072500F">
      <w:pPr>
        <w:spacing w:line="360" w:lineRule="auto"/>
        <w:ind w:left="-360"/>
        <w:rPr>
          <w:rFonts w:ascii="Arial" w:hAnsi="Arial" w:cs="Arial"/>
          <w:b/>
        </w:rPr>
      </w:pPr>
      <w:r w:rsidRPr="00CE1879">
        <w:rPr>
          <w:rFonts w:ascii="Arial" w:hAnsi="Arial" w:cs="Arial"/>
          <w:b/>
        </w:rPr>
        <w:t>Benchmark difference</w:t>
      </w:r>
      <w:r w:rsidR="00C50611">
        <w:rPr>
          <w:rFonts w:ascii="Arial" w:hAnsi="Arial" w:cs="Arial"/>
          <w:b/>
        </w:rPr>
        <w:t xml:space="preserve"> to all-industries</w:t>
      </w:r>
      <w:r w:rsidRPr="00CE1879">
        <w:rPr>
          <w:rFonts w:ascii="Arial" w:hAnsi="Arial" w:cs="Arial"/>
          <w:b/>
        </w:rPr>
        <w:t>:</w:t>
      </w:r>
    </w:p>
    <w:p w:rsidR="00467B08" w:rsidRPr="00CE1879" w:rsidRDefault="00467B08" w:rsidP="0072500F">
      <w:pPr>
        <w:pStyle w:val="ListParagraph"/>
        <w:numPr>
          <w:ilvl w:val="0"/>
          <w:numId w:val="30"/>
        </w:numPr>
        <w:spacing w:line="360" w:lineRule="auto"/>
        <w:rPr>
          <w:rFonts w:ascii="Arial" w:hAnsi="Arial" w:cs="Arial"/>
        </w:rPr>
      </w:pPr>
      <w:r w:rsidRPr="00CE1879">
        <w:rPr>
          <w:rFonts w:ascii="Arial" w:hAnsi="Arial" w:cs="Arial"/>
        </w:rPr>
        <w:t>High: more than and equal to 10%</w:t>
      </w:r>
    </w:p>
    <w:p w:rsidR="00467B08" w:rsidRPr="00CE1879" w:rsidRDefault="00467B08" w:rsidP="0072500F">
      <w:pPr>
        <w:pStyle w:val="ListParagraph"/>
        <w:numPr>
          <w:ilvl w:val="0"/>
          <w:numId w:val="30"/>
        </w:numPr>
        <w:spacing w:line="360" w:lineRule="auto"/>
        <w:rPr>
          <w:rFonts w:ascii="Arial" w:hAnsi="Arial" w:cs="Arial"/>
        </w:rPr>
      </w:pPr>
      <w:r w:rsidRPr="00CE1879">
        <w:rPr>
          <w:rFonts w:ascii="Arial" w:hAnsi="Arial" w:cs="Arial"/>
        </w:rPr>
        <w:t xml:space="preserve">Medium: between </w:t>
      </w:r>
      <w:r w:rsidR="0047778E" w:rsidRPr="00CE1879">
        <w:rPr>
          <w:rFonts w:ascii="Arial" w:hAnsi="Arial" w:cs="Arial"/>
        </w:rPr>
        <w:t>minus</w:t>
      </w:r>
      <w:r w:rsidRPr="00CE1879">
        <w:rPr>
          <w:rFonts w:ascii="Arial" w:hAnsi="Arial" w:cs="Arial"/>
        </w:rPr>
        <w:t xml:space="preserve"> 10% and </w:t>
      </w:r>
      <w:r w:rsidR="0047778E" w:rsidRPr="00CE1879">
        <w:rPr>
          <w:rFonts w:ascii="Arial" w:hAnsi="Arial" w:cs="Arial"/>
        </w:rPr>
        <w:t xml:space="preserve">plus </w:t>
      </w:r>
      <w:r w:rsidRPr="00CE1879">
        <w:rPr>
          <w:rFonts w:ascii="Arial" w:hAnsi="Arial" w:cs="Arial"/>
        </w:rPr>
        <w:t>10%</w:t>
      </w:r>
    </w:p>
    <w:p w:rsidR="00467B08" w:rsidRPr="00CE1879" w:rsidRDefault="00467B08" w:rsidP="0072500F">
      <w:pPr>
        <w:pStyle w:val="ListParagraph"/>
        <w:numPr>
          <w:ilvl w:val="0"/>
          <w:numId w:val="30"/>
        </w:numPr>
        <w:spacing w:line="360" w:lineRule="auto"/>
        <w:rPr>
          <w:rFonts w:ascii="Arial" w:hAnsi="Arial" w:cs="Arial"/>
        </w:rPr>
      </w:pPr>
      <w:r w:rsidRPr="00CE1879">
        <w:rPr>
          <w:rFonts w:ascii="Arial" w:hAnsi="Arial" w:cs="Arial"/>
        </w:rPr>
        <w:t>Low: fewer than or equal to 10%</w:t>
      </w:r>
    </w:p>
    <w:p w:rsidR="00835BA5" w:rsidRPr="00CE1879" w:rsidRDefault="00835BA5" w:rsidP="0072500F">
      <w:pPr>
        <w:spacing w:line="360" w:lineRule="auto"/>
        <w:ind w:left="-360"/>
        <w:rPr>
          <w:rFonts w:ascii="Arial" w:hAnsi="Arial" w:cs="Arial"/>
        </w:rPr>
      </w:pPr>
    </w:p>
    <w:p w:rsidR="007C2663" w:rsidRPr="00CE1879" w:rsidRDefault="007C2663" w:rsidP="0072500F">
      <w:pPr>
        <w:spacing w:line="360" w:lineRule="auto"/>
        <w:ind w:left="-360"/>
        <w:rPr>
          <w:rFonts w:ascii="Arial" w:hAnsi="Arial" w:cs="Arial"/>
          <w:sz w:val="36"/>
          <w:szCs w:val="36"/>
        </w:rPr>
      </w:pPr>
      <w:r w:rsidRPr="00CE1879">
        <w:rPr>
          <w:rFonts w:ascii="Arial" w:hAnsi="Arial" w:cs="Arial"/>
          <w:b/>
          <w:sz w:val="36"/>
          <w:szCs w:val="36"/>
        </w:rPr>
        <w:t>Outcome Measures</w:t>
      </w:r>
    </w:p>
    <w:p w:rsidR="007C2663" w:rsidRPr="00CE1879" w:rsidRDefault="007C2663" w:rsidP="0072500F">
      <w:pPr>
        <w:spacing w:line="360" w:lineRule="auto"/>
        <w:ind w:left="-360"/>
        <w:rPr>
          <w:rFonts w:ascii="Arial" w:hAnsi="Arial" w:cs="Arial"/>
          <w:b/>
        </w:rPr>
      </w:pPr>
      <w:r w:rsidRPr="00CE1879">
        <w:rPr>
          <w:rFonts w:ascii="Arial" w:hAnsi="Arial" w:cs="Arial"/>
          <w:b/>
        </w:rPr>
        <w:t>Passion/engagement</w:t>
      </w:r>
    </w:p>
    <w:p w:rsidR="007C2663" w:rsidRPr="00CE1879" w:rsidRDefault="007C2663" w:rsidP="0072500F">
      <w:pPr>
        <w:pStyle w:val="ListParagraph"/>
        <w:numPr>
          <w:ilvl w:val="0"/>
          <w:numId w:val="31"/>
        </w:numPr>
        <w:spacing w:line="360" w:lineRule="auto"/>
        <w:rPr>
          <w:rFonts w:ascii="Arial" w:hAnsi="Arial" w:cs="Arial"/>
        </w:rPr>
      </w:pPr>
      <w:r w:rsidRPr="00CE1879">
        <w:rPr>
          <w:rFonts w:ascii="Arial" w:hAnsi="Arial" w:cs="Arial"/>
        </w:rPr>
        <w:t xml:space="preserve">Round 2 </w:t>
      </w:r>
      <w:r w:rsidR="00C50611">
        <w:rPr>
          <w:rFonts w:ascii="Arial" w:hAnsi="Arial" w:cs="Arial"/>
        </w:rPr>
        <w:t>percentage</w:t>
      </w:r>
      <w:r w:rsidRPr="00CE1879">
        <w:rPr>
          <w:rFonts w:ascii="Arial" w:hAnsi="Arial" w:cs="Arial"/>
        </w:rPr>
        <w:t xml:space="preserve"> favourable: </w:t>
      </w:r>
      <w:r w:rsidR="008E2C04" w:rsidRPr="00CE1879">
        <w:rPr>
          <w:rFonts w:ascii="Arial" w:hAnsi="Arial" w:cs="Arial"/>
        </w:rPr>
        <w:t>84%</w:t>
      </w:r>
      <w:r w:rsidR="00835BA5" w:rsidRPr="00CE1879">
        <w:rPr>
          <w:rFonts w:ascii="Arial" w:hAnsi="Arial" w:cs="Arial"/>
        </w:rPr>
        <w:t xml:space="preserve"> (high)</w:t>
      </w:r>
    </w:p>
    <w:p w:rsidR="00835BA5" w:rsidRPr="00CE1879" w:rsidRDefault="00C50611" w:rsidP="0072500F">
      <w:pPr>
        <w:pStyle w:val="ListParagraph"/>
        <w:numPr>
          <w:ilvl w:val="0"/>
          <w:numId w:val="31"/>
        </w:numPr>
        <w:spacing w:line="360" w:lineRule="auto"/>
        <w:rPr>
          <w:rFonts w:ascii="Arial" w:hAnsi="Arial" w:cs="Arial"/>
        </w:rPr>
      </w:pPr>
      <w:r w:rsidRPr="00C50611">
        <w:rPr>
          <w:rFonts w:ascii="Arial" w:hAnsi="Arial" w:cs="Arial"/>
        </w:rPr>
        <w:t>Percentage difference from round 1</w:t>
      </w:r>
      <w:r w:rsidR="00467B08" w:rsidRPr="00CE1879">
        <w:rPr>
          <w:rFonts w:ascii="Arial" w:hAnsi="Arial" w:cs="Arial"/>
        </w:rPr>
        <w:t>: 0% (medium)</w:t>
      </w:r>
    </w:p>
    <w:p w:rsidR="00467B08"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467B08" w:rsidRPr="00CE1879">
        <w:rPr>
          <w:rFonts w:ascii="Arial" w:hAnsi="Arial" w:cs="Arial"/>
        </w:rPr>
        <w:t xml:space="preserve">: + 21% (high) </w:t>
      </w:r>
    </w:p>
    <w:p w:rsidR="00291E43" w:rsidRPr="00CE1879" w:rsidRDefault="00291E43" w:rsidP="0072500F">
      <w:pPr>
        <w:spacing w:line="360" w:lineRule="auto"/>
        <w:ind w:left="-360"/>
        <w:rPr>
          <w:rFonts w:ascii="Arial" w:hAnsi="Arial" w:cs="Arial"/>
          <w:b/>
        </w:rPr>
      </w:pPr>
      <w:r w:rsidRPr="00CE1879">
        <w:rPr>
          <w:rFonts w:ascii="Arial" w:hAnsi="Arial" w:cs="Arial"/>
          <w:b/>
        </w:rPr>
        <w:t>Organisational commitment</w:t>
      </w:r>
    </w:p>
    <w:p w:rsidR="00291E43"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291E43" w:rsidRPr="00CE1879">
        <w:rPr>
          <w:rFonts w:ascii="Arial" w:hAnsi="Arial" w:cs="Arial"/>
        </w:rPr>
        <w:t>: 86% (high)</w:t>
      </w:r>
    </w:p>
    <w:p w:rsidR="00291E43" w:rsidRPr="00CE1879" w:rsidRDefault="00C50611" w:rsidP="0072500F">
      <w:pPr>
        <w:pStyle w:val="ListParagraph"/>
        <w:numPr>
          <w:ilvl w:val="0"/>
          <w:numId w:val="31"/>
        </w:numPr>
        <w:spacing w:line="360" w:lineRule="auto"/>
        <w:rPr>
          <w:rFonts w:ascii="Arial" w:hAnsi="Arial" w:cs="Arial"/>
        </w:rPr>
      </w:pPr>
      <w:r w:rsidRPr="00C50611">
        <w:rPr>
          <w:rFonts w:ascii="Arial" w:hAnsi="Arial" w:cs="Arial"/>
        </w:rPr>
        <w:t>Percentage difference from round 1</w:t>
      </w:r>
      <w:r w:rsidR="00291E43" w:rsidRPr="00CE1879">
        <w:rPr>
          <w:rFonts w:ascii="Arial" w:hAnsi="Arial" w:cs="Arial"/>
        </w:rPr>
        <w:t>: 0% (medium)</w:t>
      </w:r>
    </w:p>
    <w:p w:rsidR="00CB7F37"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291E43" w:rsidRPr="00CE1879">
        <w:rPr>
          <w:rFonts w:ascii="Arial" w:hAnsi="Arial" w:cs="Arial"/>
        </w:rPr>
        <w:t xml:space="preserve">: + 19% (high) </w:t>
      </w:r>
    </w:p>
    <w:p w:rsidR="00CB7F37" w:rsidRPr="00CE1879" w:rsidRDefault="00CB7F37" w:rsidP="0072500F">
      <w:pPr>
        <w:spacing w:line="360" w:lineRule="auto"/>
        <w:ind w:left="-360"/>
        <w:rPr>
          <w:rFonts w:ascii="Arial" w:hAnsi="Arial" w:cs="Arial"/>
          <w:b/>
        </w:rPr>
      </w:pPr>
      <w:r w:rsidRPr="00CE1879">
        <w:rPr>
          <w:rFonts w:ascii="Arial" w:hAnsi="Arial" w:cs="Arial"/>
          <w:b/>
        </w:rPr>
        <w:t>Job satisfaction</w:t>
      </w:r>
    </w:p>
    <w:p w:rsidR="00CB7F37"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CB7F37" w:rsidRPr="00CE1879">
        <w:rPr>
          <w:rFonts w:ascii="Arial" w:hAnsi="Arial" w:cs="Arial"/>
        </w:rPr>
        <w:t>: 92% (high)</w:t>
      </w:r>
    </w:p>
    <w:p w:rsidR="00CB7F37" w:rsidRPr="00CE1879" w:rsidRDefault="00C50611" w:rsidP="0072500F">
      <w:pPr>
        <w:pStyle w:val="ListParagraph"/>
        <w:numPr>
          <w:ilvl w:val="0"/>
          <w:numId w:val="31"/>
        </w:numPr>
        <w:spacing w:line="360" w:lineRule="auto"/>
        <w:rPr>
          <w:rFonts w:ascii="Arial" w:hAnsi="Arial" w:cs="Arial"/>
        </w:rPr>
      </w:pPr>
      <w:r w:rsidRPr="00C50611">
        <w:rPr>
          <w:rFonts w:ascii="Arial" w:hAnsi="Arial" w:cs="Arial"/>
        </w:rPr>
        <w:t>Percentage difference from round 1</w:t>
      </w:r>
      <w:r w:rsidR="00CB7F37" w:rsidRPr="00CE1879">
        <w:rPr>
          <w:rFonts w:ascii="Arial" w:hAnsi="Arial" w:cs="Arial"/>
        </w:rPr>
        <w:t>: -1% (medium)</w:t>
      </w:r>
    </w:p>
    <w:p w:rsidR="00CB7F37"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47778E" w:rsidRPr="00CE1879">
        <w:rPr>
          <w:rFonts w:ascii="Arial" w:hAnsi="Arial" w:cs="Arial"/>
        </w:rPr>
        <w:t>: +</w:t>
      </w:r>
      <w:r w:rsidR="00CB7F37" w:rsidRPr="00CE1879">
        <w:rPr>
          <w:rFonts w:ascii="Arial" w:hAnsi="Arial" w:cs="Arial"/>
        </w:rPr>
        <w:t xml:space="preserve">21% (high) </w:t>
      </w:r>
    </w:p>
    <w:p w:rsidR="00CB7F37" w:rsidRPr="00CE1879" w:rsidRDefault="00CB7F37" w:rsidP="0072500F">
      <w:pPr>
        <w:spacing w:line="360" w:lineRule="auto"/>
        <w:ind w:left="-360"/>
        <w:rPr>
          <w:rFonts w:ascii="Arial" w:hAnsi="Arial" w:cs="Arial"/>
          <w:b/>
        </w:rPr>
      </w:pPr>
      <w:r w:rsidRPr="00CE1879">
        <w:rPr>
          <w:rFonts w:ascii="Arial" w:hAnsi="Arial" w:cs="Arial"/>
          <w:b/>
        </w:rPr>
        <w:t>Intention to stay</w:t>
      </w:r>
    </w:p>
    <w:p w:rsidR="00CB7F37"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CB7F37" w:rsidRPr="00CE1879">
        <w:rPr>
          <w:rFonts w:ascii="Arial" w:hAnsi="Arial" w:cs="Arial"/>
        </w:rPr>
        <w:t xml:space="preserve">: </w:t>
      </w:r>
      <w:r w:rsidR="00B25D74" w:rsidRPr="00CE1879">
        <w:rPr>
          <w:rFonts w:ascii="Arial" w:hAnsi="Arial" w:cs="Arial"/>
        </w:rPr>
        <w:t>75</w:t>
      </w:r>
      <w:r w:rsidR="00CB7F37" w:rsidRPr="00CE1879">
        <w:rPr>
          <w:rFonts w:ascii="Arial" w:hAnsi="Arial" w:cs="Arial"/>
        </w:rPr>
        <w:t>%</w:t>
      </w:r>
      <w:r w:rsidR="00B25D74" w:rsidRPr="00CE1879">
        <w:rPr>
          <w:rFonts w:ascii="Arial" w:hAnsi="Arial" w:cs="Arial"/>
        </w:rPr>
        <w:t xml:space="preserve"> (medium</w:t>
      </w:r>
      <w:r w:rsidR="00CB7F37" w:rsidRPr="00CE1879">
        <w:rPr>
          <w:rFonts w:ascii="Arial" w:hAnsi="Arial" w:cs="Arial"/>
        </w:rPr>
        <w:t>)</w:t>
      </w:r>
    </w:p>
    <w:p w:rsidR="00CB7F37"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CB7F37" w:rsidRPr="00CE1879">
        <w:rPr>
          <w:rFonts w:ascii="Arial" w:hAnsi="Arial" w:cs="Arial"/>
        </w:rPr>
        <w:t>: 0% (medium)</w:t>
      </w:r>
    </w:p>
    <w:p w:rsidR="0011409D"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47778E" w:rsidRPr="00CE1879">
        <w:rPr>
          <w:rFonts w:ascii="Arial" w:hAnsi="Arial" w:cs="Arial"/>
        </w:rPr>
        <w:t>: +</w:t>
      </w:r>
      <w:r w:rsidR="00B25D74" w:rsidRPr="00CE1879">
        <w:rPr>
          <w:rFonts w:ascii="Arial" w:hAnsi="Arial" w:cs="Arial"/>
        </w:rPr>
        <w:t>22</w:t>
      </w:r>
      <w:r w:rsidR="00CB7F37" w:rsidRPr="00CE1879">
        <w:rPr>
          <w:rFonts w:ascii="Arial" w:hAnsi="Arial" w:cs="Arial"/>
        </w:rPr>
        <w:t>% (high)</w:t>
      </w:r>
    </w:p>
    <w:p w:rsidR="0011409D" w:rsidRPr="00CE1879" w:rsidRDefault="0011409D" w:rsidP="0072500F">
      <w:pPr>
        <w:spacing w:line="360" w:lineRule="auto"/>
        <w:ind w:left="-360"/>
        <w:rPr>
          <w:rFonts w:ascii="Arial" w:hAnsi="Arial" w:cs="Arial"/>
          <w:b/>
        </w:rPr>
      </w:pPr>
      <w:r w:rsidRPr="00CE1879">
        <w:rPr>
          <w:rFonts w:ascii="Arial" w:hAnsi="Arial" w:cs="Arial"/>
          <w:b/>
        </w:rPr>
        <w:t>Progress</w:t>
      </w:r>
    </w:p>
    <w:p w:rsidR="0011409D" w:rsidRPr="00CE1879" w:rsidRDefault="00C50611" w:rsidP="0072500F">
      <w:pPr>
        <w:numPr>
          <w:ilvl w:val="0"/>
          <w:numId w:val="31"/>
        </w:numPr>
        <w:spacing w:line="360" w:lineRule="auto"/>
        <w:contextualSpacing/>
        <w:rPr>
          <w:rFonts w:ascii="Arial" w:hAnsi="Arial" w:cs="Arial"/>
        </w:rPr>
      </w:pPr>
      <w:r>
        <w:rPr>
          <w:rFonts w:ascii="Arial" w:hAnsi="Arial" w:cs="Arial"/>
        </w:rPr>
        <w:t>Round 2 percentage favourable</w:t>
      </w:r>
      <w:r w:rsidR="0011409D" w:rsidRPr="00CE1879">
        <w:rPr>
          <w:rFonts w:ascii="Arial" w:hAnsi="Arial" w:cs="Arial"/>
        </w:rPr>
        <w:t>: 79% (medium)</w:t>
      </w:r>
    </w:p>
    <w:p w:rsidR="0011409D" w:rsidRPr="00CE1879" w:rsidRDefault="00C50611" w:rsidP="0072500F">
      <w:pPr>
        <w:numPr>
          <w:ilvl w:val="0"/>
          <w:numId w:val="31"/>
        </w:numPr>
        <w:spacing w:line="360" w:lineRule="auto"/>
        <w:contextualSpacing/>
        <w:rPr>
          <w:rFonts w:ascii="Arial" w:hAnsi="Arial" w:cs="Arial"/>
        </w:rPr>
      </w:pPr>
      <w:r>
        <w:rPr>
          <w:rFonts w:ascii="Arial" w:hAnsi="Arial" w:cs="Arial"/>
        </w:rPr>
        <w:t>Percentage difference from round 1</w:t>
      </w:r>
      <w:r w:rsidR="0011409D" w:rsidRPr="00CE1879">
        <w:rPr>
          <w:rFonts w:ascii="Arial" w:hAnsi="Arial" w:cs="Arial"/>
        </w:rPr>
        <w:t>: 0% (medium)</w:t>
      </w:r>
    </w:p>
    <w:p w:rsidR="0011409D" w:rsidRPr="00CE1879" w:rsidRDefault="00C50611" w:rsidP="0072500F">
      <w:pPr>
        <w:numPr>
          <w:ilvl w:val="0"/>
          <w:numId w:val="31"/>
        </w:numPr>
        <w:spacing w:line="360" w:lineRule="auto"/>
        <w:contextualSpacing/>
        <w:rPr>
          <w:rFonts w:ascii="Arial" w:hAnsi="Arial" w:cs="Arial"/>
        </w:rPr>
      </w:pPr>
      <w:r>
        <w:rPr>
          <w:rFonts w:ascii="Arial" w:hAnsi="Arial" w:cs="Arial"/>
        </w:rPr>
        <w:t>Benchmark difference to all-industries</w:t>
      </w:r>
      <w:r w:rsidR="0047778E" w:rsidRPr="00CE1879">
        <w:rPr>
          <w:rFonts w:ascii="Arial" w:hAnsi="Arial" w:cs="Arial"/>
        </w:rPr>
        <w:t>: +</w:t>
      </w:r>
      <w:r w:rsidR="005F7AFF" w:rsidRPr="00CE1879">
        <w:rPr>
          <w:rFonts w:ascii="Arial" w:hAnsi="Arial" w:cs="Arial"/>
        </w:rPr>
        <w:t>12</w:t>
      </w:r>
      <w:r w:rsidR="0011409D" w:rsidRPr="00CE1879">
        <w:rPr>
          <w:rFonts w:ascii="Arial" w:hAnsi="Arial" w:cs="Arial"/>
        </w:rPr>
        <w:t xml:space="preserve">% (high) </w:t>
      </w:r>
    </w:p>
    <w:p w:rsidR="005F7AFF" w:rsidRPr="00CE1879" w:rsidRDefault="005F7AFF" w:rsidP="0072500F">
      <w:pPr>
        <w:spacing w:line="360" w:lineRule="auto"/>
        <w:ind w:left="-360"/>
        <w:rPr>
          <w:rFonts w:ascii="Arial" w:hAnsi="Arial" w:cs="Arial"/>
          <w:b/>
        </w:rPr>
      </w:pPr>
      <w:r w:rsidRPr="00CE1879">
        <w:rPr>
          <w:rFonts w:ascii="Arial" w:hAnsi="Arial" w:cs="Arial"/>
          <w:b/>
        </w:rPr>
        <w:t>Organisation objectives</w:t>
      </w:r>
    </w:p>
    <w:p w:rsidR="005F7AFF" w:rsidRPr="00CE1879" w:rsidRDefault="00C50611" w:rsidP="0072500F">
      <w:pPr>
        <w:numPr>
          <w:ilvl w:val="0"/>
          <w:numId w:val="31"/>
        </w:numPr>
        <w:spacing w:line="360" w:lineRule="auto"/>
        <w:contextualSpacing/>
        <w:rPr>
          <w:rFonts w:ascii="Arial" w:hAnsi="Arial" w:cs="Arial"/>
        </w:rPr>
      </w:pPr>
      <w:r>
        <w:rPr>
          <w:rFonts w:ascii="Arial" w:hAnsi="Arial" w:cs="Arial"/>
        </w:rPr>
        <w:t>Round 2 percentage favourable</w:t>
      </w:r>
      <w:r w:rsidR="0047778E" w:rsidRPr="00CE1879">
        <w:rPr>
          <w:rFonts w:ascii="Arial" w:hAnsi="Arial" w:cs="Arial"/>
        </w:rPr>
        <w:t>: 83</w:t>
      </w:r>
      <w:r w:rsidR="005F7AFF" w:rsidRPr="00CE1879">
        <w:rPr>
          <w:rFonts w:ascii="Arial" w:hAnsi="Arial" w:cs="Arial"/>
        </w:rPr>
        <w:t>% (high)</w:t>
      </w:r>
    </w:p>
    <w:p w:rsidR="005F7AFF" w:rsidRPr="00CE1879" w:rsidRDefault="00C50611" w:rsidP="0072500F">
      <w:pPr>
        <w:numPr>
          <w:ilvl w:val="0"/>
          <w:numId w:val="31"/>
        </w:numPr>
        <w:spacing w:line="360" w:lineRule="auto"/>
        <w:contextualSpacing/>
        <w:rPr>
          <w:rFonts w:ascii="Arial" w:hAnsi="Arial" w:cs="Arial"/>
        </w:rPr>
      </w:pPr>
      <w:r>
        <w:rPr>
          <w:rFonts w:ascii="Arial" w:hAnsi="Arial" w:cs="Arial"/>
        </w:rPr>
        <w:t>Percentage difference from round 1</w:t>
      </w:r>
      <w:r w:rsidR="005F7AFF" w:rsidRPr="00CE1879">
        <w:rPr>
          <w:rFonts w:ascii="Arial" w:hAnsi="Arial" w:cs="Arial"/>
        </w:rPr>
        <w:t>: 0% (medium)</w:t>
      </w:r>
    </w:p>
    <w:p w:rsidR="0047778E" w:rsidRPr="00CE1879" w:rsidRDefault="00C50611" w:rsidP="0072500F">
      <w:pPr>
        <w:numPr>
          <w:ilvl w:val="0"/>
          <w:numId w:val="31"/>
        </w:numPr>
        <w:spacing w:line="360" w:lineRule="auto"/>
        <w:contextualSpacing/>
        <w:rPr>
          <w:rFonts w:ascii="Arial" w:hAnsi="Arial" w:cs="Arial"/>
        </w:rPr>
      </w:pPr>
      <w:r>
        <w:rPr>
          <w:rFonts w:ascii="Arial" w:hAnsi="Arial" w:cs="Arial"/>
        </w:rPr>
        <w:t>Benchmark difference to all-industries</w:t>
      </w:r>
      <w:r w:rsidR="0047778E" w:rsidRPr="00CE1879">
        <w:rPr>
          <w:rFonts w:ascii="Arial" w:hAnsi="Arial" w:cs="Arial"/>
        </w:rPr>
        <w:t>: +10</w:t>
      </w:r>
      <w:r w:rsidR="005F7AFF" w:rsidRPr="00CE1879">
        <w:rPr>
          <w:rFonts w:ascii="Arial" w:hAnsi="Arial" w:cs="Arial"/>
        </w:rPr>
        <w:t>% (high)</w:t>
      </w:r>
    </w:p>
    <w:p w:rsidR="0047778E" w:rsidRPr="00CE1879" w:rsidRDefault="0047778E" w:rsidP="0072500F">
      <w:pPr>
        <w:spacing w:line="360" w:lineRule="auto"/>
        <w:ind w:left="-360"/>
        <w:rPr>
          <w:rFonts w:ascii="Arial" w:hAnsi="Arial" w:cs="Arial"/>
          <w:b/>
        </w:rPr>
      </w:pPr>
      <w:r w:rsidRPr="00CE1879">
        <w:rPr>
          <w:rFonts w:ascii="Arial" w:hAnsi="Arial" w:cs="Arial"/>
          <w:b/>
        </w:rPr>
        <w:t>Change and innovation</w:t>
      </w:r>
    </w:p>
    <w:p w:rsidR="0047778E"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47778E" w:rsidRPr="00CE1879">
        <w:rPr>
          <w:rFonts w:ascii="Arial" w:hAnsi="Arial" w:cs="Arial"/>
        </w:rPr>
        <w:t>: 71% (medium)</w:t>
      </w:r>
    </w:p>
    <w:p w:rsidR="0047778E"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47778E" w:rsidRPr="00CE1879">
        <w:rPr>
          <w:rFonts w:ascii="Arial" w:hAnsi="Arial" w:cs="Arial"/>
        </w:rPr>
        <w:t>: 0% (medium)</w:t>
      </w:r>
    </w:p>
    <w:p w:rsidR="0047778E"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47778E" w:rsidRPr="00CE1879">
        <w:rPr>
          <w:rFonts w:ascii="Arial" w:hAnsi="Arial" w:cs="Arial"/>
        </w:rPr>
        <w:t xml:space="preserve">: + 13% (high) </w:t>
      </w:r>
    </w:p>
    <w:p w:rsidR="0047778E" w:rsidRPr="00CE1879" w:rsidRDefault="0047778E" w:rsidP="0072500F">
      <w:pPr>
        <w:spacing w:line="360" w:lineRule="auto"/>
        <w:ind w:left="-360"/>
        <w:rPr>
          <w:rFonts w:ascii="Arial" w:hAnsi="Arial" w:cs="Arial"/>
          <w:b/>
        </w:rPr>
      </w:pPr>
      <w:r w:rsidRPr="00CE1879">
        <w:rPr>
          <w:rFonts w:ascii="Arial" w:hAnsi="Arial" w:cs="Arial"/>
          <w:b/>
        </w:rPr>
        <w:t>Client satisfaction</w:t>
      </w:r>
    </w:p>
    <w:p w:rsidR="0047778E"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47778E" w:rsidRPr="00CE1879">
        <w:rPr>
          <w:rFonts w:ascii="Arial" w:hAnsi="Arial" w:cs="Arial"/>
        </w:rPr>
        <w:t>: 85% (high)</w:t>
      </w:r>
    </w:p>
    <w:p w:rsidR="0047778E"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47778E" w:rsidRPr="00CE1879">
        <w:rPr>
          <w:rFonts w:ascii="Arial" w:hAnsi="Arial" w:cs="Arial"/>
        </w:rPr>
        <w:t>: +1% (medium)</w:t>
      </w:r>
    </w:p>
    <w:p w:rsidR="0047778E"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47778E" w:rsidRPr="00CE1879">
        <w:rPr>
          <w:rFonts w:ascii="Arial" w:hAnsi="Arial" w:cs="Arial"/>
        </w:rPr>
        <w:t xml:space="preserve">: + 12% (high) </w:t>
      </w:r>
    </w:p>
    <w:p w:rsidR="00AE4DBD" w:rsidRPr="00CE1879" w:rsidRDefault="00AE4DBD" w:rsidP="0072500F">
      <w:pPr>
        <w:spacing w:line="360" w:lineRule="auto"/>
        <w:ind w:left="-360"/>
        <w:rPr>
          <w:rFonts w:ascii="Arial" w:hAnsi="Arial" w:cs="Arial"/>
          <w:b/>
        </w:rPr>
      </w:pPr>
      <w:r w:rsidRPr="00CE1879">
        <w:rPr>
          <w:rFonts w:ascii="Arial" w:hAnsi="Arial" w:cs="Arial"/>
          <w:b/>
        </w:rPr>
        <w:t>PCA readiness</w:t>
      </w:r>
    </w:p>
    <w:p w:rsidR="00AE4DBD"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E4DBD" w:rsidRPr="00CE1879">
        <w:rPr>
          <w:rFonts w:ascii="Arial" w:hAnsi="Arial" w:cs="Arial"/>
        </w:rPr>
        <w:t>: 78% (medium)</w:t>
      </w:r>
    </w:p>
    <w:p w:rsidR="00AE4DBD"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E4DBD" w:rsidRPr="00CE1879">
        <w:rPr>
          <w:rFonts w:ascii="Arial" w:hAnsi="Arial" w:cs="Arial"/>
        </w:rPr>
        <w:t>: +2% (medium)</w:t>
      </w:r>
    </w:p>
    <w:p w:rsidR="00AE4DBD" w:rsidRPr="00CE1879" w:rsidRDefault="00AE4DBD" w:rsidP="0072500F">
      <w:pPr>
        <w:spacing w:line="360" w:lineRule="auto"/>
        <w:ind w:left="-360"/>
        <w:rPr>
          <w:rFonts w:ascii="Arial" w:hAnsi="Arial" w:cs="Arial"/>
          <w:b/>
        </w:rPr>
      </w:pPr>
      <w:r w:rsidRPr="00CE1879">
        <w:rPr>
          <w:rFonts w:ascii="Arial" w:hAnsi="Arial" w:cs="Arial"/>
          <w:b/>
        </w:rPr>
        <w:t>PCA awareness</w:t>
      </w:r>
    </w:p>
    <w:p w:rsidR="00AE4DBD"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E4DBD" w:rsidRPr="00CE1879">
        <w:rPr>
          <w:rFonts w:ascii="Arial" w:hAnsi="Arial" w:cs="Arial"/>
        </w:rPr>
        <w:t>: 77% (medium)</w:t>
      </w:r>
    </w:p>
    <w:p w:rsidR="00AE4DBD"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E4DBD" w:rsidRPr="00CE1879">
        <w:rPr>
          <w:rFonts w:ascii="Arial" w:hAnsi="Arial" w:cs="Arial"/>
        </w:rPr>
        <w:t>: +4% (medium)</w:t>
      </w:r>
    </w:p>
    <w:p w:rsidR="00AE4DBD" w:rsidRPr="00CE1879" w:rsidRDefault="00AE4DBD" w:rsidP="0072500F">
      <w:pPr>
        <w:spacing w:line="360" w:lineRule="auto"/>
        <w:ind w:left="-360"/>
        <w:rPr>
          <w:rFonts w:ascii="Arial" w:hAnsi="Arial" w:cs="Arial"/>
          <w:b/>
        </w:rPr>
      </w:pPr>
      <w:r w:rsidRPr="00CE1879">
        <w:rPr>
          <w:rFonts w:ascii="Arial" w:hAnsi="Arial" w:cs="Arial"/>
          <w:b/>
        </w:rPr>
        <w:t>PCA Commitment</w:t>
      </w:r>
    </w:p>
    <w:p w:rsidR="00AE4DBD"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E4DBD" w:rsidRPr="00CE1879">
        <w:rPr>
          <w:rFonts w:ascii="Arial" w:hAnsi="Arial" w:cs="Arial"/>
        </w:rPr>
        <w:t>: 74% (medium)</w:t>
      </w:r>
    </w:p>
    <w:p w:rsidR="00AE4DBD"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E4DBD" w:rsidRPr="00CE1879">
        <w:rPr>
          <w:rFonts w:ascii="Arial" w:hAnsi="Arial" w:cs="Arial"/>
        </w:rPr>
        <w:t>: +1% (medium)</w:t>
      </w:r>
    </w:p>
    <w:p w:rsidR="00AE4DBD" w:rsidRPr="00CE1879" w:rsidRDefault="00650F38" w:rsidP="0072500F">
      <w:pPr>
        <w:spacing w:line="360" w:lineRule="auto"/>
        <w:ind w:left="-360"/>
        <w:rPr>
          <w:rFonts w:ascii="Arial" w:hAnsi="Arial" w:cs="Arial"/>
          <w:b/>
        </w:rPr>
      </w:pPr>
      <w:r w:rsidRPr="00CE1879">
        <w:rPr>
          <w:rFonts w:ascii="Arial" w:hAnsi="Arial" w:cs="Arial"/>
          <w:b/>
        </w:rPr>
        <w:t>PCA effectiveness</w:t>
      </w:r>
    </w:p>
    <w:p w:rsidR="00AE4DBD"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E4DBD" w:rsidRPr="00CE1879">
        <w:rPr>
          <w:rFonts w:ascii="Arial" w:hAnsi="Arial" w:cs="Arial"/>
        </w:rPr>
        <w:t xml:space="preserve">: </w:t>
      </w:r>
      <w:r w:rsidR="00650F38" w:rsidRPr="00CE1879">
        <w:rPr>
          <w:rFonts w:ascii="Arial" w:hAnsi="Arial" w:cs="Arial"/>
        </w:rPr>
        <w:t>83</w:t>
      </w:r>
      <w:r w:rsidR="00AE4DBD" w:rsidRPr="00CE1879">
        <w:rPr>
          <w:rFonts w:ascii="Arial" w:hAnsi="Arial" w:cs="Arial"/>
        </w:rPr>
        <w:t>% (high)</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E4DBD" w:rsidRPr="00CE1879">
        <w:rPr>
          <w:rFonts w:ascii="Arial" w:hAnsi="Arial" w:cs="Arial"/>
        </w:rPr>
        <w:t>: 0% (medium)</w:t>
      </w:r>
    </w:p>
    <w:p w:rsidR="00FF4B32" w:rsidRPr="00CE1879" w:rsidRDefault="00FF4B32" w:rsidP="0072500F">
      <w:pPr>
        <w:spacing w:line="360" w:lineRule="auto"/>
        <w:ind w:left="-360"/>
        <w:rPr>
          <w:rFonts w:ascii="Arial" w:hAnsi="Arial" w:cs="Arial"/>
          <w:b/>
          <w:sz w:val="36"/>
          <w:szCs w:val="36"/>
        </w:rPr>
      </w:pPr>
      <w:r w:rsidRPr="00CE1879">
        <w:rPr>
          <w:rFonts w:ascii="Arial" w:hAnsi="Arial" w:cs="Arial"/>
          <w:b/>
          <w:sz w:val="36"/>
          <w:szCs w:val="36"/>
        </w:rPr>
        <w:t>Scale Scores</w:t>
      </w:r>
    </w:p>
    <w:p w:rsidR="00FF4B32" w:rsidRPr="00CE1879" w:rsidRDefault="00FF4B32" w:rsidP="0072500F">
      <w:pPr>
        <w:spacing w:line="360" w:lineRule="auto"/>
        <w:ind w:left="-360"/>
        <w:rPr>
          <w:rFonts w:ascii="Arial" w:hAnsi="Arial" w:cs="Arial"/>
          <w:b/>
        </w:rPr>
      </w:pPr>
      <w:r w:rsidRPr="00CE1879">
        <w:rPr>
          <w:rFonts w:ascii="Arial" w:hAnsi="Arial" w:cs="Arial"/>
          <w:b/>
        </w:rPr>
        <w:t>Organisation direction</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FF4B32" w:rsidRPr="00CE1879">
        <w:rPr>
          <w:rFonts w:ascii="Arial" w:hAnsi="Arial" w:cs="Arial"/>
        </w:rPr>
        <w:t>: 77% (medium)</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FF4B32" w:rsidRPr="00CE1879">
        <w:rPr>
          <w:rFonts w:ascii="Arial" w:hAnsi="Arial" w:cs="Arial"/>
        </w:rPr>
        <w:t>: +1% (medium)</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FF4B32" w:rsidRPr="00CE1879">
        <w:rPr>
          <w:rFonts w:ascii="Arial" w:hAnsi="Arial" w:cs="Arial"/>
        </w:rPr>
        <w:t>: +16% (high)</w:t>
      </w:r>
    </w:p>
    <w:p w:rsidR="00FF4B32" w:rsidRPr="00CE1879" w:rsidRDefault="00FF4B32" w:rsidP="0072500F">
      <w:pPr>
        <w:spacing w:line="360" w:lineRule="auto"/>
        <w:ind w:left="-360"/>
        <w:rPr>
          <w:rFonts w:ascii="Arial" w:hAnsi="Arial" w:cs="Arial"/>
          <w:b/>
        </w:rPr>
      </w:pPr>
      <w:r w:rsidRPr="00CE1879">
        <w:rPr>
          <w:rFonts w:ascii="Arial" w:hAnsi="Arial" w:cs="Arial"/>
          <w:b/>
        </w:rPr>
        <w:t>Results focus</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FF4B32" w:rsidRPr="00CE1879">
        <w:rPr>
          <w:rFonts w:ascii="Arial" w:hAnsi="Arial" w:cs="Arial"/>
        </w:rPr>
        <w:t>: 88% (high)</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FF4B32" w:rsidRPr="00CE1879">
        <w:rPr>
          <w:rFonts w:ascii="Arial" w:hAnsi="Arial" w:cs="Arial"/>
        </w:rPr>
        <w:t>: +1% (medium)</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FF4B32" w:rsidRPr="00CE1879">
        <w:rPr>
          <w:rFonts w:ascii="Arial" w:hAnsi="Arial" w:cs="Arial"/>
        </w:rPr>
        <w:t>: +10% (high)</w:t>
      </w:r>
    </w:p>
    <w:p w:rsidR="00FF4B32" w:rsidRPr="00CE1879" w:rsidRDefault="00FF4B32" w:rsidP="0072500F">
      <w:pPr>
        <w:spacing w:line="360" w:lineRule="auto"/>
        <w:ind w:left="-360"/>
        <w:rPr>
          <w:rFonts w:ascii="Arial" w:hAnsi="Arial" w:cs="Arial"/>
          <w:b/>
        </w:rPr>
      </w:pPr>
      <w:r w:rsidRPr="00CE1879">
        <w:rPr>
          <w:rFonts w:ascii="Arial" w:hAnsi="Arial" w:cs="Arial"/>
          <w:b/>
        </w:rPr>
        <w:t>Mission and values</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FF4B32" w:rsidRPr="00CE1879">
        <w:rPr>
          <w:rFonts w:ascii="Arial" w:hAnsi="Arial" w:cs="Arial"/>
        </w:rPr>
        <w:t>: 92% (high)</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FF4B32" w:rsidRPr="00CE1879">
        <w:rPr>
          <w:rFonts w:ascii="Arial" w:hAnsi="Arial" w:cs="Arial"/>
        </w:rPr>
        <w:t>: 0% (medium)</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FF4B32" w:rsidRPr="00CE1879">
        <w:rPr>
          <w:rFonts w:ascii="Arial" w:hAnsi="Arial" w:cs="Arial"/>
        </w:rPr>
        <w:t>: +19% (high)</w:t>
      </w:r>
    </w:p>
    <w:p w:rsidR="00FF4B32" w:rsidRPr="00CE1879" w:rsidRDefault="00FF4B32" w:rsidP="0072500F">
      <w:pPr>
        <w:spacing w:line="360" w:lineRule="auto"/>
        <w:ind w:left="-360"/>
        <w:rPr>
          <w:rFonts w:ascii="Arial" w:hAnsi="Arial" w:cs="Arial"/>
          <w:b/>
        </w:rPr>
      </w:pPr>
      <w:r w:rsidRPr="00CE1879">
        <w:rPr>
          <w:rFonts w:ascii="Arial" w:hAnsi="Arial" w:cs="Arial"/>
          <w:b/>
        </w:rPr>
        <w:t>Ethics</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FF4B32" w:rsidRPr="00CE1879">
        <w:rPr>
          <w:rFonts w:ascii="Arial" w:hAnsi="Arial" w:cs="Arial"/>
        </w:rPr>
        <w:t>: 85% (high)</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FF4B32" w:rsidRPr="00CE1879">
        <w:rPr>
          <w:rFonts w:ascii="Arial" w:hAnsi="Arial" w:cs="Arial"/>
        </w:rPr>
        <w:t>: +2% (medium)</w:t>
      </w:r>
    </w:p>
    <w:p w:rsidR="00FF4B32"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FF4B32" w:rsidRPr="00CE1879">
        <w:rPr>
          <w:rFonts w:ascii="Arial" w:hAnsi="Arial" w:cs="Arial"/>
        </w:rPr>
        <w:t>: +12% (high)</w:t>
      </w:r>
    </w:p>
    <w:p w:rsidR="00514E1F" w:rsidRPr="00CE1879" w:rsidRDefault="00514E1F" w:rsidP="0072500F">
      <w:pPr>
        <w:spacing w:line="360" w:lineRule="auto"/>
        <w:ind w:left="-360"/>
        <w:rPr>
          <w:rFonts w:ascii="Arial" w:hAnsi="Arial" w:cs="Arial"/>
          <w:b/>
        </w:rPr>
      </w:pPr>
      <w:r w:rsidRPr="00CE1879">
        <w:rPr>
          <w:rFonts w:ascii="Arial" w:hAnsi="Arial" w:cs="Arial"/>
          <w:b/>
        </w:rPr>
        <w:t>Role clarity</w:t>
      </w:r>
    </w:p>
    <w:p w:rsidR="00514E1F"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514E1F" w:rsidRPr="00CE1879">
        <w:rPr>
          <w:rFonts w:ascii="Arial" w:hAnsi="Arial" w:cs="Arial"/>
        </w:rPr>
        <w:t>: 94% (high)</w:t>
      </w:r>
    </w:p>
    <w:p w:rsidR="00514E1F"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514E1F" w:rsidRPr="00CE1879">
        <w:rPr>
          <w:rFonts w:ascii="Arial" w:hAnsi="Arial" w:cs="Arial"/>
        </w:rPr>
        <w:t>: +1% (medium)</w:t>
      </w:r>
    </w:p>
    <w:p w:rsidR="00514E1F"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514E1F" w:rsidRPr="00CE1879">
        <w:rPr>
          <w:rFonts w:ascii="Arial" w:hAnsi="Arial" w:cs="Arial"/>
        </w:rPr>
        <w:t>: +13% (high)</w:t>
      </w:r>
    </w:p>
    <w:p w:rsidR="007423B1" w:rsidRPr="00CE1879" w:rsidRDefault="007423B1" w:rsidP="0072500F">
      <w:pPr>
        <w:spacing w:line="360" w:lineRule="auto"/>
        <w:ind w:left="-360"/>
        <w:rPr>
          <w:rFonts w:ascii="Arial" w:hAnsi="Arial" w:cs="Arial"/>
          <w:b/>
        </w:rPr>
      </w:pPr>
      <w:r w:rsidRPr="00CE1879">
        <w:rPr>
          <w:rFonts w:ascii="Arial" w:hAnsi="Arial" w:cs="Arial"/>
          <w:b/>
        </w:rPr>
        <w:t>Diversity</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7423B1" w:rsidRPr="00CE1879">
        <w:rPr>
          <w:rFonts w:ascii="Arial" w:hAnsi="Arial" w:cs="Arial"/>
        </w:rPr>
        <w:t>: 87% (high)</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7423B1" w:rsidRPr="00CE1879">
        <w:rPr>
          <w:rFonts w:ascii="Arial" w:hAnsi="Arial" w:cs="Arial"/>
        </w:rPr>
        <w:t>: +1% (medium)</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7423B1" w:rsidRPr="00CE1879">
        <w:rPr>
          <w:rFonts w:ascii="Arial" w:hAnsi="Arial" w:cs="Arial"/>
        </w:rPr>
        <w:t>: +7% (medium)</w:t>
      </w:r>
    </w:p>
    <w:p w:rsidR="007423B1" w:rsidRPr="00CE1879" w:rsidRDefault="007423B1" w:rsidP="0072500F">
      <w:pPr>
        <w:spacing w:line="360" w:lineRule="auto"/>
        <w:ind w:left="-360"/>
        <w:rPr>
          <w:rFonts w:ascii="Arial" w:hAnsi="Arial" w:cs="Arial"/>
          <w:b/>
        </w:rPr>
      </w:pPr>
      <w:r w:rsidRPr="00CE1879">
        <w:rPr>
          <w:rFonts w:ascii="Arial" w:hAnsi="Arial" w:cs="Arial"/>
          <w:b/>
        </w:rPr>
        <w:t>Resouces</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7423B1" w:rsidRPr="00CE1879">
        <w:rPr>
          <w:rFonts w:ascii="Arial" w:hAnsi="Arial" w:cs="Arial"/>
        </w:rPr>
        <w:t>: 76% (medium)</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7423B1" w:rsidRPr="00CE1879">
        <w:rPr>
          <w:rFonts w:ascii="Arial" w:hAnsi="Arial" w:cs="Arial"/>
        </w:rPr>
        <w:t>: +2% (medium)</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7423B1" w:rsidRPr="00CE1879">
        <w:rPr>
          <w:rFonts w:ascii="Arial" w:hAnsi="Arial" w:cs="Arial"/>
        </w:rPr>
        <w:t>: +11% (high)</w:t>
      </w:r>
    </w:p>
    <w:p w:rsidR="007423B1" w:rsidRPr="00CE1879" w:rsidRDefault="007423B1" w:rsidP="0072500F">
      <w:pPr>
        <w:spacing w:line="360" w:lineRule="auto"/>
        <w:ind w:left="-360"/>
        <w:rPr>
          <w:rFonts w:ascii="Arial" w:hAnsi="Arial" w:cs="Arial"/>
          <w:b/>
        </w:rPr>
      </w:pPr>
      <w:r w:rsidRPr="00CE1879">
        <w:rPr>
          <w:rFonts w:ascii="Arial" w:hAnsi="Arial" w:cs="Arial"/>
          <w:b/>
        </w:rPr>
        <w:t>Processes</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7423B1" w:rsidRPr="00CE1879">
        <w:rPr>
          <w:rFonts w:ascii="Arial" w:hAnsi="Arial" w:cs="Arial"/>
        </w:rPr>
        <w:t>: 79% (medium)</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7423B1" w:rsidRPr="00CE1879">
        <w:rPr>
          <w:rFonts w:ascii="Arial" w:hAnsi="Arial" w:cs="Arial"/>
        </w:rPr>
        <w:t>: +1% (medium)</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7423B1" w:rsidRPr="00CE1879">
        <w:rPr>
          <w:rFonts w:ascii="Arial" w:hAnsi="Arial" w:cs="Arial"/>
        </w:rPr>
        <w:t>: +15% (high)</w:t>
      </w:r>
    </w:p>
    <w:p w:rsidR="007423B1" w:rsidRPr="00CE1879" w:rsidRDefault="006C120D" w:rsidP="0072500F">
      <w:pPr>
        <w:spacing w:line="360" w:lineRule="auto"/>
        <w:ind w:left="-360"/>
        <w:rPr>
          <w:rFonts w:ascii="Arial" w:hAnsi="Arial" w:cs="Arial"/>
          <w:b/>
        </w:rPr>
      </w:pPr>
      <w:r w:rsidRPr="00CE1879">
        <w:rPr>
          <w:rFonts w:ascii="Arial" w:hAnsi="Arial" w:cs="Arial"/>
          <w:b/>
        </w:rPr>
        <w:t>Technology</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7423B1" w:rsidRPr="00CE1879">
        <w:rPr>
          <w:rFonts w:ascii="Arial" w:hAnsi="Arial" w:cs="Arial"/>
        </w:rPr>
        <w:t xml:space="preserve">: </w:t>
      </w:r>
      <w:r w:rsidR="007B0C6A" w:rsidRPr="00CE1879">
        <w:rPr>
          <w:rFonts w:ascii="Arial" w:hAnsi="Arial" w:cs="Arial"/>
        </w:rPr>
        <w:t>62</w:t>
      </w:r>
      <w:r w:rsidR="007423B1" w:rsidRPr="00CE1879">
        <w:rPr>
          <w:rFonts w:ascii="Arial" w:hAnsi="Arial" w:cs="Arial"/>
        </w:rPr>
        <w:t>%</w:t>
      </w:r>
      <w:r w:rsidR="007B0C6A" w:rsidRPr="00CE1879">
        <w:rPr>
          <w:rFonts w:ascii="Arial" w:hAnsi="Arial" w:cs="Arial"/>
        </w:rPr>
        <w:t xml:space="preserve"> (medium</w:t>
      </w:r>
      <w:r w:rsidR="007423B1" w:rsidRPr="00CE1879">
        <w:rPr>
          <w:rFonts w:ascii="Arial" w:hAnsi="Arial" w:cs="Arial"/>
        </w:rPr>
        <w:t>)</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7B0C6A" w:rsidRPr="00CE1879">
        <w:rPr>
          <w:rFonts w:ascii="Arial" w:hAnsi="Arial" w:cs="Arial"/>
        </w:rPr>
        <w:t>: +1</w:t>
      </w:r>
      <w:r w:rsidR="007423B1" w:rsidRPr="00CE1879">
        <w:rPr>
          <w:rFonts w:ascii="Arial" w:hAnsi="Arial" w:cs="Arial"/>
        </w:rPr>
        <w:t>% (medium)</w:t>
      </w:r>
    </w:p>
    <w:p w:rsidR="007423B1"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7423B1" w:rsidRPr="00CE1879">
        <w:rPr>
          <w:rFonts w:ascii="Arial" w:hAnsi="Arial" w:cs="Arial"/>
        </w:rPr>
        <w:t>: +2</w:t>
      </w:r>
      <w:r w:rsidR="007B0C6A" w:rsidRPr="00CE1879">
        <w:rPr>
          <w:rFonts w:ascii="Arial" w:hAnsi="Arial" w:cs="Arial"/>
        </w:rPr>
        <w:t>% (medium</w:t>
      </w:r>
      <w:r w:rsidR="007423B1" w:rsidRPr="00CE1879">
        <w:rPr>
          <w:rFonts w:ascii="Arial" w:hAnsi="Arial" w:cs="Arial"/>
        </w:rPr>
        <w:t>)</w:t>
      </w:r>
    </w:p>
    <w:p w:rsidR="001722C7" w:rsidRPr="00CE1879" w:rsidRDefault="001722C7" w:rsidP="0072500F">
      <w:pPr>
        <w:spacing w:line="360" w:lineRule="auto"/>
        <w:ind w:left="-360"/>
        <w:rPr>
          <w:rFonts w:ascii="Arial" w:hAnsi="Arial" w:cs="Arial"/>
          <w:b/>
        </w:rPr>
      </w:pPr>
      <w:r w:rsidRPr="00CE1879">
        <w:rPr>
          <w:rFonts w:ascii="Arial" w:hAnsi="Arial" w:cs="Arial"/>
          <w:b/>
        </w:rPr>
        <w:t>Safety</w:t>
      </w:r>
    </w:p>
    <w:p w:rsidR="001722C7"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1722C7" w:rsidRPr="00CE1879">
        <w:rPr>
          <w:rFonts w:ascii="Arial" w:hAnsi="Arial" w:cs="Arial"/>
        </w:rPr>
        <w:t>: 87% (high)</w:t>
      </w:r>
    </w:p>
    <w:p w:rsidR="001722C7"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1722C7" w:rsidRPr="00CE1879">
        <w:rPr>
          <w:rFonts w:ascii="Arial" w:hAnsi="Arial" w:cs="Arial"/>
        </w:rPr>
        <w:t>: +3% (medium)</w:t>
      </w:r>
    </w:p>
    <w:p w:rsidR="001722C7"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1722C7" w:rsidRPr="00CE1879">
        <w:rPr>
          <w:rFonts w:ascii="Arial" w:hAnsi="Arial" w:cs="Arial"/>
        </w:rPr>
        <w:t>: +18% (high)</w:t>
      </w:r>
    </w:p>
    <w:p w:rsidR="001722C7" w:rsidRPr="00CE1879" w:rsidRDefault="001722C7" w:rsidP="0072500F">
      <w:pPr>
        <w:spacing w:line="360" w:lineRule="auto"/>
        <w:ind w:left="-360"/>
        <w:rPr>
          <w:rFonts w:ascii="Arial" w:hAnsi="Arial" w:cs="Arial"/>
          <w:b/>
        </w:rPr>
      </w:pPr>
      <w:r w:rsidRPr="00CE1879">
        <w:rPr>
          <w:rFonts w:ascii="Arial" w:hAnsi="Arial" w:cs="Arial"/>
          <w:b/>
        </w:rPr>
        <w:t>Facilities</w:t>
      </w:r>
    </w:p>
    <w:p w:rsidR="001722C7"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1722C7" w:rsidRPr="00CE1879">
        <w:rPr>
          <w:rFonts w:ascii="Arial" w:hAnsi="Arial" w:cs="Arial"/>
        </w:rPr>
        <w:t>: 69% (medium)</w:t>
      </w:r>
    </w:p>
    <w:p w:rsidR="001722C7"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1722C7" w:rsidRPr="00CE1879">
        <w:rPr>
          <w:rFonts w:ascii="Arial" w:hAnsi="Arial" w:cs="Arial"/>
        </w:rPr>
        <w:t>: +4% (medium)</w:t>
      </w:r>
    </w:p>
    <w:p w:rsidR="001722C7"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1722C7" w:rsidRPr="00CE1879">
        <w:rPr>
          <w:rFonts w:ascii="Arial" w:hAnsi="Arial" w:cs="Arial"/>
        </w:rPr>
        <w:t>: +8% (medium)</w:t>
      </w:r>
    </w:p>
    <w:p w:rsidR="00A10B56" w:rsidRPr="00CE1879" w:rsidRDefault="00A10B56" w:rsidP="0072500F">
      <w:pPr>
        <w:spacing w:line="360" w:lineRule="auto"/>
        <w:ind w:left="-360"/>
        <w:rPr>
          <w:rFonts w:ascii="Arial" w:hAnsi="Arial" w:cs="Arial"/>
          <w:b/>
        </w:rPr>
      </w:pPr>
      <w:r w:rsidRPr="00CE1879">
        <w:rPr>
          <w:rFonts w:ascii="Arial" w:hAnsi="Arial" w:cs="Arial"/>
          <w:b/>
        </w:rPr>
        <w:t>Leadership</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10B56" w:rsidRPr="00CE1879">
        <w:rPr>
          <w:rFonts w:ascii="Arial" w:hAnsi="Arial" w:cs="Arial"/>
        </w:rPr>
        <w:t>: 71%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10B56" w:rsidRPr="00CE1879">
        <w:rPr>
          <w:rFonts w:ascii="Arial" w:hAnsi="Arial" w:cs="Arial"/>
        </w:rPr>
        <w:t>: +1%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A10B56" w:rsidRPr="00CE1879">
        <w:rPr>
          <w:rFonts w:ascii="Arial" w:hAnsi="Arial" w:cs="Arial"/>
        </w:rPr>
        <w:t>: +11% (high)</w:t>
      </w:r>
    </w:p>
    <w:p w:rsidR="00A10B56" w:rsidRPr="00CE1879" w:rsidRDefault="00A10B56" w:rsidP="0072500F">
      <w:pPr>
        <w:spacing w:line="360" w:lineRule="auto"/>
        <w:ind w:left="-360"/>
        <w:rPr>
          <w:rFonts w:ascii="Arial" w:hAnsi="Arial" w:cs="Arial"/>
          <w:b/>
        </w:rPr>
      </w:pPr>
      <w:r w:rsidRPr="00CE1879">
        <w:rPr>
          <w:rFonts w:ascii="Arial" w:hAnsi="Arial" w:cs="Arial"/>
          <w:b/>
        </w:rPr>
        <w:t>Recruitment and selection</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10B56" w:rsidRPr="00CE1879">
        <w:rPr>
          <w:rFonts w:ascii="Arial" w:hAnsi="Arial" w:cs="Arial"/>
        </w:rPr>
        <w:t>: 73%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10B56" w:rsidRPr="00CE1879">
        <w:rPr>
          <w:rFonts w:ascii="Arial" w:hAnsi="Arial" w:cs="Arial"/>
        </w:rPr>
        <w:t>: +1%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A10B56" w:rsidRPr="00CE1879">
        <w:rPr>
          <w:rFonts w:ascii="Arial" w:hAnsi="Arial" w:cs="Arial"/>
        </w:rPr>
        <w:t>: +12% (high)</w:t>
      </w:r>
    </w:p>
    <w:p w:rsidR="00A10B56" w:rsidRPr="00CE1879" w:rsidRDefault="00A10B56" w:rsidP="0072500F">
      <w:pPr>
        <w:spacing w:line="360" w:lineRule="auto"/>
        <w:ind w:left="-360"/>
        <w:rPr>
          <w:rFonts w:ascii="Arial" w:hAnsi="Arial" w:cs="Arial"/>
          <w:b/>
        </w:rPr>
      </w:pPr>
      <w:r w:rsidRPr="00CE1879">
        <w:rPr>
          <w:rFonts w:ascii="Arial" w:hAnsi="Arial" w:cs="Arial"/>
          <w:b/>
        </w:rPr>
        <w:t>Cross-unit cooperation</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10B56" w:rsidRPr="00CE1879">
        <w:rPr>
          <w:rFonts w:ascii="Arial" w:hAnsi="Arial" w:cs="Arial"/>
        </w:rPr>
        <w:t>: 54%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10B56" w:rsidRPr="00CE1879">
        <w:rPr>
          <w:rFonts w:ascii="Arial" w:hAnsi="Arial" w:cs="Arial"/>
        </w:rPr>
        <w:t>: +2%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A10B56" w:rsidRPr="00CE1879">
        <w:rPr>
          <w:rFonts w:ascii="Arial" w:hAnsi="Arial" w:cs="Arial"/>
        </w:rPr>
        <w:t>: +6% (medium)</w:t>
      </w:r>
    </w:p>
    <w:p w:rsidR="00A10B56" w:rsidRPr="00CE1879" w:rsidRDefault="00A10B56" w:rsidP="0072500F">
      <w:pPr>
        <w:spacing w:line="360" w:lineRule="auto"/>
        <w:ind w:left="-360"/>
        <w:rPr>
          <w:rFonts w:ascii="Arial" w:hAnsi="Arial" w:cs="Arial"/>
          <w:b/>
        </w:rPr>
      </w:pPr>
      <w:r w:rsidRPr="00CE1879">
        <w:rPr>
          <w:rFonts w:ascii="Arial" w:hAnsi="Arial" w:cs="Arial"/>
          <w:b/>
        </w:rPr>
        <w:t>Learning and development</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10B56" w:rsidRPr="00CE1879">
        <w:rPr>
          <w:rFonts w:ascii="Arial" w:hAnsi="Arial" w:cs="Arial"/>
        </w:rPr>
        <w:t>: 75%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10B56" w:rsidRPr="00CE1879">
        <w:rPr>
          <w:rFonts w:ascii="Arial" w:hAnsi="Arial" w:cs="Arial"/>
        </w:rPr>
        <w:t>: +1%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A10B56" w:rsidRPr="00CE1879">
        <w:rPr>
          <w:rFonts w:ascii="Arial" w:hAnsi="Arial" w:cs="Arial"/>
        </w:rPr>
        <w:t>: +15% (high)</w:t>
      </w:r>
    </w:p>
    <w:p w:rsidR="00A10B56" w:rsidRPr="00CE1879" w:rsidRDefault="00A10B56" w:rsidP="0072500F">
      <w:pPr>
        <w:spacing w:line="360" w:lineRule="auto"/>
        <w:ind w:left="-360"/>
        <w:rPr>
          <w:rFonts w:ascii="Arial" w:hAnsi="Arial" w:cs="Arial"/>
          <w:b/>
        </w:rPr>
      </w:pPr>
      <w:r w:rsidRPr="00CE1879">
        <w:rPr>
          <w:rFonts w:ascii="Arial" w:hAnsi="Arial" w:cs="Arial"/>
          <w:b/>
        </w:rPr>
        <w:t>Involvement</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10B56" w:rsidRPr="00CE1879">
        <w:rPr>
          <w:rFonts w:ascii="Arial" w:hAnsi="Arial" w:cs="Arial"/>
        </w:rPr>
        <w:t>: 66%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10B56" w:rsidRPr="00CE1879">
        <w:rPr>
          <w:rFonts w:ascii="Arial" w:hAnsi="Arial" w:cs="Arial"/>
        </w:rPr>
        <w:t>: 0%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A10B56" w:rsidRPr="00CE1879">
        <w:rPr>
          <w:rFonts w:ascii="Arial" w:hAnsi="Arial" w:cs="Arial"/>
        </w:rPr>
        <w:t>: +16% (high)</w:t>
      </w:r>
    </w:p>
    <w:p w:rsidR="00A10B56" w:rsidRPr="00CE1879" w:rsidRDefault="00A10B56" w:rsidP="0072500F">
      <w:pPr>
        <w:spacing w:line="360" w:lineRule="auto"/>
        <w:ind w:left="-360"/>
        <w:rPr>
          <w:rFonts w:ascii="Arial" w:hAnsi="Arial" w:cs="Arial"/>
          <w:b/>
        </w:rPr>
      </w:pPr>
      <w:r w:rsidRPr="00CE1879">
        <w:rPr>
          <w:rFonts w:ascii="Arial" w:hAnsi="Arial" w:cs="Arial"/>
          <w:b/>
        </w:rPr>
        <w:t>Rewards</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10B56" w:rsidRPr="00CE1879">
        <w:rPr>
          <w:rFonts w:ascii="Arial" w:hAnsi="Arial" w:cs="Arial"/>
        </w:rPr>
        <w:t>: 57%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10B56" w:rsidRPr="00CE1879">
        <w:rPr>
          <w:rFonts w:ascii="Arial" w:hAnsi="Arial" w:cs="Arial"/>
        </w:rPr>
        <w:t>: +4% (medium)</w:t>
      </w:r>
    </w:p>
    <w:p w:rsidR="00A10B56"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A10B56" w:rsidRPr="00CE1879">
        <w:rPr>
          <w:rFonts w:ascii="Arial" w:hAnsi="Arial" w:cs="Arial"/>
        </w:rPr>
        <w:t>: +4% (medium)</w:t>
      </w:r>
    </w:p>
    <w:p w:rsidR="007064F9" w:rsidRPr="00CE1879" w:rsidRDefault="007064F9" w:rsidP="0072500F">
      <w:pPr>
        <w:spacing w:line="360" w:lineRule="auto"/>
        <w:ind w:left="-360"/>
        <w:rPr>
          <w:rFonts w:ascii="Arial" w:hAnsi="Arial" w:cs="Arial"/>
          <w:b/>
        </w:rPr>
      </w:pPr>
      <w:r w:rsidRPr="00CE1879">
        <w:rPr>
          <w:rFonts w:ascii="Arial" w:hAnsi="Arial" w:cs="Arial"/>
          <w:b/>
        </w:rPr>
        <w:t>Recognition</w:t>
      </w:r>
    </w:p>
    <w:p w:rsidR="007064F9"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7064F9" w:rsidRPr="00CE1879">
        <w:rPr>
          <w:rFonts w:ascii="Arial" w:hAnsi="Arial" w:cs="Arial"/>
        </w:rPr>
        <w:t>: 69% (medium)</w:t>
      </w:r>
    </w:p>
    <w:p w:rsidR="007064F9"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7064F9" w:rsidRPr="00CE1879">
        <w:rPr>
          <w:rFonts w:ascii="Arial" w:hAnsi="Arial" w:cs="Arial"/>
        </w:rPr>
        <w:t>: +2% (medium)</w:t>
      </w:r>
    </w:p>
    <w:p w:rsidR="007064F9" w:rsidRPr="00CE1879" w:rsidRDefault="007064F9" w:rsidP="0072500F">
      <w:pPr>
        <w:spacing w:line="360" w:lineRule="auto"/>
        <w:ind w:left="-360"/>
        <w:rPr>
          <w:rFonts w:ascii="Arial" w:hAnsi="Arial" w:cs="Arial"/>
          <w:b/>
        </w:rPr>
      </w:pPr>
      <w:r w:rsidRPr="00CE1879">
        <w:rPr>
          <w:rFonts w:ascii="Arial" w:hAnsi="Arial" w:cs="Arial"/>
          <w:b/>
        </w:rPr>
        <w:t>Performance Appraisal</w:t>
      </w:r>
    </w:p>
    <w:p w:rsidR="007064F9"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7064F9" w:rsidRPr="00CE1879">
        <w:rPr>
          <w:rFonts w:ascii="Arial" w:hAnsi="Arial" w:cs="Arial"/>
        </w:rPr>
        <w:t>: 71% (medium)</w:t>
      </w:r>
    </w:p>
    <w:p w:rsidR="007064F9"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3B3571" w:rsidRPr="00CE1879">
        <w:rPr>
          <w:rFonts w:ascii="Arial" w:hAnsi="Arial" w:cs="Arial"/>
        </w:rPr>
        <w:t>: -1</w:t>
      </w:r>
      <w:r w:rsidR="007064F9" w:rsidRPr="00CE1879">
        <w:rPr>
          <w:rFonts w:ascii="Arial" w:hAnsi="Arial" w:cs="Arial"/>
        </w:rPr>
        <w:t>% (medium)</w:t>
      </w:r>
    </w:p>
    <w:p w:rsidR="007064F9"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7064F9" w:rsidRPr="00CE1879">
        <w:rPr>
          <w:rFonts w:ascii="Arial" w:hAnsi="Arial" w:cs="Arial"/>
        </w:rPr>
        <w:t>: +1</w:t>
      </w:r>
      <w:r w:rsidR="003B3571" w:rsidRPr="00CE1879">
        <w:rPr>
          <w:rFonts w:ascii="Arial" w:hAnsi="Arial" w:cs="Arial"/>
        </w:rPr>
        <w:t>5</w:t>
      </w:r>
      <w:r w:rsidR="007064F9" w:rsidRPr="00CE1879">
        <w:rPr>
          <w:rFonts w:ascii="Arial" w:hAnsi="Arial" w:cs="Arial"/>
        </w:rPr>
        <w:t>% (high)</w:t>
      </w:r>
    </w:p>
    <w:p w:rsidR="0083407F" w:rsidRPr="00CE1879" w:rsidRDefault="0083407F" w:rsidP="0072500F">
      <w:pPr>
        <w:spacing w:line="360" w:lineRule="auto"/>
        <w:ind w:left="-360"/>
        <w:rPr>
          <w:rFonts w:ascii="Arial" w:hAnsi="Arial" w:cs="Arial"/>
          <w:b/>
        </w:rPr>
      </w:pPr>
      <w:r w:rsidRPr="00CE1879">
        <w:rPr>
          <w:rFonts w:ascii="Arial" w:hAnsi="Arial" w:cs="Arial"/>
          <w:b/>
        </w:rPr>
        <w:t>Supervision</w:t>
      </w:r>
    </w:p>
    <w:p w:rsidR="0083407F"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83407F" w:rsidRPr="00CE1879">
        <w:rPr>
          <w:rFonts w:ascii="Arial" w:hAnsi="Arial" w:cs="Arial"/>
        </w:rPr>
        <w:t>: 82% (high)</w:t>
      </w:r>
    </w:p>
    <w:p w:rsidR="0083407F"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83407F" w:rsidRPr="00CE1879">
        <w:rPr>
          <w:rFonts w:ascii="Arial" w:hAnsi="Arial" w:cs="Arial"/>
        </w:rPr>
        <w:t>: 0% (medium)</w:t>
      </w:r>
    </w:p>
    <w:p w:rsidR="00351884"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83407F" w:rsidRPr="00CE1879">
        <w:rPr>
          <w:rFonts w:ascii="Arial" w:hAnsi="Arial" w:cs="Arial"/>
        </w:rPr>
        <w:t>: +9% (medium</w:t>
      </w:r>
    </w:p>
    <w:p w:rsidR="00351884" w:rsidRPr="00CE1879" w:rsidRDefault="00351884" w:rsidP="0072500F">
      <w:pPr>
        <w:spacing w:line="360" w:lineRule="auto"/>
        <w:ind w:left="-360"/>
        <w:rPr>
          <w:rFonts w:ascii="Arial" w:hAnsi="Arial" w:cs="Arial"/>
          <w:b/>
        </w:rPr>
      </w:pPr>
      <w:r w:rsidRPr="00CE1879">
        <w:rPr>
          <w:rFonts w:ascii="Arial" w:hAnsi="Arial" w:cs="Arial"/>
          <w:b/>
        </w:rPr>
        <w:t>Career opportunities</w:t>
      </w:r>
    </w:p>
    <w:p w:rsidR="00351884"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351884" w:rsidRPr="00CE1879">
        <w:rPr>
          <w:rFonts w:ascii="Arial" w:hAnsi="Arial" w:cs="Arial"/>
        </w:rPr>
        <w:t>: 55% (medium)</w:t>
      </w:r>
    </w:p>
    <w:p w:rsidR="00351884"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351884" w:rsidRPr="00CE1879">
        <w:rPr>
          <w:rFonts w:ascii="Arial" w:hAnsi="Arial" w:cs="Arial"/>
        </w:rPr>
        <w:t>: +1% (medium)</w:t>
      </w:r>
    </w:p>
    <w:p w:rsidR="00351884"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351884" w:rsidRPr="00CE1879">
        <w:rPr>
          <w:rFonts w:ascii="Arial" w:hAnsi="Arial" w:cs="Arial"/>
        </w:rPr>
        <w:t>: +10% (high)</w:t>
      </w:r>
    </w:p>
    <w:p w:rsidR="00F832B2" w:rsidRPr="00CE1879" w:rsidRDefault="00F832B2" w:rsidP="0072500F">
      <w:pPr>
        <w:spacing w:line="360" w:lineRule="auto"/>
        <w:ind w:left="-360"/>
        <w:rPr>
          <w:rFonts w:ascii="Arial" w:hAnsi="Arial" w:cs="Arial"/>
          <w:b/>
        </w:rPr>
      </w:pPr>
      <w:r w:rsidRPr="00CE1879">
        <w:rPr>
          <w:rFonts w:ascii="Arial" w:hAnsi="Arial" w:cs="Arial"/>
          <w:b/>
        </w:rPr>
        <w:t>Motivation and initiative</w:t>
      </w:r>
    </w:p>
    <w:p w:rsidR="00F832B2"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F832B2" w:rsidRPr="00CE1879">
        <w:rPr>
          <w:rFonts w:ascii="Arial" w:hAnsi="Arial" w:cs="Arial"/>
        </w:rPr>
        <w:t>: 83% (high)</w:t>
      </w:r>
    </w:p>
    <w:p w:rsidR="00F832B2"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F832B2" w:rsidRPr="00CE1879">
        <w:rPr>
          <w:rFonts w:ascii="Arial" w:hAnsi="Arial" w:cs="Arial"/>
        </w:rPr>
        <w:t>: +3% (medium)</w:t>
      </w:r>
    </w:p>
    <w:p w:rsidR="00F832B2"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F832B2" w:rsidRPr="00CE1879">
        <w:rPr>
          <w:rFonts w:ascii="Arial" w:hAnsi="Arial" w:cs="Arial"/>
        </w:rPr>
        <w:t>: +16% (high)</w:t>
      </w:r>
    </w:p>
    <w:p w:rsidR="00E52BA9" w:rsidRPr="00CE1879" w:rsidRDefault="00E52BA9" w:rsidP="0072500F">
      <w:pPr>
        <w:spacing w:line="360" w:lineRule="auto"/>
        <w:ind w:left="-360"/>
        <w:rPr>
          <w:rFonts w:ascii="Arial" w:hAnsi="Arial" w:cs="Arial"/>
          <w:b/>
        </w:rPr>
      </w:pPr>
      <w:r w:rsidRPr="00CE1879">
        <w:rPr>
          <w:rFonts w:ascii="Arial" w:hAnsi="Arial" w:cs="Arial"/>
          <w:b/>
        </w:rPr>
        <w:t>Talent</w:t>
      </w:r>
    </w:p>
    <w:p w:rsidR="00E52BA9"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E52BA9" w:rsidRPr="00CE1879">
        <w:rPr>
          <w:rFonts w:ascii="Arial" w:hAnsi="Arial" w:cs="Arial"/>
        </w:rPr>
        <w:t>: 86% (high)</w:t>
      </w:r>
    </w:p>
    <w:p w:rsidR="00E52BA9"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E52BA9" w:rsidRPr="00CE1879">
        <w:rPr>
          <w:rFonts w:ascii="Arial" w:hAnsi="Arial" w:cs="Arial"/>
        </w:rPr>
        <w:t>: +3% (medium)</w:t>
      </w:r>
    </w:p>
    <w:p w:rsidR="00E52BA9"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E52BA9" w:rsidRPr="00CE1879">
        <w:rPr>
          <w:rFonts w:ascii="Arial" w:hAnsi="Arial" w:cs="Arial"/>
        </w:rPr>
        <w:t>: +12% (high)</w:t>
      </w:r>
    </w:p>
    <w:p w:rsidR="00E52BA9" w:rsidRPr="00CE1879" w:rsidRDefault="00E52BA9" w:rsidP="0072500F">
      <w:pPr>
        <w:spacing w:line="360" w:lineRule="auto"/>
        <w:ind w:left="-360"/>
        <w:rPr>
          <w:rFonts w:ascii="Arial" w:hAnsi="Arial" w:cs="Arial"/>
          <w:b/>
        </w:rPr>
      </w:pPr>
      <w:r w:rsidRPr="00CE1879">
        <w:rPr>
          <w:rFonts w:ascii="Arial" w:hAnsi="Arial" w:cs="Arial"/>
          <w:b/>
        </w:rPr>
        <w:t>Teamwork</w:t>
      </w:r>
    </w:p>
    <w:p w:rsidR="00E52BA9"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E52BA9" w:rsidRPr="00CE1879">
        <w:rPr>
          <w:rFonts w:ascii="Arial" w:hAnsi="Arial" w:cs="Arial"/>
        </w:rPr>
        <w:t>: 87% (high)</w:t>
      </w:r>
    </w:p>
    <w:p w:rsidR="00E52BA9"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E52BA9" w:rsidRPr="00CE1879">
        <w:rPr>
          <w:rFonts w:ascii="Arial" w:hAnsi="Arial" w:cs="Arial"/>
        </w:rPr>
        <w:t>: +3% (medium)</w:t>
      </w:r>
    </w:p>
    <w:p w:rsidR="00E52BA9"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E52BA9" w:rsidRPr="00CE1879">
        <w:rPr>
          <w:rFonts w:ascii="Arial" w:hAnsi="Arial" w:cs="Arial"/>
        </w:rPr>
        <w:t>: +8% (medium)</w:t>
      </w:r>
    </w:p>
    <w:p w:rsidR="00A27236" w:rsidRPr="00CE1879" w:rsidRDefault="00A27236" w:rsidP="0072500F">
      <w:pPr>
        <w:spacing w:line="360" w:lineRule="auto"/>
        <w:ind w:left="-360"/>
        <w:rPr>
          <w:rFonts w:ascii="Arial" w:hAnsi="Arial" w:cs="Arial"/>
          <w:b/>
        </w:rPr>
      </w:pPr>
      <w:r w:rsidRPr="00CE1879">
        <w:rPr>
          <w:rFonts w:ascii="Arial" w:hAnsi="Arial" w:cs="Arial"/>
          <w:b/>
        </w:rPr>
        <w:t>Wellness</w:t>
      </w:r>
    </w:p>
    <w:p w:rsidR="00A27236"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27236" w:rsidRPr="00CE1879">
        <w:rPr>
          <w:rFonts w:ascii="Arial" w:hAnsi="Arial" w:cs="Arial"/>
        </w:rPr>
        <w:t>: 73% (medium)</w:t>
      </w:r>
    </w:p>
    <w:p w:rsidR="00A27236"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27236" w:rsidRPr="00CE1879">
        <w:rPr>
          <w:rFonts w:ascii="Arial" w:hAnsi="Arial" w:cs="Arial"/>
        </w:rPr>
        <w:t>: +1% (medium)</w:t>
      </w:r>
    </w:p>
    <w:p w:rsidR="00A27236"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A27236" w:rsidRPr="00CE1879">
        <w:rPr>
          <w:rFonts w:ascii="Arial" w:hAnsi="Arial" w:cs="Arial"/>
        </w:rPr>
        <w:t>: +6% (medium)</w:t>
      </w:r>
    </w:p>
    <w:p w:rsidR="00A04E02" w:rsidRPr="00CE1879" w:rsidRDefault="00A04E02" w:rsidP="0072500F">
      <w:pPr>
        <w:spacing w:line="360" w:lineRule="auto"/>
        <w:ind w:left="-360"/>
        <w:rPr>
          <w:rFonts w:ascii="Arial" w:hAnsi="Arial" w:cs="Arial"/>
          <w:b/>
        </w:rPr>
      </w:pPr>
      <w:r w:rsidRPr="00CE1879">
        <w:rPr>
          <w:rFonts w:ascii="Arial" w:hAnsi="Arial" w:cs="Arial"/>
          <w:b/>
        </w:rPr>
        <w:t>Work/life balance</w:t>
      </w:r>
    </w:p>
    <w:p w:rsidR="00A04E02"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A04E02" w:rsidRPr="00CE1879">
        <w:rPr>
          <w:rFonts w:ascii="Arial" w:hAnsi="Arial" w:cs="Arial"/>
        </w:rPr>
        <w:t>: 82% (high)</w:t>
      </w:r>
    </w:p>
    <w:p w:rsidR="00A04E02"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A04E02" w:rsidRPr="00CE1879">
        <w:rPr>
          <w:rFonts w:ascii="Arial" w:hAnsi="Arial" w:cs="Arial"/>
        </w:rPr>
        <w:t>: 0% (medium)</w:t>
      </w:r>
    </w:p>
    <w:p w:rsidR="00A04E02"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A04E02" w:rsidRPr="00CE1879">
        <w:rPr>
          <w:rFonts w:ascii="Arial" w:hAnsi="Arial" w:cs="Arial"/>
        </w:rPr>
        <w:t>: +9% (medium)</w:t>
      </w:r>
    </w:p>
    <w:p w:rsidR="000C2E65" w:rsidRPr="00CE1879" w:rsidRDefault="000C2E65" w:rsidP="0072500F">
      <w:pPr>
        <w:spacing w:line="360" w:lineRule="auto"/>
        <w:ind w:left="-360"/>
        <w:rPr>
          <w:rFonts w:ascii="Arial" w:hAnsi="Arial" w:cs="Arial"/>
          <w:b/>
        </w:rPr>
      </w:pPr>
      <w:r w:rsidRPr="00CE1879">
        <w:rPr>
          <w:rFonts w:ascii="Arial" w:hAnsi="Arial" w:cs="Arial"/>
          <w:b/>
        </w:rPr>
        <w:t>Flexibility</w:t>
      </w:r>
    </w:p>
    <w:p w:rsidR="000C2E65" w:rsidRPr="00CE1879" w:rsidRDefault="00C50611" w:rsidP="0072500F">
      <w:pPr>
        <w:pStyle w:val="ListParagraph"/>
        <w:numPr>
          <w:ilvl w:val="0"/>
          <w:numId w:val="31"/>
        </w:numPr>
        <w:spacing w:line="360" w:lineRule="auto"/>
        <w:rPr>
          <w:rFonts w:ascii="Arial" w:hAnsi="Arial" w:cs="Arial"/>
        </w:rPr>
      </w:pPr>
      <w:r>
        <w:rPr>
          <w:rFonts w:ascii="Arial" w:hAnsi="Arial" w:cs="Arial"/>
        </w:rPr>
        <w:t>Round 2 percentage favourable</w:t>
      </w:r>
      <w:r w:rsidR="000C2E65" w:rsidRPr="00CE1879">
        <w:rPr>
          <w:rFonts w:ascii="Arial" w:hAnsi="Arial" w:cs="Arial"/>
        </w:rPr>
        <w:t>: 77% (medium)</w:t>
      </w:r>
    </w:p>
    <w:p w:rsidR="000C2E65" w:rsidRPr="00CE1879" w:rsidRDefault="00C50611" w:rsidP="0072500F">
      <w:pPr>
        <w:pStyle w:val="ListParagraph"/>
        <w:numPr>
          <w:ilvl w:val="0"/>
          <w:numId w:val="31"/>
        </w:numPr>
        <w:spacing w:line="360" w:lineRule="auto"/>
        <w:rPr>
          <w:rFonts w:ascii="Arial" w:hAnsi="Arial" w:cs="Arial"/>
        </w:rPr>
      </w:pPr>
      <w:r>
        <w:rPr>
          <w:rFonts w:ascii="Arial" w:hAnsi="Arial" w:cs="Arial"/>
        </w:rPr>
        <w:t>Percentage difference from round 1</w:t>
      </w:r>
      <w:r w:rsidR="000C2E65" w:rsidRPr="00CE1879">
        <w:rPr>
          <w:rFonts w:ascii="Arial" w:hAnsi="Arial" w:cs="Arial"/>
        </w:rPr>
        <w:t>: 0% (medium)</w:t>
      </w:r>
    </w:p>
    <w:p w:rsidR="000C2E65" w:rsidRPr="00CE1879" w:rsidRDefault="00C50611" w:rsidP="0072500F">
      <w:pPr>
        <w:pStyle w:val="ListParagraph"/>
        <w:numPr>
          <w:ilvl w:val="0"/>
          <w:numId w:val="31"/>
        </w:numPr>
        <w:spacing w:line="360" w:lineRule="auto"/>
        <w:rPr>
          <w:rFonts w:ascii="Arial" w:hAnsi="Arial" w:cs="Arial"/>
        </w:rPr>
      </w:pPr>
      <w:r>
        <w:rPr>
          <w:rFonts w:ascii="Arial" w:hAnsi="Arial" w:cs="Arial"/>
        </w:rPr>
        <w:t>Benchmark difference to all-industries</w:t>
      </w:r>
      <w:r w:rsidR="000C2E65" w:rsidRPr="00CE1879">
        <w:rPr>
          <w:rFonts w:ascii="Arial" w:hAnsi="Arial" w:cs="Arial"/>
        </w:rPr>
        <w:t>: +10% (high)</w:t>
      </w:r>
    </w:p>
    <w:p w:rsidR="000C2E65" w:rsidRPr="00CE1879" w:rsidRDefault="000C2E65" w:rsidP="0072500F">
      <w:pPr>
        <w:spacing w:line="360" w:lineRule="auto"/>
        <w:rPr>
          <w:rFonts w:ascii="Arial" w:hAnsi="Arial" w:cs="Arial"/>
        </w:rPr>
      </w:pPr>
    </w:p>
    <w:p w:rsidR="00A9678D" w:rsidRPr="00CE1879" w:rsidRDefault="00A9678D" w:rsidP="00F00E67">
      <w:pPr>
        <w:spacing w:line="360" w:lineRule="auto"/>
        <w:contextualSpacing/>
        <w:rPr>
          <w:rFonts w:ascii="Arial" w:hAnsi="Arial" w:cs="Arial"/>
        </w:rPr>
      </w:pPr>
      <w:r w:rsidRPr="00CE1879">
        <w:rPr>
          <w:rFonts w:ascii="Arial" w:hAnsi="Arial" w:cs="Arial"/>
          <w:b/>
        </w:rPr>
        <w:t xml:space="preserve">Appendix </w:t>
      </w:r>
      <w:r w:rsidR="00B040E7" w:rsidRPr="00CE1879">
        <w:rPr>
          <w:rFonts w:ascii="Arial" w:hAnsi="Arial" w:cs="Arial"/>
          <w:b/>
        </w:rPr>
        <w:t>D</w:t>
      </w:r>
      <w:r w:rsidRPr="00CE1879">
        <w:rPr>
          <w:rFonts w:ascii="Arial" w:hAnsi="Arial" w:cs="Arial"/>
          <w:b/>
        </w:rPr>
        <w:t xml:space="preserve">: </w:t>
      </w:r>
      <w:r w:rsidR="009D3C05" w:rsidRPr="00CE1879">
        <w:rPr>
          <w:rFonts w:ascii="Arial" w:hAnsi="Arial" w:cs="Arial"/>
          <w:b/>
        </w:rPr>
        <w:t>Note on recent and relevant research on employee engagement in the Australian disability sector</w:t>
      </w:r>
      <w:r w:rsidRPr="00CE1879">
        <w:rPr>
          <w:rFonts w:ascii="Arial" w:hAnsi="Arial" w:cs="Arial"/>
          <w:b/>
        </w:rPr>
        <w:t xml:space="preserve"> </w:t>
      </w:r>
    </w:p>
    <w:p w:rsidR="00A9678D" w:rsidRPr="00CE1879" w:rsidRDefault="00A9678D" w:rsidP="00F00E67">
      <w:pPr>
        <w:spacing w:line="360" w:lineRule="auto"/>
        <w:ind w:left="360"/>
        <w:rPr>
          <w:rFonts w:ascii="Arial" w:hAnsi="Arial" w:cs="Arial"/>
        </w:rPr>
      </w:pPr>
    </w:p>
    <w:p w:rsidR="00A9678D" w:rsidRPr="00CE1879" w:rsidRDefault="00A9678D" w:rsidP="00F00E67">
      <w:pPr>
        <w:spacing w:line="360" w:lineRule="auto"/>
        <w:rPr>
          <w:rFonts w:ascii="Arial" w:hAnsi="Arial" w:cs="Arial"/>
        </w:rPr>
      </w:pPr>
      <w:r w:rsidRPr="00CE1879">
        <w:rPr>
          <w:rFonts w:ascii="Arial" w:hAnsi="Arial" w:cs="Arial"/>
        </w:rPr>
        <w:t>Employee engagement has not been widely investigated in the disability support sector, particularly in the Australian context</w:t>
      </w:r>
      <w:r w:rsidR="001C196E" w:rsidRPr="00CE1879">
        <w:rPr>
          <w:rFonts w:ascii="Arial" w:hAnsi="Arial" w:cs="Arial"/>
        </w:rPr>
        <w:t>, as it has in other sectors</w:t>
      </w:r>
      <w:r w:rsidRPr="00CE1879">
        <w:rPr>
          <w:rFonts w:ascii="Arial" w:hAnsi="Arial" w:cs="Arial"/>
        </w:rPr>
        <w:t xml:space="preserve">. </w:t>
      </w:r>
      <w:r w:rsidR="00886155" w:rsidRPr="00CE1879">
        <w:rPr>
          <w:rFonts w:ascii="Arial" w:hAnsi="Arial" w:cs="Arial"/>
        </w:rPr>
        <w:t>For example, s</w:t>
      </w:r>
      <w:r w:rsidRPr="00CE1879">
        <w:rPr>
          <w:rFonts w:ascii="Arial" w:hAnsi="Arial" w:cs="Arial"/>
        </w:rPr>
        <w:t xml:space="preserve">tudies investigating the nursing profession have been more common given the history of skill shortages and future growth in demand expected in the workforce as the population ages. With similar constraints now facing the disability support sector, </w:t>
      </w:r>
      <w:r w:rsidR="008A1536" w:rsidRPr="00CE1879">
        <w:rPr>
          <w:rFonts w:ascii="Arial" w:hAnsi="Arial" w:cs="Arial"/>
        </w:rPr>
        <w:t xml:space="preserve">developing the evidence base for what works in terms of </w:t>
      </w:r>
      <w:r w:rsidRPr="00CE1879">
        <w:rPr>
          <w:rFonts w:ascii="Arial" w:hAnsi="Arial" w:cs="Arial"/>
        </w:rPr>
        <w:t>maximis</w:t>
      </w:r>
      <w:r w:rsidR="008A1536" w:rsidRPr="00CE1879">
        <w:rPr>
          <w:rFonts w:ascii="Arial" w:hAnsi="Arial" w:cs="Arial"/>
        </w:rPr>
        <w:t xml:space="preserve">ing the </w:t>
      </w:r>
      <w:r w:rsidRPr="00CE1879">
        <w:rPr>
          <w:rFonts w:ascii="Arial" w:hAnsi="Arial" w:cs="Arial"/>
        </w:rPr>
        <w:t xml:space="preserve"> engagement, loyalty and motivation among disability support workers in Australia</w:t>
      </w:r>
      <w:r w:rsidR="008A1536" w:rsidRPr="00CE1879">
        <w:rPr>
          <w:rFonts w:ascii="Arial" w:hAnsi="Arial" w:cs="Arial"/>
        </w:rPr>
        <w:t xml:space="preserve"> remains a research priority</w:t>
      </w:r>
      <w:r w:rsidRPr="00CE1879">
        <w:rPr>
          <w:rFonts w:ascii="Arial" w:hAnsi="Arial" w:cs="Arial"/>
        </w:rPr>
        <w:t>.</w:t>
      </w:r>
    </w:p>
    <w:p w:rsidR="008018FD" w:rsidRPr="00CE1879" w:rsidRDefault="008A1536" w:rsidP="00F00E67">
      <w:pPr>
        <w:spacing w:line="360" w:lineRule="auto"/>
        <w:rPr>
          <w:rFonts w:ascii="Arial" w:hAnsi="Arial" w:cs="Arial"/>
        </w:rPr>
      </w:pPr>
      <w:r w:rsidRPr="00CE1879">
        <w:rPr>
          <w:rFonts w:ascii="Arial" w:hAnsi="Arial" w:cs="Arial"/>
        </w:rPr>
        <w:t xml:space="preserve">A small number of </w:t>
      </w:r>
      <w:r w:rsidR="00886155" w:rsidRPr="00CE1879">
        <w:rPr>
          <w:rFonts w:ascii="Arial" w:hAnsi="Arial" w:cs="Arial"/>
        </w:rPr>
        <w:t xml:space="preserve">recent </w:t>
      </w:r>
      <w:r w:rsidRPr="00CE1879">
        <w:rPr>
          <w:rFonts w:ascii="Arial" w:hAnsi="Arial" w:cs="Arial"/>
        </w:rPr>
        <w:t>studies have attempted to investigate employee engagement or satisfaction among disability support workers in Australia or adjacent sectors.</w:t>
      </w:r>
    </w:p>
    <w:p w:rsidR="00C4522C" w:rsidRPr="00CE1879" w:rsidRDefault="00C4522C" w:rsidP="0072500F">
      <w:pPr>
        <w:spacing w:line="360" w:lineRule="auto"/>
        <w:rPr>
          <w:rFonts w:ascii="Arial" w:hAnsi="Arial" w:cs="Arial"/>
          <w:b/>
        </w:rPr>
      </w:pPr>
    </w:p>
    <w:p w:rsidR="00A9678D" w:rsidRPr="00CE1879" w:rsidRDefault="00A9678D" w:rsidP="0072500F">
      <w:pPr>
        <w:spacing w:line="360" w:lineRule="auto"/>
        <w:rPr>
          <w:rFonts w:ascii="Arial" w:hAnsi="Arial" w:cs="Arial"/>
          <w:b/>
        </w:rPr>
      </w:pPr>
      <w:r w:rsidRPr="00CE1879">
        <w:rPr>
          <w:rFonts w:ascii="Arial" w:hAnsi="Arial" w:cs="Arial"/>
          <w:b/>
        </w:rPr>
        <w:t>The Nursing Profession</w:t>
      </w:r>
    </w:p>
    <w:p w:rsidR="00A9678D" w:rsidRPr="00CE1879" w:rsidRDefault="00A9678D" w:rsidP="00F00E67">
      <w:pPr>
        <w:spacing w:line="360" w:lineRule="auto"/>
        <w:rPr>
          <w:rFonts w:ascii="Arial" w:hAnsi="Arial" w:cs="Arial"/>
        </w:rPr>
      </w:pPr>
      <w:r w:rsidRPr="00CE1879">
        <w:rPr>
          <w:rFonts w:ascii="Arial" w:hAnsi="Arial" w:cs="Arial"/>
        </w:rPr>
        <w:t>One such study</w:t>
      </w:r>
      <w:r w:rsidRPr="00CE1879">
        <w:rPr>
          <w:rStyle w:val="FootnoteReference"/>
          <w:rFonts w:ascii="Arial" w:hAnsi="Arial" w:cs="Arial"/>
        </w:rPr>
        <w:footnoteReference w:id="12"/>
      </w:r>
      <w:r w:rsidRPr="00CE1879">
        <w:rPr>
          <w:rFonts w:ascii="Arial" w:hAnsi="Arial" w:cs="Arial"/>
        </w:rPr>
        <w:t xml:space="preserve"> on the nursing profession sought to understand the role of individual characteristics, job features and satisfaction in the engagement of the nursing workforce. </w:t>
      </w:r>
    </w:p>
    <w:p w:rsidR="00A9678D" w:rsidRPr="00CE1879" w:rsidRDefault="00A9678D" w:rsidP="00F00E67">
      <w:pPr>
        <w:spacing w:line="360" w:lineRule="auto"/>
        <w:rPr>
          <w:rFonts w:ascii="Arial" w:hAnsi="Arial" w:cs="Arial"/>
        </w:rPr>
      </w:pPr>
    </w:p>
    <w:p w:rsidR="00A9678D" w:rsidRPr="00CE1879" w:rsidRDefault="00A9678D" w:rsidP="00F00E67">
      <w:pPr>
        <w:spacing w:line="360" w:lineRule="auto"/>
        <w:rPr>
          <w:rFonts w:ascii="Arial" w:hAnsi="Arial" w:cs="Arial"/>
        </w:rPr>
      </w:pPr>
      <w:r w:rsidRPr="00CE1879">
        <w:rPr>
          <w:rFonts w:ascii="Arial" w:hAnsi="Arial" w:cs="Arial"/>
        </w:rPr>
        <w:t>The study found that</w:t>
      </w:r>
      <w:r w:rsidR="001C196E" w:rsidRPr="00CE1879">
        <w:rPr>
          <w:rFonts w:ascii="Arial" w:hAnsi="Arial" w:cs="Arial"/>
        </w:rPr>
        <w:t>,</w:t>
      </w:r>
      <w:r w:rsidRPr="00CE1879">
        <w:rPr>
          <w:rFonts w:ascii="Arial" w:hAnsi="Arial" w:cs="Arial"/>
        </w:rPr>
        <w:t xml:space="preserve"> for the nursing profession</w:t>
      </w:r>
      <w:r w:rsidR="001C196E" w:rsidRPr="00CE1879">
        <w:rPr>
          <w:rFonts w:ascii="Arial" w:hAnsi="Arial" w:cs="Arial"/>
        </w:rPr>
        <w:t>al</w:t>
      </w:r>
      <w:r w:rsidRPr="00CE1879">
        <w:rPr>
          <w:rFonts w:ascii="Arial" w:hAnsi="Arial" w:cs="Arial"/>
        </w:rPr>
        <w:t>s surveyed, increased levels of engagement were driven by higher job satisfaction, higher quality of working life, lower social dysfunction and lower stress associated with patient care. It also found that nursing profes</w:t>
      </w:r>
      <w:r w:rsidR="008A1536" w:rsidRPr="00CE1879">
        <w:rPr>
          <w:rFonts w:ascii="Arial" w:hAnsi="Arial" w:cs="Arial"/>
        </w:rPr>
        <w:t xml:space="preserve">sionals </w:t>
      </w:r>
      <w:r w:rsidRPr="00CE1879">
        <w:rPr>
          <w:rFonts w:ascii="Arial" w:hAnsi="Arial" w:cs="Arial"/>
        </w:rPr>
        <w:t xml:space="preserve"> should be considered at high risk for developing mental disorders. As such, it was recommended that efforts be made to implement models of employee engagement to address staff shortages and high turnover in the profession rather than relying solely on more traditional retention strategies.</w:t>
      </w:r>
      <w:r w:rsidRPr="00CE1879" w:rsidDel="00AC6854">
        <w:rPr>
          <w:rFonts w:ascii="Arial" w:hAnsi="Arial" w:cs="Arial"/>
        </w:rPr>
        <w:t xml:space="preserve"> </w:t>
      </w:r>
    </w:p>
    <w:p w:rsidR="00A9678D" w:rsidRPr="00CE1879" w:rsidRDefault="00A9678D" w:rsidP="00F00E67">
      <w:pPr>
        <w:spacing w:line="360" w:lineRule="auto"/>
        <w:rPr>
          <w:rFonts w:ascii="Arial" w:hAnsi="Arial" w:cs="Arial"/>
          <w:b/>
        </w:rPr>
      </w:pPr>
    </w:p>
    <w:p w:rsidR="00A9678D" w:rsidRPr="00CE1879" w:rsidRDefault="00A9678D" w:rsidP="00F00E67">
      <w:pPr>
        <w:spacing w:line="360" w:lineRule="auto"/>
        <w:rPr>
          <w:rFonts w:ascii="Arial" w:hAnsi="Arial" w:cs="Arial"/>
          <w:b/>
        </w:rPr>
      </w:pPr>
      <w:r w:rsidRPr="00CE1879">
        <w:rPr>
          <w:rFonts w:ascii="Arial" w:hAnsi="Arial" w:cs="Arial"/>
          <w:b/>
        </w:rPr>
        <w:t>The Not-For-Profit Sector</w:t>
      </w:r>
    </w:p>
    <w:p w:rsidR="00A9678D" w:rsidRPr="00CE1879" w:rsidRDefault="00A9678D" w:rsidP="00F00E67">
      <w:pPr>
        <w:spacing w:line="360" w:lineRule="auto"/>
        <w:rPr>
          <w:rFonts w:ascii="Arial" w:hAnsi="Arial" w:cs="Arial"/>
        </w:rPr>
      </w:pPr>
      <w:r w:rsidRPr="00CE1879">
        <w:rPr>
          <w:rFonts w:ascii="Arial" w:hAnsi="Arial" w:cs="Arial"/>
        </w:rPr>
        <w:t>The Maxxia Workplace Insights report (2013)</w:t>
      </w:r>
      <w:r w:rsidRPr="00CE1879">
        <w:rPr>
          <w:rFonts w:ascii="Arial" w:hAnsi="Arial" w:cs="Arial"/>
          <w:vertAlign w:val="superscript"/>
        </w:rPr>
        <w:footnoteReference w:id="13"/>
      </w:r>
      <w:r w:rsidRPr="00CE1879">
        <w:rPr>
          <w:rFonts w:ascii="Arial" w:hAnsi="Arial" w:cs="Arial"/>
        </w:rPr>
        <w:t xml:space="preserve"> is a recent study on employee sentiment in the Australian not-for-profit (NFP) sector. It provides useful insight into the factors of NFP employee engagement</w:t>
      </w:r>
      <w:r w:rsidR="001C196E" w:rsidRPr="00CE1879">
        <w:rPr>
          <w:rFonts w:ascii="Arial" w:hAnsi="Arial" w:cs="Arial"/>
        </w:rPr>
        <w:t>together</w:t>
      </w:r>
      <w:r w:rsidRPr="00CE1879">
        <w:rPr>
          <w:rFonts w:ascii="Arial" w:hAnsi="Arial" w:cs="Arial"/>
        </w:rPr>
        <w:t xml:space="preserve"> with</w:t>
      </w:r>
      <w:r w:rsidR="001C196E" w:rsidRPr="00CE1879">
        <w:rPr>
          <w:rFonts w:ascii="Arial" w:hAnsi="Arial" w:cs="Arial"/>
        </w:rPr>
        <w:t xml:space="preserve"> the</w:t>
      </w:r>
      <w:r w:rsidRPr="00CE1879">
        <w:rPr>
          <w:rFonts w:ascii="Arial" w:hAnsi="Arial" w:cs="Arial"/>
        </w:rPr>
        <w:t xml:space="preserve"> reasons </w:t>
      </w:r>
      <w:r w:rsidR="001C196E" w:rsidRPr="00CE1879">
        <w:rPr>
          <w:rFonts w:ascii="Arial" w:hAnsi="Arial" w:cs="Arial"/>
        </w:rPr>
        <w:t xml:space="preserve">why </w:t>
      </w:r>
      <w:r w:rsidRPr="00CE1879">
        <w:rPr>
          <w:rFonts w:ascii="Arial" w:hAnsi="Arial" w:cs="Arial"/>
        </w:rPr>
        <w:t xml:space="preserve">staff were originally attracted to the NFP sector and their intentions to </w:t>
      </w:r>
      <w:r w:rsidR="001C196E" w:rsidRPr="00CE1879">
        <w:rPr>
          <w:rFonts w:ascii="Arial" w:hAnsi="Arial" w:cs="Arial"/>
        </w:rPr>
        <w:t>remain</w:t>
      </w:r>
      <w:r w:rsidRPr="00CE1879">
        <w:rPr>
          <w:rFonts w:ascii="Arial" w:hAnsi="Arial" w:cs="Arial"/>
        </w:rPr>
        <w:t>.</w:t>
      </w:r>
    </w:p>
    <w:p w:rsidR="00A9678D" w:rsidRPr="00CE1879" w:rsidRDefault="00A9678D" w:rsidP="00F00E67">
      <w:pPr>
        <w:spacing w:line="360" w:lineRule="auto"/>
        <w:ind w:left="360"/>
        <w:rPr>
          <w:rFonts w:ascii="Arial" w:hAnsi="Arial" w:cs="Arial"/>
        </w:rPr>
      </w:pPr>
    </w:p>
    <w:p w:rsidR="00A9678D" w:rsidRPr="00CE1879" w:rsidRDefault="00A9678D" w:rsidP="00F00E67">
      <w:pPr>
        <w:spacing w:line="360" w:lineRule="auto"/>
        <w:rPr>
          <w:rFonts w:ascii="Arial" w:hAnsi="Arial" w:cs="Arial"/>
        </w:rPr>
      </w:pPr>
      <w:r w:rsidRPr="00CE1879">
        <w:rPr>
          <w:rFonts w:ascii="Arial" w:hAnsi="Arial" w:cs="Arial"/>
        </w:rPr>
        <w:t>The survey findings revealed that making a positive impact in people’s lives was a substantial attractor for people working and wanting to work in  the sector. The findings also highlighted the utilisation of skills and qualifications as another attraction.</w:t>
      </w:r>
    </w:p>
    <w:p w:rsidR="00A9678D" w:rsidRPr="00CE1879" w:rsidRDefault="00A9678D" w:rsidP="00F00E67">
      <w:pPr>
        <w:spacing w:line="360" w:lineRule="auto"/>
        <w:rPr>
          <w:rFonts w:ascii="Arial" w:hAnsi="Arial" w:cs="Arial"/>
        </w:rPr>
      </w:pPr>
    </w:p>
    <w:p w:rsidR="00C4522C" w:rsidRPr="00CE1879" w:rsidRDefault="00A9678D" w:rsidP="00F00E67">
      <w:pPr>
        <w:spacing w:line="360" w:lineRule="auto"/>
        <w:rPr>
          <w:rFonts w:ascii="Arial" w:hAnsi="Arial" w:cs="Arial"/>
        </w:rPr>
      </w:pPr>
      <w:r w:rsidRPr="00CE1879">
        <w:rPr>
          <w:rFonts w:ascii="Arial" w:hAnsi="Arial" w:cs="Arial"/>
        </w:rPr>
        <w:t>In terms of rentention, the study revealed some disparity between HR managers’ perceptions of why employees chose to leave the sector and the reasons employees listed for wanting to leave. Although poor career progression and lower wages were seen as key drivers by both parties, poor management, low morale and high stress were more significant concerns for staff than HR managers had realised.</w:t>
      </w:r>
    </w:p>
    <w:p w:rsidR="00C4522C" w:rsidRPr="00CE1879" w:rsidRDefault="00C4522C" w:rsidP="00C4522C">
      <w:pPr>
        <w:spacing w:line="360" w:lineRule="auto"/>
        <w:rPr>
          <w:rFonts w:ascii="Arial" w:hAnsi="Arial" w:cs="Arial"/>
        </w:rPr>
      </w:pPr>
    </w:p>
    <w:p w:rsidR="00A9678D" w:rsidRPr="00CE1879" w:rsidRDefault="00A9678D" w:rsidP="00C4522C">
      <w:pPr>
        <w:spacing w:line="360" w:lineRule="auto"/>
        <w:rPr>
          <w:rFonts w:ascii="Arial" w:hAnsi="Arial" w:cs="Arial"/>
        </w:rPr>
      </w:pPr>
      <w:r w:rsidRPr="00CE1879">
        <w:rPr>
          <w:rFonts w:ascii="Arial" w:hAnsi="Arial" w:cs="Arial"/>
          <w:b/>
        </w:rPr>
        <w:t>The Disability Sector</w:t>
      </w:r>
    </w:p>
    <w:p w:rsidR="00A9678D" w:rsidRPr="00CE1879" w:rsidRDefault="00A9678D" w:rsidP="0072500F">
      <w:pPr>
        <w:autoSpaceDE w:val="0"/>
        <w:autoSpaceDN w:val="0"/>
        <w:adjustRightInd w:val="0"/>
        <w:spacing w:line="360" w:lineRule="auto"/>
        <w:rPr>
          <w:rFonts w:ascii="Arial" w:hAnsi="Arial" w:cs="Arial"/>
        </w:rPr>
      </w:pPr>
      <w:r w:rsidRPr="00CE1879">
        <w:rPr>
          <w:rFonts w:ascii="Arial" w:hAnsi="Arial" w:cs="Arial"/>
        </w:rPr>
        <w:t>In 2010, the results of a survey were released that attempted to measure the satisfaction and motivation of the Victorian disability services workforce</w:t>
      </w:r>
      <w:r w:rsidRPr="00CE1879">
        <w:rPr>
          <w:rFonts w:ascii="Arial" w:hAnsi="Arial" w:cs="Arial"/>
          <w:vertAlign w:val="superscript"/>
        </w:rPr>
        <w:footnoteReference w:id="14"/>
      </w:r>
      <w:r w:rsidRPr="00CE1879">
        <w:rPr>
          <w:rFonts w:ascii="Arial" w:hAnsi="Arial" w:cs="Arial"/>
        </w:rPr>
        <w:t>. In total, more than 2,000 employees participated from 92 Victorian community services organisations that received funding from the Disability Services Division of the Department of Human Services. The results were framed as indicative of the wider disability services workforce across Victoria, but</w:t>
      </w:r>
      <w:r w:rsidR="006D23C5" w:rsidRPr="00CE1879">
        <w:rPr>
          <w:rFonts w:ascii="Arial" w:hAnsi="Arial" w:cs="Arial"/>
        </w:rPr>
        <w:t>,</w:t>
      </w:r>
      <w:r w:rsidRPr="00CE1879">
        <w:rPr>
          <w:rFonts w:ascii="Arial" w:hAnsi="Arial" w:cs="Arial"/>
        </w:rPr>
        <w:t xml:space="preserve"> due to methodological limitations, they were not representative of the workforce as a whole.</w:t>
      </w:r>
    </w:p>
    <w:p w:rsidR="00A9678D" w:rsidRPr="00CE1879" w:rsidRDefault="00A9678D" w:rsidP="00F00E67">
      <w:pPr>
        <w:autoSpaceDE w:val="0"/>
        <w:autoSpaceDN w:val="0"/>
        <w:adjustRightInd w:val="0"/>
        <w:spacing w:line="360" w:lineRule="auto"/>
        <w:rPr>
          <w:rFonts w:ascii="Arial" w:hAnsi="Arial" w:cs="Arial"/>
        </w:rPr>
      </w:pPr>
    </w:p>
    <w:p w:rsidR="00A9678D" w:rsidRPr="00CE1879" w:rsidRDefault="00A9678D" w:rsidP="00F00E67">
      <w:pPr>
        <w:autoSpaceDE w:val="0"/>
        <w:autoSpaceDN w:val="0"/>
        <w:adjustRightInd w:val="0"/>
        <w:spacing w:line="360" w:lineRule="auto"/>
        <w:rPr>
          <w:rFonts w:ascii="Arial" w:hAnsi="Arial" w:cs="Arial"/>
        </w:rPr>
      </w:pPr>
      <w:r w:rsidRPr="00CE1879">
        <w:rPr>
          <w:rFonts w:ascii="Arial" w:hAnsi="Arial" w:cs="Arial"/>
        </w:rPr>
        <w:t>Overall, the survey revealed high levels of employee satisfaction with the intrinsic rewards of their job and flexible working arrangements provided by their employer. Complementing these findings, the survey revealed these areas as common reasons for attraction to the sector.</w:t>
      </w:r>
    </w:p>
    <w:p w:rsidR="00A9678D" w:rsidRPr="00CE1879" w:rsidRDefault="00A9678D" w:rsidP="00F00E67">
      <w:pPr>
        <w:autoSpaceDE w:val="0"/>
        <w:autoSpaceDN w:val="0"/>
        <w:adjustRightInd w:val="0"/>
        <w:spacing w:line="360" w:lineRule="auto"/>
        <w:rPr>
          <w:rFonts w:ascii="Arial" w:hAnsi="Arial" w:cs="Arial"/>
        </w:rPr>
      </w:pPr>
    </w:p>
    <w:p w:rsidR="00A9678D" w:rsidRPr="00CE1879" w:rsidRDefault="00A9678D" w:rsidP="00F00E67">
      <w:pPr>
        <w:autoSpaceDE w:val="0"/>
        <w:autoSpaceDN w:val="0"/>
        <w:adjustRightInd w:val="0"/>
        <w:spacing w:line="360" w:lineRule="auto"/>
        <w:rPr>
          <w:rFonts w:ascii="Arial" w:hAnsi="Arial" w:cs="Arial"/>
        </w:rPr>
      </w:pPr>
      <w:r w:rsidRPr="00CE1879">
        <w:rPr>
          <w:rFonts w:ascii="Arial" w:hAnsi="Arial" w:cs="Arial"/>
        </w:rPr>
        <w:t>However, the survey also revealed areas for development within the sector.  Employees were less likely to be satisfied with their career advancement as well as less likely to have received positive, regular feedback or any performance review. Not surprisingly, the lowest result of the survey overall related to employee satisfaction with salary.</w:t>
      </w:r>
    </w:p>
    <w:p w:rsidR="00A9678D" w:rsidRPr="00CE1879" w:rsidRDefault="00A9678D" w:rsidP="00F00E67">
      <w:pPr>
        <w:autoSpaceDE w:val="0"/>
        <w:autoSpaceDN w:val="0"/>
        <w:adjustRightInd w:val="0"/>
        <w:spacing w:line="360" w:lineRule="auto"/>
        <w:rPr>
          <w:rFonts w:ascii="Arial" w:hAnsi="Arial" w:cs="Arial"/>
        </w:rPr>
      </w:pPr>
    </w:p>
    <w:p w:rsidR="00A9678D" w:rsidRPr="00CE1879" w:rsidRDefault="00A9678D" w:rsidP="00F00E67">
      <w:pPr>
        <w:spacing w:line="360" w:lineRule="auto"/>
        <w:rPr>
          <w:rFonts w:ascii="Arial" w:hAnsi="Arial" w:cs="Arial"/>
        </w:rPr>
      </w:pPr>
      <w:r w:rsidRPr="00CE1879">
        <w:rPr>
          <w:rFonts w:ascii="Arial" w:hAnsi="Arial" w:cs="Arial"/>
        </w:rPr>
        <w:t>Of high relevance</w:t>
      </w:r>
      <w:r w:rsidR="006D23C5" w:rsidRPr="00CE1879">
        <w:rPr>
          <w:rFonts w:ascii="Arial" w:hAnsi="Arial" w:cs="Arial"/>
        </w:rPr>
        <w:t>,</w:t>
      </w:r>
      <w:r w:rsidRPr="00CE1879">
        <w:rPr>
          <w:rFonts w:ascii="Arial" w:hAnsi="Arial" w:cs="Arial"/>
        </w:rPr>
        <w:t xml:space="preserve"> was a recent study by Vassos et al. (2013)</w:t>
      </w:r>
      <w:r w:rsidRPr="00CE1879">
        <w:rPr>
          <w:rFonts w:ascii="Arial" w:hAnsi="Arial" w:cs="Arial"/>
          <w:vertAlign w:val="superscript"/>
        </w:rPr>
        <w:footnoteReference w:id="15"/>
      </w:r>
      <w:r w:rsidRPr="00CE1879">
        <w:rPr>
          <w:rFonts w:ascii="Arial" w:hAnsi="Arial" w:cs="Arial"/>
        </w:rPr>
        <w:t xml:space="preserve"> that looked into factors associated with engagement and burnout amongst disability support workers nation-wide. As the first Australian study of its kind, no other research had looked into the relative importance of the workplace factors driving disability support worker engagement in Australia.</w:t>
      </w:r>
    </w:p>
    <w:p w:rsidR="00A9678D" w:rsidRPr="00CE1879" w:rsidRDefault="00A9678D" w:rsidP="00F00E67">
      <w:pPr>
        <w:spacing w:line="360" w:lineRule="auto"/>
        <w:rPr>
          <w:rFonts w:ascii="Arial" w:hAnsi="Arial" w:cs="Arial"/>
        </w:rPr>
      </w:pPr>
    </w:p>
    <w:p w:rsidR="00A9678D" w:rsidRPr="00CE1879" w:rsidRDefault="00A9678D" w:rsidP="00F00E67">
      <w:pPr>
        <w:spacing w:line="360" w:lineRule="auto"/>
        <w:rPr>
          <w:rFonts w:ascii="Arial" w:hAnsi="Arial" w:cs="Arial"/>
        </w:rPr>
      </w:pPr>
      <w:r w:rsidRPr="00CE1879">
        <w:rPr>
          <w:rFonts w:ascii="Arial" w:hAnsi="Arial" w:cs="Arial"/>
        </w:rPr>
        <w:t>Overall, Vassos et al. found that the levels of engagement amongst disability support workers who partic</w:t>
      </w:r>
      <w:r w:rsidR="006D23C5" w:rsidRPr="00CE1879">
        <w:rPr>
          <w:rFonts w:ascii="Arial" w:hAnsi="Arial" w:cs="Arial"/>
        </w:rPr>
        <w:t>i</w:t>
      </w:r>
      <w:r w:rsidRPr="00CE1879">
        <w:rPr>
          <w:rFonts w:ascii="Arial" w:hAnsi="Arial" w:cs="Arial"/>
        </w:rPr>
        <w:t xml:space="preserve">pated were consistent with those in the general working population. In terms of the key drivers of this engagement, role clarity and job feedback were both found to be key contributors. </w:t>
      </w:r>
    </w:p>
    <w:p w:rsidR="00A9678D" w:rsidRPr="00CE1879" w:rsidRDefault="00A9678D" w:rsidP="00F00E67">
      <w:pPr>
        <w:spacing w:line="360" w:lineRule="auto"/>
        <w:rPr>
          <w:rFonts w:ascii="Arial" w:hAnsi="Arial" w:cs="Arial"/>
        </w:rPr>
      </w:pPr>
    </w:p>
    <w:p w:rsidR="008018FD" w:rsidRPr="00CE1879" w:rsidRDefault="00A9678D" w:rsidP="00F00E67">
      <w:pPr>
        <w:spacing w:line="360" w:lineRule="auto"/>
        <w:rPr>
          <w:rFonts w:ascii="Arial" w:hAnsi="Arial" w:cs="Arial"/>
        </w:rPr>
      </w:pPr>
      <w:r w:rsidRPr="00CE1879">
        <w:rPr>
          <w:rFonts w:ascii="Arial" w:hAnsi="Arial" w:cs="Arial"/>
        </w:rPr>
        <w:t>In order to address these two findings, Vassos et al. recommended that supervision of practices by managers was required to ensure job descriptors were adopted, and that position decriptions</w:t>
      </w:r>
      <w:r w:rsidR="006D23C5" w:rsidRPr="00CE1879">
        <w:rPr>
          <w:rFonts w:ascii="Arial" w:hAnsi="Arial" w:cs="Arial"/>
        </w:rPr>
        <w:t xml:space="preserve"> be</w:t>
      </w:r>
      <w:r w:rsidRPr="00CE1879">
        <w:rPr>
          <w:rFonts w:ascii="Arial" w:hAnsi="Arial" w:cs="Arial"/>
        </w:rPr>
        <w:t xml:space="preserve"> changed over time in order to take into account new circumstances. Meanwhile, on-the-job feedback was suggested as a suitable feedback mechanism for the sector as it took into account the shift work nature of the role across many locations.</w:t>
      </w:r>
    </w:p>
    <w:p w:rsidR="00E65D9C" w:rsidRPr="00CE1879" w:rsidRDefault="00E65D9C" w:rsidP="0072500F">
      <w:pPr>
        <w:spacing w:line="360" w:lineRule="auto"/>
        <w:rPr>
          <w:rFonts w:ascii="Arial" w:hAnsi="Arial" w:cs="Arial"/>
        </w:rPr>
      </w:pPr>
      <w:r w:rsidRPr="00CE1879">
        <w:rPr>
          <w:rFonts w:ascii="Arial" w:hAnsi="Arial" w:cs="Arial"/>
          <w:b/>
          <w:noProof w:val="0"/>
          <w:color w:val="222222"/>
          <w:lang w:eastAsia="en-AU"/>
        </w:rPr>
        <w:t xml:space="preserve">About NDS </w:t>
      </w:r>
    </w:p>
    <w:p w:rsidR="00E65D9C" w:rsidRPr="00CE1879" w:rsidRDefault="00E65D9C" w:rsidP="00F00E67">
      <w:pPr>
        <w:spacing w:line="360" w:lineRule="auto"/>
        <w:ind w:left="-360"/>
        <w:rPr>
          <w:rFonts w:ascii="Arial" w:hAnsi="Arial" w:cs="Arial"/>
          <w:noProof w:val="0"/>
          <w:color w:val="222222"/>
          <w:lang w:eastAsia="en-AU"/>
        </w:rPr>
      </w:pPr>
    </w:p>
    <w:p w:rsidR="00886155" w:rsidRPr="00CE1879" w:rsidRDefault="00886155" w:rsidP="00F00E67">
      <w:pPr>
        <w:spacing w:line="360" w:lineRule="auto"/>
        <w:ind w:left="-360"/>
        <w:rPr>
          <w:rFonts w:ascii="Arial" w:hAnsi="Arial" w:cs="Arial"/>
        </w:rPr>
      </w:pPr>
      <w:r w:rsidRPr="00CE1879">
        <w:rPr>
          <w:rFonts w:ascii="Arial" w:hAnsi="Arial" w:cs="Arial"/>
        </w:rPr>
        <w:t>National Disability Services is the Australian peak body for non-government disability services.</w:t>
      </w:r>
    </w:p>
    <w:p w:rsidR="00E65D9C" w:rsidRPr="00CE1879" w:rsidRDefault="00886155" w:rsidP="00F00E67">
      <w:pPr>
        <w:spacing w:line="360" w:lineRule="auto"/>
        <w:ind w:left="-360"/>
        <w:rPr>
          <w:rFonts w:ascii="Arial" w:hAnsi="Arial" w:cs="Arial"/>
        </w:rPr>
      </w:pPr>
      <w:r w:rsidRPr="00CE1879">
        <w:rPr>
          <w:rFonts w:ascii="Arial" w:hAnsi="Arial" w:cs="Arial"/>
        </w:rPr>
        <w:t>Through the provision of information, representation and policy advice, NDS promotes and advances services which support people with all forms of disability to participate in all domains of life.</w:t>
      </w:r>
    </w:p>
    <w:p w:rsidR="00A520CD" w:rsidRPr="00CE1879" w:rsidRDefault="00A520CD" w:rsidP="00F00E67">
      <w:pPr>
        <w:spacing w:line="360" w:lineRule="auto"/>
        <w:ind w:left="-360"/>
        <w:rPr>
          <w:rFonts w:ascii="Arial" w:hAnsi="Arial" w:cs="Arial"/>
        </w:rPr>
      </w:pPr>
    </w:p>
    <w:p w:rsidR="00E65D9C" w:rsidRPr="00CE1879" w:rsidRDefault="00E65D9C" w:rsidP="00F00E67">
      <w:pPr>
        <w:spacing w:line="360" w:lineRule="auto"/>
        <w:ind w:left="-360"/>
        <w:rPr>
          <w:rFonts w:ascii="Arial" w:hAnsi="Arial" w:cs="Arial"/>
          <w:b/>
          <w:noProof w:val="0"/>
          <w:color w:val="222222"/>
          <w:lang w:eastAsia="en-AU"/>
        </w:rPr>
      </w:pPr>
      <w:r w:rsidRPr="00CE1879">
        <w:rPr>
          <w:rFonts w:ascii="Arial" w:hAnsi="Arial" w:cs="Arial"/>
          <w:b/>
          <w:noProof w:val="0"/>
          <w:color w:val="222222"/>
          <w:lang w:eastAsia="en-AU"/>
        </w:rPr>
        <w:t xml:space="preserve">About Voice Project </w:t>
      </w:r>
    </w:p>
    <w:p w:rsidR="00E65D9C" w:rsidRPr="00CE1879" w:rsidRDefault="00E65D9C" w:rsidP="00F00E67">
      <w:pPr>
        <w:spacing w:line="360" w:lineRule="auto"/>
        <w:ind w:left="-360"/>
        <w:rPr>
          <w:rFonts w:ascii="Arial" w:hAnsi="Arial" w:cs="Arial"/>
          <w:noProof w:val="0"/>
          <w:color w:val="222222"/>
          <w:lang w:eastAsia="en-AU"/>
        </w:rPr>
      </w:pPr>
    </w:p>
    <w:p w:rsidR="00E65D9C" w:rsidRPr="00CE1879" w:rsidRDefault="00E65D9C" w:rsidP="00F00E67">
      <w:pPr>
        <w:spacing w:line="360" w:lineRule="auto"/>
        <w:ind w:left="-360"/>
        <w:rPr>
          <w:rFonts w:ascii="Arial" w:hAnsi="Arial" w:cs="Arial"/>
          <w:noProof w:val="0"/>
          <w:color w:val="222222"/>
          <w:lang w:eastAsia="en-AU"/>
        </w:rPr>
      </w:pPr>
      <w:r w:rsidRPr="00CE1879">
        <w:rPr>
          <w:rFonts w:ascii="Arial" w:hAnsi="Arial" w:cs="Arial"/>
        </w:rPr>
        <w:t xml:space="preserve">Voice Project are experts in designing and implementing </w:t>
      </w:r>
      <w:r w:rsidR="00CE5128" w:rsidRPr="00CE1879">
        <w:rPr>
          <w:rFonts w:ascii="Arial" w:hAnsi="Arial" w:cs="Arial"/>
        </w:rPr>
        <w:t xml:space="preserve">employee, 360, and customer </w:t>
      </w:r>
      <w:r w:rsidRPr="00CE1879">
        <w:rPr>
          <w:rFonts w:ascii="Arial" w:hAnsi="Arial" w:cs="Arial"/>
        </w:rPr>
        <w:t xml:space="preserve">surveys that enable organisations to </w:t>
      </w:r>
      <w:r w:rsidR="00CE5128" w:rsidRPr="00CE1879">
        <w:rPr>
          <w:rFonts w:ascii="Arial" w:hAnsi="Arial" w:cs="Arial"/>
        </w:rPr>
        <w:t xml:space="preserve">drive positive change. These surveys allow organisations to </w:t>
      </w:r>
      <w:r w:rsidRPr="00CE1879">
        <w:rPr>
          <w:rFonts w:ascii="Arial" w:hAnsi="Arial" w:cs="Arial"/>
        </w:rPr>
        <w:t>assess their performance on a range of Human Resource (HR) and management practices that are linked to successful people and financial outcomes</w:t>
      </w:r>
      <w:r w:rsidR="00CE5128" w:rsidRPr="00CE1879">
        <w:rPr>
          <w:rFonts w:ascii="Arial" w:hAnsi="Arial" w:cs="Arial"/>
        </w:rPr>
        <w:t>. Voice Project is a privately owned management consultancy that has grown out of a research program at Macquarie University, and since 2002 has given a voice to over 1 million people across more than 3000 organisations.</w:t>
      </w:r>
    </w:p>
    <w:p w:rsidR="00E65D9C" w:rsidRPr="00CE1879" w:rsidRDefault="00E65D9C" w:rsidP="00F00E67">
      <w:pPr>
        <w:spacing w:line="360" w:lineRule="auto"/>
        <w:ind w:left="-360"/>
        <w:rPr>
          <w:rFonts w:ascii="Arial" w:hAnsi="Arial" w:cs="Arial"/>
          <w:noProof w:val="0"/>
          <w:color w:val="222222"/>
          <w:lang w:eastAsia="en-AU"/>
        </w:rPr>
      </w:pPr>
    </w:p>
    <w:p w:rsidR="00A520CD" w:rsidRPr="00CE1879" w:rsidRDefault="00886155" w:rsidP="00F00E67">
      <w:pPr>
        <w:spacing w:line="360" w:lineRule="auto"/>
        <w:ind w:left="-360"/>
        <w:rPr>
          <w:rFonts w:ascii="Arial" w:hAnsi="Arial" w:cs="Arial"/>
          <w:b/>
          <w:noProof w:val="0"/>
          <w:color w:val="222222"/>
          <w:lang w:eastAsia="en-AU"/>
        </w:rPr>
      </w:pPr>
      <w:r w:rsidRPr="00CE1879">
        <w:rPr>
          <w:rFonts w:ascii="Arial" w:hAnsi="Arial" w:cs="Arial"/>
          <w:b/>
          <w:noProof w:val="0"/>
          <w:color w:val="222222"/>
          <w:lang w:eastAsia="en-AU"/>
        </w:rPr>
        <w:t>Contact details</w:t>
      </w:r>
    </w:p>
    <w:p w:rsidR="00A520CD" w:rsidRPr="00CE1879" w:rsidRDefault="00A520CD" w:rsidP="00F00E67">
      <w:pPr>
        <w:spacing w:line="360" w:lineRule="auto"/>
        <w:ind w:left="-360"/>
        <w:rPr>
          <w:rFonts w:ascii="Arial" w:hAnsi="Arial" w:cs="Arial"/>
          <w:bCs/>
        </w:rPr>
      </w:pPr>
      <w:r w:rsidRPr="00CE1879">
        <w:rPr>
          <w:rFonts w:ascii="Arial" w:hAnsi="Arial" w:cs="Arial"/>
          <w:bCs/>
        </w:rPr>
        <w:t>National Disability Services (NDS)</w:t>
      </w:r>
    </w:p>
    <w:p w:rsidR="00A520CD" w:rsidRPr="00CE1879" w:rsidRDefault="00A520CD" w:rsidP="00F00E67">
      <w:pPr>
        <w:spacing w:line="360" w:lineRule="auto"/>
        <w:ind w:left="-360"/>
        <w:rPr>
          <w:rFonts w:ascii="Arial" w:hAnsi="Arial" w:cs="Arial"/>
          <w:b/>
          <w:bCs/>
        </w:rPr>
      </w:pPr>
      <w:r w:rsidRPr="00CE1879">
        <w:rPr>
          <w:rFonts w:ascii="Arial" w:hAnsi="Arial" w:cs="Arial"/>
          <w:bCs/>
        </w:rPr>
        <w:t xml:space="preserve">Email: </w:t>
      </w:r>
      <w:r w:rsidRPr="00CE1879">
        <w:rPr>
          <w:rFonts w:ascii="Arial" w:hAnsi="Arial" w:cs="Arial"/>
        </w:rPr>
        <w:t>ndsnsw@nds.org.au</w:t>
      </w:r>
      <w:r w:rsidRPr="00CE1879">
        <w:rPr>
          <w:rFonts w:ascii="Arial" w:hAnsi="Arial" w:cs="Arial"/>
          <w:b/>
          <w:bCs/>
        </w:rPr>
        <w:t xml:space="preserve"> </w:t>
      </w:r>
    </w:p>
    <w:p w:rsidR="00A520CD" w:rsidRPr="00CE1879" w:rsidRDefault="00A520CD" w:rsidP="00F00E67">
      <w:pPr>
        <w:spacing w:line="360" w:lineRule="auto"/>
        <w:ind w:left="-360"/>
        <w:rPr>
          <w:rFonts w:ascii="Arial" w:hAnsi="Arial" w:cs="Arial"/>
          <w:bCs/>
        </w:rPr>
      </w:pPr>
      <w:r w:rsidRPr="00CE1879">
        <w:rPr>
          <w:rFonts w:ascii="Arial" w:hAnsi="Arial" w:cs="Arial"/>
          <w:bCs/>
        </w:rPr>
        <w:t xml:space="preserve">Web: </w:t>
      </w:r>
      <w:r w:rsidRPr="00CE1879">
        <w:rPr>
          <w:rFonts w:ascii="Arial" w:hAnsi="Arial" w:cs="Arial"/>
        </w:rPr>
        <w:t>www.nds.org.au</w:t>
      </w:r>
      <w:r w:rsidRPr="00CE1879">
        <w:rPr>
          <w:rFonts w:ascii="Arial" w:hAnsi="Arial" w:cs="Arial"/>
          <w:bCs/>
        </w:rPr>
        <w:t xml:space="preserve"> </w:t>
      </w:r>
    </w:p>
    <w:p w:rsidR="00A520CD" w:rsidRPr="00CE1879" w:rsidRDefault="00A520CD" w:rsidP="00F00E67">
      <w:pPr>
        <w:spacing w:line="360" w:lineRule="auto"/>
        <w:ind w:left="-360"/>
        <w:rPr>
          <w:rFonts w:ascii="Arial" w:hAnsi="Arial" w:cs="Arial"/>
          <w:b/>
          <w:bCs/>
        </w:rPr>
      </w:pPr>
      <w:r w:rsidRPr="00CE1879">
        <w:rPr>
          <w:rFonts w:ascii="Arial" w:hAnsi="Arial" w:cs="Arial"/>
          <w:bCs/>
        </w:rPr>
        <w:t xml:space="preserve">Telephone: </w:t>
      </w:r>
      <w:r w:rsidRPr="00CE1879">
        <w:rPr>
          <w:rFonts w:ascii="Arial" w:hAnsi="Arial" w:cs="Arial"/>
          <w:b/>
          <w:bCs/>
        </w:rPr>
        <w:t>02 9256 3100</w:t>
      </w:r>
    </w:p>
    <w:p w:rsidR="00A520CD" w:rsidRPr="00CE1879" w:rsidRDefault="00A520CD" w:rsidP="00F00E67">
      <w:pPr>
        <w:spacing w:line="360" w:lineRule="auto"/>
        <w:ind w:left="-360"/>
        <w:rPr>
          <w:rFonts w:ascii="Arial" w:hAnsi="Arial" w:cs="Arial"/>
          <w:b/>
          <w:bCs/>
        </w:rPr>
      </w:pPr>
    </w:p>
    <w:p w:rsidR="00FF4020" w:rsidRPr="00CE1879" w:rsidRDefault="00A520CD" w:rsidP="00F00E67">
      <w:pPr>
        <w:spacing w:line="360" w:lineRule="auto"/>
        <w:ind w:left="-360"/>
        <w:rPr>
          <w:rFonts w:ascii="Arial" w:hAnsi="Arial" w:cs="Arial"/>
          <w:b/>
          <w:bCs/>
        </w:rPr>
      </w:pPr>
      <w:r w:rsidRPr="00CE1879">
        <w:rPr>
          <w:rFonts w:ascii="Arial" w:hAnsi="Arial" w:cs="Arial"/>
          <w:b/>
          <w:bCs/>
        </w:rPr>
        <w:t>Produced by</w:t>
      </w:r>
    </w:p>
    <w:p w:rsidR="00A520CD" w:rsidRPr="00CE1879" w:rsidRDefault="00A520CD" w:rsidP="00F00E67">
      <w:pPr>
        <w:spacing w:line="360" w:lineRule="auto"/>
        <w:ind w:left="-360"/>
        <w:rPr>
          <w:rFonts w:ascii="Arial" w:hAnsi="Arial" w:cs="Arial"/>
          <w:bCs/>
        </w:rPr>
      </w:pPr>
      <w:r w:rsidRPr="00CE1879">
        <w:rPr>
          <w:rFonts w:ascii="Arial" w:hAnsi="Arial" w:cs="Arial"/>
          <w:bCs/>
        </w:rPr>
        <w:t>NDS NSW</w:t>
      </w:r>
    </w:p>
    <w:p w:rsidR="00FF4020" w:rsidRPr="00CE1879" w:rsidRDefault="00A520CD" w:rsidP="00F00E67">
      <w:pPr>
        <w:spacing w:line="360" w:lineRule="auto"/>
        <w:ind w:left="-360"/>
        <w:rPr>
          <w:rFonts w:ascii="Arial" w:hAnsi="Arial" w:cs="Arial"/>
          <w:bCs/>
        </w:rPr>
      </w:pPr>
      <w:r w:rsidRPr="00CE1879">
        <w:rPr>
          <w:rFonts w:ascii="Arial" w:hAnsi="Arial" w:cs="Arial"/>
          <w:bCs/>
        </w:rPr>
        <w:t>Level 18, 1 Castlereagh St</w:t>
      </w:r>
    </w:p>
    <w:p w:rsidR="00A520CD" w:rsidRPr="00CE1879" w:rsidRDefault="00A520CD" w:rsidP="00F00E67">
      <w:pPr>
        <w:spacing w:line="360" w:lineRule="auto"/>
        <w:ind w:left="-360"/>
        <w:rPr>
          <w:rFonts w:ascii="Arial" w:hAnsi="Arial" w:cs="Arial"/>
          <w:b/>
          <w:bCs/>
        </w:rPr>
      </w:pPr>
      <w:r w:rsidRPr="00CE1879">
        <w:rPr>
          <w:rFonts w:ascii="Arial" w:hAnsi="Arial" w:cs="Arial"/>
          <w:bCs/>
        </w:rPr>
        <w:t>Sydney, NSW 2000</w:t>
      </w:r>
    </w:p>
    <w:p w:rsidR="00A520CD" w:rsidRPr="00CE1879" w:rsidRDefault="00A520CD" w:rsidP="00F00E67">
      <w:pPr>
        <w:spacing w:line="360" w:lineRule="auto"/>
        <w:ind w:left="-360"/>
        <w:rPr>
          <w:rFonts w:ascii="Arial" w:hAnsi="Arial" w:cs="Arial"/>
          <w:b/>
          <w:bCs/>
        </w:rPr>
      </w:pPr>
    </w:p>
    <w:p w:rsidR="00FF4020" w:rsidRPr="00CE1879" w:rsidRDefault="00FF4020" w:rsidP="00F00E67">
      <w:pPr>
        <w:spacing w:line="360" w:lineRule="auto"/>
        <w:ind w:left="-360"/>
        <w:rPr>
          <w:rFonts w:ascii="Arial" w:hAnsi="Arial" w:cs="Arial"/>
          <w:bCs/>
        </w:rPr>
      </w:pPr>
      <w:r w:rsidRPr="00CE1879">
        <w:rPr>
          <w:rFonts w:ascii="Arial" w:hAnsi="Arial" w:cs="Arial"/>
          <w:bCs/>
        </w:rPr>
        <w:t>August 2014</w:t>
      </w:r>
    </w:p>
    <w:p w:rsidR="00FF4020" w:rsidRPr="00CE1879" w:rsidRDefault="00FF4020" w:rsidP="00F00E67">
      <w:pPr>
        <w:spacing w:line="360" w:lineRule="auto"/>
        <w:ind w:left="-360"/>
        <w:rPr>
          <w:rFonts w:ascii="Arial" w:hAnsi="Arial" w:cs="Arial"/>
          <w:bCs/>
        </w:rPr>
      </w:pPr>
    </w:p>
    <w:p w:rsidR="00FF4020" w:rsidRPr="00CE1879" w:rsidRDefault="00FF4020" w:rsidP="00F00E67">
      <w:pPr>
        <w:spacing w:line="360" w:lineRule="auto"/>
        <w:ind w:left="-360"/>
        <w:rPr>
          <w:rFonts w:ascii="Arial" w:hAnsi="Arial" w:cs="Arial"/>
        </w:rPr>
      </w:pPr>
      <w:r w:rsidRPr="00CE1879">
        <w:rPr>
          <w:rFonts w:ascii="Arial" w:hAnsi="Arial" w:cs="Arial"/>
        </w:rPr>
        <w:t>© This publication is copyright</w:t>
      </w:r>
    </w:p>
    <w:p w:rsidR="00FF4020" w:rsidRPr="00CE1879" w:rsidRDefault="00FF4020" w:rsidP="00F00E67">
      <w:pPr>
        <w:spacing w:line="360" w:lineRule="auto"/>
        <w:ind w:left="-360"/>
        <w:rPr>
          <w:rFonts w:ascii="Arial" w:hAnsi="Arial" w:cs="Arial"/>
          <w:b/>
          <w:bCs/>
        </w:rPr>
      </w:pPr>
      <w:r w:rsidRPr="00CE1879">
        <w:rPr>
          <w:rFonts w:ascii="Arial" w:hAnsi="Arial" w:cs="Arial"/>
        </w:rPr>
        <w:t>All rights reserved. Except as provided in the Copyright Act 1968 (Commonwealth), no use of this work, which is within the exclusive right of the copyright owner, may be made</w:t>
      </w:r>
    </w:p>
    <w:p w:rsidR="00FF4020" w:rsidRPr="00CE1879" w:rsidRDefault="00FF4020" w:rsidP="00F00E67">
      <w:pPr>
        <w:spacing w:line="360" w:lineRule="auto"/>
        <w:ind w:left="-360"/>
        <w:rPr>
          <w:rFonts w:ascii="Arial" w:hAnsi="Arial" w:cs="Arial"/>
          <w:noProof w:val="0"/>
          <w:color w:val="222222"/>
          <w:lang w:eastAsia="en-AU"/>
        </w:rPr>
      </w:pPr>
    </w:p>
    <w:p w:rsidR="00FF4020" w:rsidRPr="00CE1879" w:rsidRDefault="00A520CD" w:rsidP="00F00E67">
      <w:pPr>
        <w:spacing w:line="360" w:lineRule="auto"/>
        <w:ind w:left="-360"/>
        <w:rPr>
          <w:rFonts w:ascii="Arial" w:hAnsi="Arial" w:cs="Arial"/>
          <w:b/>
          <w:bCs/>
        </w:rPr>
      </w:pPr>
      <w:r w:rsidRPr="00CE1879">
        <w:rPr>
          <w:rFonts w:ascii="Arial" w:hAnsi="Arial" w:cs="Arial"/>
          <w:b/>
          <w:bCs/>
        </w:rPr>
        <w:t xml:space="preserve">Funded by </w:t>
      </w:r>
    </w:p>
    <w:p w:rsidR="00A520CD" w:rsidRPr="00CE1879" w:rsidRDefault="00FF4020" w:rsidP="00F00E67">
      <w:pPr>
        <w:spacing w:line="360" w:lineRule="auto"/>
        <w:ind w:left="-360"/>
        <w:rPr>
          <w:rFonts w:ascii="Arial" w:hAnsi="Arial" w:cs="Arial"/>
          <w:b/>
          <w:bCs/>
        </w:rPr>
      </w:pPr>
      <w:r w:rsidRPr="00CE1879">
        <w:rPr>
          <w:rFonts w:ascii="Arial" w:hAnsi="Arial" w:cs="Arial"/>
          <w:bCs/>
        </w:rPr>
        <w:t>T</w:t>
      </w:r>
      <w:r w:rsidR="00A520CD" w:rsidRPr="00CE1879">
        <w:rPr>
          <w:rFonts w:ascii="Arial" w:hAnsi="Arial" w:cs="Arial"/>
          <w:bCs/>
        </w:rPr>
        <w:t>he Department of Ageing, Disability and Home Care</w:t>
      </w:r>
    </w:p>
    <w:p w:rsidR="00A520CD" w:rsidRPr="00CE1879" w:rsidRDefault="00A520CD" w:rsidP="00F00E67">
      <w:pPr>
        <w:spacing w:line="360" w:lineRule="auto"/>
        <w:ind w:left="-360"/>
        <w:rPr>
          <w:rFonts w:ascii="Arial" w:hAnsi="Arial" w:cs="Arial"/>
          <w:b/>
          <w:bCs/>
        </w:rPr>
      </w:pPr>
    </w:p>
    <w:p w:rsidR="00886155" w:rsidRPr="00CE1879" w:rsidRDefault="00886155" w:rsidP="00F00E67">
      <w:pPr>
        <w:spacing w:line="360" w:lineRule="auto"/>
        <w:ind w:left="-360"/>
        <w:rPr>
          <w:rFonts w:ascii="Arial" w:hAnsi="Arial" w:cs="Arial"/>
          <w:noProof w:val="0"/>
          <w:color w:val="222222"/>
          <w:lang w:eastAsia="en-AU"/>
        </w:rPr>
      </w:pPr>
    </w:p>
    <w:sectPr w:rsidR="00886155" w:rsidRPr="00CE1879" w:rsidSect="00FF2D1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11" w:rsidRDefault="00C50611" w:rsidP="00456B96">
      <w:r>
        <w:separator/>
      </w:r>
    </w:p>
  </w:endnote>
  <w:endnote w:type="continuationSeparator" w:id="0">
    <w:p w:rsidR="00C50611" w:rsidRDefault="00C50611" w:rsidP="0045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11" w:rsidRDefault="00C50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11" w:rsidRDefault="00C50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11" w:rsidRDefault="00C50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11" w:rsidRDefault="00C50611" w:rsidP="00456B96">
      <w:r>
        <w:separator/>
      </w:r>
    </w:p>
  </w:footnote>
  <w:footnote w:type="continuationSeparator" w:id="0">
    <w:p w:rsidR="00C50611" w:rsidRDefault="00C50611" w:rsidP="00456B96">
      <w:r>
        <w:continuationSeparator/>
      </w:r>
    </w:p>
  </w:footnote>
  <w:footnote w:id="1">
    <w:p w:rsidR="00C50611" w:rsidRPr="002B0549" w:rsidRDefault="00C50611" w:rsidP="00D93937">
      <w:pPr>
        <w:pStyle w:val="FootnoteText"/>
        <w:rPr>
          <w:rFonts w:ascii="Arial" w:hAnsi="Arial"/>
          <w:sz w:val="24"/>
          <w:szCs w:val="24"/>
        </w:rPr>
      </w:pPr>
      <w:r w:rsidRPr="002B0549">
        <w:rPr>
          <w:rStyle w:val="FootnoteReference"/>
          <w:rFonts w:ascii="Arial" w:hAnsi="Arial"/>
          <w:sz w:val="24"/>
          <w:szCs w:val="24"/>
        </w:rPr>
        <w:footnoteRef/>
      </w:r>
      <w:r w:rsidRPr="002B0549">
        <w:rPr>
          <w:rFonts w:ascii="Arial" w:hAnsi="Arial"/>
          <w:sz w:val="24"/>
          <w:szCs w:val="24"/>
        </w:rPr>
        <w:t xml:space="preserve"> See for example </w:t>
      </w:r>
      <w:proofErr w:type="spellStart"/>
      <w:r w:rsidRPr="002B0549">
        <w:rPr>
          <w:rFonts w:ascii="Arial" w:hAnsi="Arial"/>
          <w:sz w:val="24"/>
          <w:szCs w:val="24"/>
        </w:rPr>
        <w:t>Vassos</w:t>
      </w:r>
      <w:proofErr w:type="spellEnd"/>
      <w:r w:rsidRPr="002B0549">
        <w:rPr>
          <w:rFonts w:ascii="Arial" w:hAnsi="Arial"/>
          <w:sz w:val="24"/>
          <w:szCs w:val="24"/>
        </w:rPr>
        <w:t xml:space="preserve">, Nankervis, </w:t>
      </w:r>
      <w:proofErr w:type="spellStart"/>
      <w:r w:rsidRPr="002B0549">
        <w:rPr>
          <w:rFonts w:ascii="Arial" w:hAnsi="Arial"/>
          <w:sz w:val="24"/>
          <w:szCs w:val="24"/>
        </w:rPr>
        <w:t>Skerry</w:t>
      </w:r>
      <w:proofErr w:type="spellEnd"/>
      <w:r w:rsidRPr="002B0549">
        <w:rPr>
          <w:rFonts w:ascii="Arial" w:hAnsi="Arial"/>
          <w:sz w:val="24"/>
          <w:szCs w:val="24"/>
        </w:rPr>
        <w:t xml:space="preserve"> and </w:t>
      </w:r>
      <w:proofErr w:type="spellStart"/>
      <w:r w:rsidRPr="002B0549">
        <w:rPr>
          <w:rFonts w:ascii="Arial" w:hAnsi="Arial"/>
          <w:sz w:val="24"/>
          <w:szCs w:val="24"/>
        </w:rPr>
        <w:t>Lante</w:t>
      </w:r>
      <w:proofErr w:type="spellEnd"/>
      <w:r w:rsidRPr="002B0549">
        <w:rPr>
          <w:rFonts w:ascii="Arial" w:hAnsi="Arial"/>
          <w:sz w:val="24"/>
          <w:szCs w:val="24"/>
        </w:rPr>
        <w:t xml:space="preserve"> 2013, ‘Work Engagement and Job Burnout within the Disability Support Worker Population’, Research in Developmental Disabilities, Vol. 34, pp. 3884-3895.</w:t>
      </w:r>
    </w:p>
    <w:p w:rsidR="00C50611" w:rsidRDefault="00C50611">
      <w:pPr>
        <w:pStyle w:val="FootnoteText"/>
      </w:pPr>
    </w:p>
  </w:footnote>
  <w:footnote w:id="2">
    <w:p w:rsidR="00C50611" w:rsidRPr="002B0549" w:rsidRDefault="00C50611" w:rsidP="00D93937">
      <w:pPr>
        <w:pStyle w:val="FootnoteText"/>
        <w:rPr>
          <w:rFonts w:ascii="Arial" w:hAnsi="Arial"/>
          <w:sz w:val="24"/>
          <w:szCs w:val="24"/>
        </w:rPr>
      </w:pPr>
      <w:r w:rsidRPr="002B0549">
        <w:rPr>
          <w:rStyle w:val="FootnoteReference"/>
          <w:rFonts w:ascii="Arial" w:hAnsi="Arial"/>
          <w:sz w:val="24"/>
          <w:szCs w:val="24"/>
        </w:rPr>
        <w:footnoteRef/>
      </w:r>
      <w:r w:rsidRPr="002B0549">
        <w:rPr>
          <w:rFonts w:ascii="Arial" w:hAnsi="Arial"/>
          <w:sz w:val="24"/>
          <w:szCs w:val="24"/>
        </w:rPr>
        <w:t xml:space="preserve"> See Appendix C for a note on recent research related to worker satisfaction, engagement and related areas in the Australian disability sector context.  </w:t>
      </w:r>
    </w:p>
    <w:p w:rsidR="00C50611" w:rsidRPr="002B0549" w:rsidRDefault="00C50611">
      <w:pPr>
        <w:pStyle w:val="FootnoteText"/>
        <w:rPr>
          <w:rFonts w:ascii="Arial" w:hAnsi="Arial"/>
          <w:sz w:val="24"/>
          <w:szCs w:val="24"/>
        </w:rPr>
      </w:pPr>
    </w:p>
  </w:footnote>
  <w:footnote w:id="3">
    <w:p w:rsidR="00C50611" w:rsidRPr="002B0549" w:rsidRDefault="00C50611" w:rsidP="00AC1B19">
      <w:pPr>
        <w:pStyle w:val="FootnoteText"/>
        <w:rPr>
          <w:rFonts w:ascii="Arial" w:hAnsi="Arial"/>
          <w:sz w:val="24"/>
          <w:szCs w:val="24"/>
        </w:rPr>
      </w:pPr>
      <w:r w:rsidRPr="002B0549">
        <w:rPr>
          <w:rStyle w:val="FootnoteReference"/>
          <w:rFonts w:ascii="Arial" w:hAnsi="Arial"/>
          <w:sz w:val="24"/>
          <w:szCs w:val="24"/>
        </w:rPr>
        <w:footnoteRef/>
      </w:r>
      <w:r w:rsidRPr="002B0549">
        <w:rPr>
          <w:rFonts w:ascii="Arial" w:hAnsi="Arial"/>
          <w:sz w:val="24"/>
          <w:szCs w:val="24"/>
        </w:rPr>
        <w:t xml:space="preserve"> </w:t>
      </w:r>
      <w:r w:rsidRPr="002B0549">
        <w:rPr>
          <w:rFonts w:ascii="Arial" w:hAnsi="Arial"/>
          <w:sz w:val="24"/>
          <w:szCs w:val="24"/>
          <w:lang w:val="en"/>
        </w:rPr>
        <w:t>NDS partnered with Voice Project (a leading organisational development research and consulting company) and representatives from the sector to develop a disability industry specific employee engagement survey.</w:t>
      </w:r>
    </w:p>
  </w:footnote>
  <w:footnote w:id="4">
    <w:p w:rsidR="00C50611" w:rsidRPr="002B0549" w:rsidRDefault="00C50611" w:rsidP="00336E30">
      <w:pPr>
        <w:pStyle w:val="BodyText2"/>
        <w:spacing w:before="120" w:after="120"/>
        <w:ind w:left="0"/>
        <w:jc w:val="both"/>
        <w:rPr>
          <w:rFonts w:ascii="Arial" w:hAnsi="Arial" w:cs="Arial"/>
          <w:szCs w:val="24"/>
        </w:rPr>
      </w:pPr>
      <w:r w:rsidRPr="002B0549">
        <w:rPr>
          <w:rStyle w:val="FootnoteReference"/>
          <w:rFonts w:ascii="Arial" w:eastAsiaTheme="minorHAnsi" w:hAnsi="Arial" w:cs="Arial"/>
          <w:szCs w:val="24"/>
        </w:rPr>
        <w:footnoteRef/>
      </w:r>
      <w:r w:rsidRPr="002B0549">
        <w:rPr>
          <w:rStyle w:val="FootnoteReference"/>
          <w:rFonts w:ascii="Arial" w:eastAsiaTheme="minorHAnsi" w:hAnsi="Arial" w:cs="Arial"/>
          <w:szCs w:val="24"/>
        </w:rPr>
        <w:t xml:space="preserve"> </w:t>
      </w:r>
      <w:r w:rsidRPr="002B0549">
        <w:rPr>
          <w:rFonts w:ascii="Arial" w:eastAsiaTheme="minorHAnsi" w:hAnsi="Arial" w:cs="Arial"/>
          <w:szCs w:val="24"/>
        </w:rPr>
        <w:t>Langford, P. H., Parkes, L. P., &amp; Metcalf, L. (2006). Developing a structural equation model of organisational performance and employee engagement. Proceedings of the Joint Conference of the Australian Psychological Society and the New Zealand Psychological Society, Auckland.</w:t>
      </w:r>
    </w:p>
  </w:footnote>
  <w:footnote w:id="5">
    <w:p w:rsidR="00C50611" w:rsidRPr="002B0549" w:rsidRDefault="00C50611" w:rsidP="00336E30">
      <w:pPr>
        <w:pStyle w:val="BodyText2"/>
        <w:spacing w:before="120" w:after="120"/>
        <w:ind w:left="0"/>
        <w:rPr>
          <w:rFonts w:ascii="Arial" w:hAnsi="Arial" w:cs="Arial"/>
          <w:szCs w:val="24"/>
        </w:rPr>
      </w:pPr>
      <w:r w:rsidRPr="002B0549">
        <w:rPr>
          <w:rStyle w:val="FootnoteReference"/>
          <w:rFonts w:ascii="Arial" w:hAnsi="Arial" w:cs="Arial"/>
          <w:szCs w:val="24"/>
        </w:rPr>
        <w:footnoteRef/>
      </w:r>
      <w:r w:rsidRPr="002B0549">
        <w:rPr>
          <w:rFonts w:ascii="Arial" w:hAnsi="Arial" w:cs="Arial"/>
          <w:szCs w:val="24"/>
        </w:rPr>
        <w:t xml:space="preserve"> </w:t>
      </w:r>
      <w:r w:rsidRPr="002B0549">
        <w:rPr>
          <w:rFonts w:ascii="Arial" w:eastAsiaTheme="minorHAnsi" w:hAnsi="Arial" w:cs="Arial"/>
          <w:szCs w:val="24"/>
        </w:rPr>
        <w:t>Langford, P. H. (2009). Measuring organisational climate and employee engagement: Evidence for a “7 Ps” model of work practices and outcomes. Australian Journal of Psychology, 61, 185-198.</w:t>
      </w:r>
    </w:p>
  </w:footnote>
  <w:footnote w:id="6">
    <w:p w:rsidR="00C50611" w:rsidRPr="002B0549" w:rsidRDefault="00C50611" w:rsidP="002B39DA">
      <w:pPr>
        <w:pStyle w:val="FootnoteText"/>
        <w:rPr>
          <w:rFonts w:ascii="Arial" w:hAnsi="Arial"/>
          <w:sz w:val="24"/>
          <w:szCs w:val="24"/>
        </w:rPr>
      </w:pPr>
      <w:r w:rsidRPr="002B0549">
        <w:rPr>
          <w:rStyle w:val="FootnoteReference"/>
          <w:rFonts w:ascii="Arial" w:hAnsi="Arial"/>
          <w:sz w:val="24"/>
          <w:szCs w:val="24"/>
        </w:rPr>
        <w:footnoteRef/>
      </w:r>
      <w:r w:rsidRPr="002B0549">
        <w:rPr>
          <w:rFonts w:ascii="Arial" w:hAnsi="Arial"/>
          <w:sz w:val="24"/>
          <w:szCs w:val="24"/>
        </w:rPr>
        <w:t xml:space="preserve"> Focus groups were conducted with a number of people from organisations participating in a pilot project and with other key stakeholders. As a result of this process, the wording of some items was adjusted slightly to make it clearer or more relevant, some standard items were removed, and some additional items were built in.</w:t>
      </w:r>
    </w:p>
    <w:p w:rsidR="00C50611" w:rsidRDefault="00C50611">
      <w:pPr>
        <w:pStyle w:val="FootnoteText"/>
      </w:pPr>
    </w:p>
  </w:footnote>
  <w:footnote w:id="7">
    <w:p w:rsidR="00C50611" w:rsidRPr="00717D52" w:rsidRDefault="00C50611">
      <w:pPr>
        <w:pStyle w:val="FootnoteText"/>
        <w:rPr>
          <w:rFonts w:ascii="Arial" w:hAnsi="Arial"/>
          <w:sz w:val="24"/>
          <w:szCs w:val="24"/>
        </w:rPr>
      </w:pPr>
      <w:r w:rsidRPr="00717D52">
        <w:rPr>
          <w:rStyle w:val="FootnoteReference"/>
          <w:rFonts w:ascii="Arial" w:hAnsi="Arial"/>
          <w:sz w:val="24"/>
          <w:szCs w:val="24"/>
        </w:rPr>
        <w:footnoteRef/>
      </w:r>
      <w:r w:rsidRPr="00717D52">
        <w:rPr>
          <w:rFonts w:ascii="Arial" w:hAnsi="Arial"/>
          <w:sz w:val="24"/>
          <w:szCs w:val="24"/>
        </w:rPr>
        <w:t xml:space="preserve"> Martin and Healy (2010) Who works in community services</w:t>
      </w:r>
      <w:proofErr w:type="gramStart"/>
      <w:r w:rsidRPr="00717D52">
        <w:rPr>
          <w:rFonts w:ascii="Arial" w:hAnsi="Arial"/>
          <w:sz w:val="24"/>
          <w:szCs w:val="24"/>
        </w:rPr>
        <w:t>?.</w:t>
      </w:r>
      <w:proofErr w:type="gramEnd"/>
      <w:r w:rsidRPr="00717D52">
        <w:rPr>
          <w:rFonts w:ascii="Arial" w:hAnsi="Arial"/>
          <w:sz w:val="24"/>
          <w:szCs w:val="24"/>
        </w:rPr>
        <w:t xml:space="preserve"> National Institute of Labour Studies</w:t>
      </w:r>
    </w:p>
  </w:footnote>
  <w:footnote w:id="8">
    <w:p w:rsidR="00C50611" w:rsidRPr="00717D52" w:rsidRDefault="00C50611">
      <w:pPr>
        <w:pStyle w:val="FootnoteText"/>
        <w:rPr>
          <w:rFonts w:ascii="Arial" w:hAnsi="Arial"/>
          <w:sz w:val="24"/>
          <w:szCs w:val="24"/>
        </w:rPr>
      </w:pPr>
      <w:r w:rsidRPr="00717D52">
        <w:rPr>
          <w:rStyle w:val="FootnoteReference"/>
          <w:rFonts w:ascii="Arial" w:hAnsi="Arial"/>
          <w:sz w:val="24"/>
          <w:szCs w:val="24"/>
        </w:rPr>
        <w:footnoteRef/>
      </w:r>
      <w:r w:rsidRPr="00717D52">
        <w:rPr>
          <w:rFonts w:ascii="Arial" w:hAnsi="Arial"/>
          <w:sz w:val="24"/>
          <w:szCs w:val="24"/>
        </w:rPr>
        <w:t xml:space="preserve"> Ibid, page133-134</w:t>
      </w:r>
    </w:p>
  </w:footnote>
  <w:footnote w:id="9">
    <w:p w:rsidR="00C50611" w:rsidRPr="00717D52" w:rsidRDefault="00C50611">
      <w:pPr>
        <w:pStyle w:val="FootnoteText"/>
        <w:rPr>
          <w:rFonts w:ascii="Arial" w:hAnsi="Arial"/>
        </w:rPr>
      </w:pPr>
      <w:r w:rsidRPr="00717D52">
        <w:rPr>
          <w:rStyle w:val="FootnoteReference"/>
          <w:rFonts w:ascii="Arial" w:hAnsi="Arial"/>
        </w:rPr>
        <w:footnoteRef/>
      </w:r>
      <w:r w:rsidRPr="00717D52">
        <w:rPr>
          <w:rFonts w:ascii="Arial" w:hAnsi="Arial"/>
        </w:rPr>
        <w:t xml:space="preserve"> Eastment, B.L. (2012). Driven to stay: unwrapping engagement and retention in the public sector. CPA Congress 2012, Adelaide.</w:t>
      </w:r>
    </w:p>
  </w:footnote>
  <w:footnote w:id="10">
    <w:p w:rsidR="00C50611" w:rsidRPr="00B879DF" w:rsidRDefault="00C50611">
      <w:pPr>
        <w:pStyle w:val="FootnoteText"/>
        <w:rPr>
          <w:rFonts w:ascii="Arial" w:hAnsi="Arial"/>
          <w:sz w:val="24"/>
          <w:szCs w:val="24"/>
        </w:rPr>
      </w:pPr>
      <w:r w:rsidRPr="00B879DF">
        <w:rPr>
          <w:rStyle w:val="FootnoteReference"/>
          <w:rFonts w:ascii="Arial" w:hAnsi="Arial"/>
          <w:sz w:val="24"/>
          <w:szCs w:val="24"/>
        </w:rPr>
        <w:footnoteRef/>
      </w:r>
      <w:r w:rsidRPr="00B879DF">
        <w:rPr>
          <w:rFonts w:ascii="Arial" w:hAnsi="Arial"/>
          <w:sz w:val="24"/>
          <w:szCs w:val="24"/>
        </w:rPr>
        <w:t xml:space="preserve"> Parkes, L.P. (2009). Supporting employment for people with a disability. Paper presented at the 8</w:t>
      </w:r>
      <w:r w:rsidRPr="00B879DF">
        <w:rPr>
          <w:rFonts w:ascii="Arial" w:hAnsi="Arial"/>
          <w:sz w:val="24"/>
          <w:szCs w:val="24"/>
          <w:vertAlign w:val="superscript"/>
        </w:rPr>
        <w:t>th</w:t>
      </w:r>
      <w:r w:rsidRPr="00B879DF">
        <w:rPr>
          <w:rFonts w:ascii="Arial" w:hAnsi="Arial"/>
          <w:sz w:val="24"/>
          <w:szCs w:val="24"/>
        </w:rPr>
        <w:t xml:space="preserve"> Industrial Psychology Conference, Sydney.</w:t>
      </w:r>
    </w:p>
  </w:footnote>
  <w:footnote w:id="11">
    <w:p w:rsidR="00C50611" w:rsidRPr="00B879DF" w:rsidRDefault="00C50611">
      <w:pPr>
        <w:pStyle w:val="FootnoteText"/>
        <w:rPr>
          <w:rFonts w:ascii="Arial" w:hAnsi="Arial"/>
          <w:sz w:val="24"/>
          <w:szCs w:val="24"/>
        </w:rPr>
      </w:pPr>
      <w:r w:rsidRPr="00B879DF">
        <w:rPr>
          <w:rStyle w:val="FootnoteReference"/>
          <w:rFonts w:ascii="Arial" w:hAnsi="Arial"/>
          <w:sz w:val="24"/>
          <w:szCs w:val="24"/>
        </w:rPr>
        <w:footnoteRef/>
      </w:r>
      <w:r w:rsidRPr="00B879DF">
        <w:rPr>
          <w:rFonts w:ascii="Arial" w:hAnsi="Arial"/>
          <w:sz w:val="24"/>
          <w:szCs w:val="24"/>
        </w:rPr>
        <w:t xml:space="preserve"> Parkes, L.P. &amp; Langford, P. (2006). 'Money or the mission? </w:t>
      </w:r>
      <w:proofErr w:type="gramStart"/>
      <w:r w:rsidRPr="00B879DF">
        <w:rPr>
          <w:rFonts w:ascii="Arial" w:hAnsi="Arial"/>
          <w:sz w:val="24"/>
          <w:szCs w:val="24"/>
        </w:rPr>
        <w:t>comparing</w:t>
      </w:r>
      <w:proofErr w:type="gramEnd"/>
      <w:r w:rsidRPr="00B879DF">
        <w:rPr>
          <w:rFonts w:ascii="Arial" w:hAnsi="Arial"/>
          <w:sz w:val="24"/>
          <w:szCs w:val="24"/>
        </w:rPr>
        <w:t xml:space="preserve"> drivers of employee engagement in commercial and not-for-profit organisations', Proceedings of the 20th ANZAM (Australian New Zealand Academy of Management) Conference on "Management: Pragmatism, Philosophy, Priorities", 6-9 December 2006.</w:t>
      </w:r>
    </w:p>
  </w:footnote>
  <w:footnote w:id="12">
    <w:p w:rsidR="00C50611" w:rsidRPr="008018FD" w:rsidRDefault="00C50611" w:rsidP="00A9678D">
      <w:pPr>
        <w:pStyle w:val="FootnoteText"/>
        <w:rPr>
          <w:rFonts w:ascii="Arial" w:hAnsi="Arial"/>
          <w:sz w:val="24"/>
          <w:szCs w:val="24"/>
        </w:rPr>
      </w:pPr>
      <w:r w:rsidRPr="008018FD">
        <w:rPr>
          <w:rStyle w:val="FootnoteReference"/>
          <w:rFonts w:ascii="Arial" w:hAnsi="Arial"/>
          <w:sz w:val="24"/>
          <w:szCs w:val="24"/>
        </w:rPr>
        <w:footnoteRef/>
      </w:r>
      <w:r w:rsidRPr="008018FD">
        <w:rPr>
          <w:rFonts w:ascii="Arial" w:hAnsi="Arial"/>
          <w:sz w:val="24"/>
          <w:szCs w:val="24"/>
        </w:rPr>
        <w:t xml:space="preserve"> </w:t>
      </w:r>
      <w:proofErr w:type="spellStart"/>
      <w:r w:rsidRPr="008018FD">
        <w:rPr>
          <w:rFonts w:ascii="Arial" w:hAnsi="Arial"/>
          <w:sz w:val="24"/>
          <w:szCs w:val="24"/>
        </w:rPr>
        <w:t>J</w:t>
      </w:r>
      <w:r w:rsidRPr="008018FD">
        <w:rPr>
          <w:rFonts w:ascii="Arial" w:hAnsi="Arial"/>
          <w:color w:val="000000"/>
          <w:sz w:val="24"/>
          <w:szCs w:val="24"/>
          <w:shd w:val="clear" w:color="auto" w:fill="FFFFFF"/>
        </w:rPr>
        <w:t>enaro</w:t>
      </w:r>
      <w:proofErr w:type="spellEnd"/>
      <w:r w:rsidRPr="008018FD">
        <w:rPr>
          <w:rFonts w:ascii="Arial" w:hAnsi="Arial"/>
          <w:color w:val="000000"/>
          <w:sz w:val="24"/>
          <w:szCs w:val="24"/>
          <w:shd w:val="clear" w:color="auto" w:fill="FFFFFF"/>
        </w:rPr>
        <w:t xml:space="preserve">, C, Flores, N, </w:t>
      </w:r>
      <w:proofErr w:type="spellStart"/>
      <w:r w:rsidRPr="008018FD">
        <w:rPr>
          <w:rFonts w:ascii="Arial" w:hAnsi="Arial"/>
          <w:color w:val="000000"/>
          <w:sz w:val="24"/>
          <w:szCs w:val="24"/>
          <w:shd w:val="clear" w:color="auto" w:fill="FFFFFF"/>
        </w:rPr>
        <w:t>Orgaz</w:t>
      </w:r>
      <w:proofErr w:type="spellEnd"/>
      <w:r w:rsidRPr="008018FD">
        <w:rPr>
          <w:rFonts w:ascii="Arial" w:hAnsi="Arial"/>
          <w:color w:val="000000"/>
          <w:sz w:val="24"/>
          <w:szCs w:val="24"/>
          <w:shd w:val="clear" w:color="auto" w:fill="FFFFFF"/>
        </w:rPr>
        <w:t>, M. B. and Cruz, M, 2011, ‘Vigour and dedication in nursing professionals: towards a better understanding of work engagement’, Journal of Advanced Nursing, Vol. 67, pp. 865–875.</w:t>
      </w:r>
    </w:p>
  </w:footnote>
  <w:footnote w:id="13">
    <w:p w:rsidR="00C50611" w:rsidRPr="008018FD" w:rsidRDefault="00C50611" w:rsidP="00A9678D">
      <w:pPr>
        <w:pStyle w:val="FootnoteText"/>
        <w:rPr>
          <w:rFonts w:ascii="Arial" w:hAnsi="Arial"/>
          <w:sz w:val="24"/>
          <w:szCs w:val="24"/>
        </w:rPr>
      </w:pPr>
      <w:r w:rsidRPr="008018FD">
        <w:rPr>
          <w:rStyle w:val="FootnoteReference"/>
          <w:rFonts w:ascii="Arial" w:hAnsi="Arial"/>
          <w:sz w:val="24"/>
          <w:szCs w:val="24"/>
        </w:rPr>
        <w:footnoteRef/>
      </w:r>
      <w:r w:rsidRPr="008018FD">
        <w:rPr>
          <w:rFonts w:ascii="Arial" w:hAnsi="Arial"/>
          <w:sz w:val="24"/>
          <w:szCs w:val="24"/>
        </w:rPr>
        <w:t xml:space="preserve"> </w:t>
      </w:r>
      <w:proofErr w:type="spellStart"/>
      <w:r w:rsidRPr="008018FD">
        <w:rPr>
          <w:rFonts w:ascii="Arial" w:hAnsi="Arial"/>
          <w:sz w:val="24"/>
          <w:szCs w:val="24"/>
        </w:rPr>
        <w:t>Maxxia</w:t>
      </w:r>
      <w:proofErr w:type="spellEnd"/>
      <w:r w:rsidRPr="008018FD">
        <w:rPr>
          <w:rFonts w:ascii="Arial" w:hAnsi="Arial"/>
          <w:sz w:val="24"/>
          <w:szCs w:val="24"/>
        </w:rPr>
        <w:t xml:space="preserve"> Workplace Insights: 2013 Not-for-Profit Sentiment Study, June 2013, Key Insights and Summary Report, viewed 16 September 2013, http://www.maxxia.com.au/media/927322/maxmkg_nfpreport_web_0613.pdf</w:t>
      </w:r>
    </w:p>
  </w:footnote>
  <w:footnote w:id="14">
    <w:p w:rsidR="00C50611" w:rsidRPr="008018FD" w:rsidRDefault="00C50611" w:rsidP="00A9678D">
      <w:pPr>
        <w:pStyle w:val="FootnoteText"/>
        <w:rPr>
          <w:rFonts w:ascii="Arial" w:hAnsi="Arial"/>
          <w:sz w:val="24"/>
          <w:szCs w:val="24"/>
        </w:rPr>
      </w:pPr>
      <w:r w:rsidRPr="008018FD">
        <w:rPr>
          <w:rStyle w:val="FootnoteReference"/>
          <w:rFonts w:ascii="Arial" w:hAnsi="Arial"/>
          <w:sz w:val="24"/>
          <w:szCs w:val="24"/>
        </w:rPr>
        <w:footnoteRef/>
      </w:r>
      <w:r w:rsidRPr="008018FD">
        <w:rPr>
          <w:rFonts w:ascii="Arial" w:hAnsi="Arial"/>
          <w:sz w:val="24"/>
          <w:szCs w:val="24"/>
        </w:rPr>
        <w:t xml:space="preserve"> </w:t>
      </w:r>
      <w:proofErr w:type="spellStart"/>
      <w:r w:rsidRPr="008018FD">
        <w:rPr>
          <w:rFonts w:ascii="Arial" w:hAnsi="Arial"/>
          <w:sz w:val="24"/>
          <w:szCs w:val="24"/>
        </w:rPr>
        <w:t>Rimfire</w:t>
      </w:r>
      <w:proofErr w:type="spellEnd"/>
      <w:r w:rsidRPr="008018FD">
        <w:rPr>
          <w:rFonts w:ascii="Arial" w:hAnsi="Arial"/>
          <w:sz w:val="24"/>
          <w:szCs w:val="24"/>
        </w:rPr>
        <w:t xml:space="preserve"> Resources 2010, National Disability Services Victoria: Disability Services Workforce Data Project, viewed 25 November 2013, http://www.nds.org.au/projects/article/79</w:t>
      </w:r>
    </w:p>
  </w:footnote>
  <w:footnote w:id="15">
    <w:p w:rsidR="00C50611" w:rsidRPr="008018FD" w:rsidRDefault="00C50611" w:rsidP="00A9678D">
      <w:pPr>
        <w:pStyle w:val="FootnoteText"/>
      </w:pPr>
      <w:r w:rsidRPr="008018FD">
        <w:rPr>
          <w:rStyle w:val="FootnoteReference"/>
          <w:rFonts w:ascii="Arial" w:hAnsi="Arial"/>
          <w:sz w:val="24"/>
          <w:szCs w:val="24"/>
        </w:rPr>
        <w:footnoteRef/>
      </w:r>
      <w:r w:rsidRPr="008018FD">
        <w:rPr>
          <w:rFonts w:ascii="Arial" w:hAnsi="Arial"/>
          <w:sz w:val="24"/>
          <w:szCs w:val="24"/>
        </w:rPr>
        <w:t xml:space="preserve"> </w:t>
      </w:r>
      <w:proofErr w:type="spellStart"/>
      <w:r w:rsidRPr="008018FD">
        <w:rPr>
          <w:rFonts w:ascii="Arial" w:hAnsi="Arial"/>
          <w:sz w:val="24"/>
          <w:szCs w:val="24"/>
        </w:rPr>
        <w:t>Vassos</w:t>
      </w:r>
      <w:proofErr w:type="spellEnd"/>
      <w:r w:rsidRPr="008018FD">
        <w:rPr>
          <w:rFonts w:ascii="Arial" w:hAnsi="Arial"/>
          <w:sz w:val="24"/>
          <w:szCs w:val="24"/>
        </w:rPr>
        <w:t xml:space="preserve">, Nankervis, </w:t>
      </w:r>
      <w:proofErr w:type="spellStart"/>
      <w:r w:rsidRPr="008018FD">
        <w:rPr>
          <w:rFonts w:ascii="Arial" w:hAnsi="Arial"/>
          <w:sz w:val="24"/>
          <w:szCs w:val="24"/>
        </w:rPr>
        <w:t>Skerry</w:t>
      </w:r>
      <w:proofErr w:type="spellEnd"/>
      <w:r w:rsidRPr="008018FD">
        <w:rPr>
          <w:rFonts w:ascii="Arial" w:hAnsi="Arial"/>
          <w:sz w:val="24"/>
          <w:szCs w:val="24"/>
        </w:rPr>
        <w:t xml:space="preserve"> and </w:t>
      </w:r>
      <w:proofErr w:type="spellStart"/>
      <w:r w:rsidRPr="008018FD">
        <w:rPr>
          <w:rFonts w:ascii="Arial" w:hAnsi="Arial"/>
          <w:sz w:val="24"/>
          <w:szCs w:val="24"/>
        </w:rPr>
        <w:t>Lante</w:t>
      </w:r>
      <w:proofErr w:type="spellEnd"/>
      <w:r w:rsidRPr="008018FD">
        <w:rPr>
          <w:rFonts w:ascii="Arial" w:hAnsi="Arial"/>
          <w:sz w:val="24"/>
          <w:szCs w:val="24"/>
        </w:rPr>
        <w:t xml:space="preserve"> 2013, ‘Work Engagement and Job Burnout within the Disability Support Worker Population’, Research in Developmental Disabilities, Vol. 34, pp. 3884-3895.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11" w:rsidRDefault="00C50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11" w:rsidRDefault="00C506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11" w:rsidRDefault="00C50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7B78"/>
    <w:multiLevelType w:val="hybridMultilevel"/>
    <w:tmpl w:val="3CB8B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CC2643"/>
    <w:multiLevelType w:val="hybridMultilevel"/>
    <w:tmpl w:val="271C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A2D54"/>
    <w:multiLevelType w:val="hybridMultilevel"/>
    <w:tmpl w:val="6DC0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4E606E"/>
    <w:multiLevelType w:val="hybridMultilevel"/>
    <w:tmpl w:val="6EA4EC3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4">
    <w:nsid w:val="12627825"/>
    <w:multiLevelType w:val="hybridMultilevel"/>
    <w:tmpl w:val="FFDAE6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9E5964"/>
    <w:multiLevelType w:val="hybridMultilevel"/>
    <w:tmpl w:val="43E4D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7B523A"/>
    <w:multiLevelType w:val="multilevel"/>
    <w:tmpl w:val="80DAAC9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AE04007"/>
    <w:multiLevelType w:val="hybridMultilevel"/>
    <w:tmpl w:val="99DAF0C8"/>
    <w:lvl w:ilvl="0" w:tplc="F722616A">
      <w:numFmt w:val="bullet"/>
      <w:lvlText w:val="-"/>
      <w:lvlJc w:val="left"/>
      <w:pPr>
        <w:ind w:left="390" w:hanging="360"/>
      </w:pPr>
      <w:rPr>
        <w:rFonts w:ascii="Calibri" w:eastAsia="Times New Roman" w:hAnsi="Calibri" w:cs="Times New Roman"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nsid w:val="1F0F3A20"/>
    <w:multiLevelType w:val="hybridMultilevel"/>
    <w:tmpl w:val="003C7EA6"/>
    <w:lvl w:ilvl="0" w:tplc="8682C73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3F7E18"/>
    <w:multiLevelType w:val="hybridMultilevel"/>
    <w:tmpl w:val="7D5235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1D42A2"/>
    <w:multiLevelType w:val="multilevel"/>
    <w:tmpl w:val="05D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32192"/>
    <w:multiLevelType w:val="hybridMultilevel"/>
    <w:tmpl w:val="08309C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130474A"/>
    <w:multiLevelType w:val="multilevel"/>
    <w:tmpl w:val="51C6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74415"/>
    <w:multiLevelType w:val="hybridMultilevel"/>
    <w:tmpl w:val="3CB8B01C"/>
    <w:lvl w:ilvl="0" w:tplc="0C09000F">
      <w:start w:val="1"/>
      <w:numFmt w:val="decimal"/>
      <w:lvlText w:val="%1."/>
      <w:lvlJc w:val="left"/>
      <w:pPr>
        <w:ind w:left="-720" w:hanging="360"/>
      </w:p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14">
    <w:nsid w:val="3BE803A5"/>
    <w:multiLevelType w:val="multilevel"/>
    <w:tmpl w:val="0F52FB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F927CDC"/>
    <w:multiLevelType w:val="hybridMultilevel"/>
    <w:tmpl w:val="994E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B443396"/>
    <w:multiLevelType w:val="hybridMultilevel"/>
    <w:tmpl w:val="F808CC74"/>
    <w:lvl w:ilvl="0" w:tplc="7584EBF6">
      <w:start w:val="1"/>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BAE0912"/>
    <w:multiLevelType w:val="hybridMultilevel"/>
    <w:tmpl w:val="5374F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E224D8"/>
    <w:multiLevelType w:val="hybridMultilevel"/>
    <w:tmpl w:val="546C1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200FAA"/>
    <w:multiLevelType w:val="hybridMultilevel"/>
    <w:tmpl w:val="505A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BA409F"/>
    <w:multiLevelType w:val="hybridMultilevel"/>
    <w:tmpl w:val="B1D85A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F0C1E0F"/>
    <w:multiLevelType w:val="hybridMultilevel"/>
    <w:tmpl w:val="ACC8F9B8"/>
    <w:lvl w:ilvl="0" w:tplc="F1EEE090">
      <w:numFmt w:val="bullet"/>
      <w:lvlText w:val="-"/>
      <w:lvlJc w:val="left"/>
      <w:pPr>
        <w:ind w:left="1080" w:hanging="360"/>
      </w:pPr>
      <w:rPr>
        <w:rFonts w:ascii="Calibri" w:eastAsia="Times New Roman" w:hAnsi="Calibri" w:cs="Times New Roman"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3A924B8"/>
    <w:multiLevelType w:val="hybridMultilevel"/>
    <w:tmpl w:val="8C1450A4"/>
    <w:lvl w:ilvl="0" w:tplc="7C3C6656">
      <w:numFmt w:val="bullet"/>
      <w:lvlText w:val="-"/>
      <w:lvlJc w:val="left"/>
      <w:pPr>
        <w:ind w:left="405" w:hanging="360"/>
      </w:pPr>
      <w:rPr>
        <w:rFonts w:ascii="Calibri" w:eastAsia="SimSu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3">
    <w:nsid w:val="68170EBD"/>
    <w:multiLevelType w:val="multilevel"/>
    <w:tmpl w:val="0F52FB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6939755B"/>
    <w:multiLevelType w:val="hybridMultilevel"/>
    <w:tmpl w:val="010C8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D1467CA"/>
    <w:multiLevelType w:val="hybridMultilevel"/>
    <w:tmpl w:val="7EEA7234"/>
    <w:lvl w:ilvl="0" w:tplc="C9183BE8">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70013643"/>
    <w:multiLevelType w:val="hybridMultilevel"/>
    <w:tmpl w:val="CC16FE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0083CEE"/>
    <w:multiLevelType w:val="multilevel"/>
    <w:tmpl w:val="80DAA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8C451F"/>
    <w:multiLevelType w:val="hybridMultilevel"/>
    <w:tmpl w:val="AAA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B42F80"/>
    <w:multiLevelType w:val="hybridMultilevel"/>
    <w:tmpl w:val="E18C3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E55582A"/>
    <w:multiLevelType w:val="hybridMultilevel"/>
    <w:tmpl w:val="FAE0E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0"/>
  </w:num>
  <w:num w:numId="4">
    <w:abstractNumId w:val="21"/>
  </w:num>
  <w:num w:numId="5">
    <w:abstractNumId w:val="7"/>
  </w:num>
  <w:num w:numId="6">
    <w:abstractNumId w:val="22"/>
  </w:num>
  <w:num w:numId="7">
    <w:abstractNumId w:val="25"/>
  </w:num>
  <w:num w:numId="8">
    <w:abstractNumId w:val="27"/>
  </w:num>
  <w:num w:numId="9">
    <w:abstractNumId w:val="29"/>
  </w:num>
  <w:num w:numId="10">
    <w:abstractNumId w:val="8"/>
  </w:num>
  <w:num w:numId="11">
    <w:abstractNumId w:val="6"/>
  </w:num>
  <w:num w:numId="12">
    <w:abstractNumId w:val="16"/>
  </w:num>
  <w:num w:numId="13">
    <w:abstractNumId w:val="14"/>
  </w:num>
  <w:num w:numId="14">
    <w:abstractNumId w:val="23"/>
  </w:num>
  <w:num w:numId="15">
    <w:abstractNumId w:val="10"/>
  </w:num>
  <w:num w:numId="16">
    <w:abstractNumId w:val="12"/>
  </w:num>
  <w:num w:numId="17">
    <w:abstractNumId w:val="20"/>
  </w:num>
  <w:num w:numId="18">
    <w:abstractNumId w:val="11"/>
  </w:num>
  <w:num w:numId="19">
    <w:abstractNumId w:val="3"/>
  </w:num>
  <w:num w:numId="20">
    <w:abstractNumId w:val="4"/>
  </w:num>
  <w:num w:numId="21">
    <w:abstractNumId w:val="30"/>
  </w:num>
  <w:num w:numId="22">
    <w:abstractNumId w:val="5"/>
  </w:num>
  <w:num w:numId="23">
    <w:abstractNumId w:val="19"/>
  </w:num>
  <w:num w:numId="24">
    <w:abstractNumId w:val="1"/>
  </w:num>
  <w:num w:numId="25">
    <w:abstractNumId w:val="2"/>
  </w:num>
  <w:num w:numId="26">
    <w:abstractNumId w:val="18"/>
  </w:num>
  <w:num w:numId="27">
    <w:abstractNumId w:val="17"/>
  </w:num>
  <w:num w:numId="28">
    <w:abstractNumId w:val="15"/>
  </w:num>
  <w:num w:numId="29">
    <w:abstractNumId w:val="26"/>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12"/>
    <w:rsid w:val="00000BD7"/>
    <w:rsid w:val="00001E0C"/>
    <w:rsid w:val="000073CF"/>
    <w:rsid w:val="000100ED"/>
    <w:rsid w:val="00011341"/>
    <w:rsid w:val="00014E30"/>
    <w:rsid w:val="00015E96"/>
    <w:rsid w:val="000162BA"/>
    <w:rsid w:val="00016ED1"/>
    <w:rsid w:val="00020420"/>
    <w:rsid w:val="00022CD9"/>
    <w:rsid w:val="0004145A"/>
    <w:rsid w:val="00043251"/>
    <w:rsid w:val="000449FE"/>
    <w:rsid w:val="00050A65"/>
    <w:rsid w:val="000521BF"/>
    <w:rsid w:val="000572DE"/>
    <w:rsid w:val="00071F2D"/>
    <w:rsid w:val="00073647"/>
    <w:rsid w:val="00075848"/>
    <w:rsid w:val="00077FA1"/>
    <w:rsid w:val="00082200"/>
    <w:rsid w:val="0008291E"/>
    <w:rsid w:val="00090B27"/>
    <w:rsid w:val="0009474F"/>
    <w:rsid w:val="000A0B22"/>
    <w:rsid w:val="000A160A"/>
    <w:rsid w:val="000A21B3"/>
    <w:rsid w:val="000A304F"/>
    <w:rsid w:val="000A3ECF"/>
    <w:rsid w:val="000A4883"/>
    <w:rsid w:val="000A4CC5"/>
    <w:rsid w:val="000A4DBA"/>
    <w:rsid w:val="000A75FB"/>
    <w:rsid w:val="000B3632"/>
    <w:rsid w:val="000B6672"/>
    <w:rsid w:val="000C0FE4"/>
    <w:rsid w:val="000C2E65"/>
    <w:rsid w:val="000C4390"/>
    <w:rsid w:val="000C6772"/>
    <w:rsid w:val="000C796B"/>
    <w:rsid w:val="000D1630"/>
    <w:rsid w:val="000D262C"/>
    <w:rsid w:val="000D263C"/>
    <w:rsid w:val="000D7EFF"/>
    <w:rsid w:val="000E0598"/>
    <w:rsid w:val="000E3318"/>
    <w:rsid w:val="000E5554"/>
    <w:rsid w:val="000E6F05"/>
    <w:rsid w:val="000E758E"/>
    <w:rsid w:val="000F010B"/>
    <w:rsid w:val="000F24DC"/>
    <w:rsid w:val="000F30C9"/>
    <w:rsid w:val="000F5D41"/>
    <w:rsid w:val="000F6B32"/>
    <w:rsid w:val="0010144A"/>
    <w:rsid w:val="00104DCC"/>
    <w:rsid w:val="00105917"/>
    <w:rsid w:val="00106C3E"/>
    <w:rsid w:val="001073EE"/>
    <w:rsid w:val="00107DBB"/>
    <w:rsid w:val="00111A51"/>
    <w:rsid w:val="0011345E"/>
    <w:rsid w:val="0011409D"/>
    <w:rsid w:val="001147CE"/>
    <w:rsid w:val="0011510F"/>
    <w:rsid w:val="0011549F"/>
    <w:rsid w:val="001154FB"/>
    <w:rsid w:val="00120E13"/>
    <w:rsid w:val="00120FE5"/>
    <w:rsid w:val="0012212E"/>
    <w:rsid w:val="001221F2"/>
    <w:rsid w:val="00130BBD"/>
    <w:rsid w:val="001322A7"/>
    <w:rsid w:val="00132736"/>
    <w:rsid w:val="001348E4"/>
    <w:rsid w:val="00134E67"/>
    <w:rsid w:val="00142D09"/>
    <w:rsid w:val="001432ED"/>
    <w:rsid w:val="0014373A"/>
    <w:rsid w:val="00144043"/>
    <w:rsid w:val="00147E39"/>
    <w:rsid w:val="00165AAA"/>
    <w:rsid w:val="001678CC"/>
    <w:rsid w:val="0017143B"/>
    <w:rsid w:val="001722C7"/>
    <w:rsid w:val="00185BC6"/>
    <w:rsid w:val="001953D9"/>
    <w:rsid w:val="00195FC0"/>
    <w:rsid w:val="001A032D"/>
    <w:rsid w:val="001A0AFD"/>
    <w:rsid w:val="001A19EE"/>
    <w:rsid w:val="001A3636"/>
    <w:rsid w:val="001A38C0"/>
    <w:rsid w:val="001A6BD6"/>
    <w:rsid w:val="001B1058"/>
    <w:rsid w:val="001B2E3A"/>
    <w:rsid w:val="001B4C7F"/>
    <w:rsid w:val="001B57A7"/>
    <w:rsid w:val="001C196E"/>
    <w:rsid w:val="001D2264"/>
    <w:rsid w:val="001D41EB"/>
    <w:rsid w:val="001E0134"/>
    <w:rsid w:val="001E11EB"/>
    <w:rsid w:val="001E40EE"/>
    <w:rsid w:val="001F1D9B"/>
    <w:rsid w:val="001F38B5"/>
    <w:rsid w:val="001F5D2B"/>
    <w:rsid w:val="00202332"/>
    <w:rsid w:val="00202FCD"/>
    <w:rsid w:val="002037B7"/>
    <w:rsid w:val="00206E52"/>
    <w:rsid w:val="002120CC"/>
    <w:rsid w:val="00215593"/>
    <w:rsid w:val="002213ED"/>
    <w:rsid w:val="002254B7"/>
    <w:rsid w:val="002278B0"/>
    <w:rsid w:val="00233CA9"/>
    <w:rsid w:val="0023562A"/>
    <w:rsid w:val="0023687F"/>
    <w:rsid w:val="002375F9"/>
    <w:rsid w:val="0024176E"/>
    <w:rsid w:val="00247783"/>
    <w:rsid w:val="00247F04"/>
    <w:rsid w:val="00251D1E"/>
    <w:rsid w:val="002558C7"/>
    <w:rsid w:val="002558E9"/>
    <w:rsid w:val="002635C3"/>
    <w:rsid w:val="00273A9C"/>
    <w:rsid w:val="00273F8C"/>
    <w:rsid w:val="00276B41"/>
    <w:rsid w:val="00286C6E"/>
    <w:rsid w:val="00290EA5"/>
    <w:rsid w:val="0029174A"/>
    <w:rsid w:val="002917B7"/>
    <w:rsid w:val="00291E43"/>
    <w:rsid w:val="00295065"/>
    <w:rsid w:val="002A0051"/>
    <w:rsid w:val="002A14EF"/>
    <w:rsid w:val="002A4018"/>
    <w:rsid w:val="002A4276"/>
    <w:rsid w:val="002A6F56"/>
    <w:rsid w:val="002B0549"/>
    <w:rsid w:val="002B0BD0"/>
    <w:rsid w:val="002B1ABA"/>
    <w:rsid w:val="002B39DA"/>
    <w:rsid w:val="002B5DA0"/>
    <w:rsid w:val="002C2414"/>
    <w:rsid w:val="002C2E6E"/>
    <w:rsid w:val="002D007A"/>
    <w:rsid w:val="002D0C96"/>
    <w:rsid w:val="002E19AC"/>
    <w:rsid w:val="002E2B39"/>
    <w:rsid w:val="002E34AB"/>
    <w:rsid w:val="002F0E4B"/>
    <w:rsid w:val="002F1194"/>
    <w:rsid w:val="003015DB"/>
    <w:rsid w:val="003064FC"/>
    <w:rsid w:val="0031113B"/>
    <w:rsid w:val="00311152"/>
    <w:rsid w:val="00313831"/>
    <w:rsid w:val="00314F0D"/>
    <w:rsid w:val="00323DBB"/>
    <w:rsid w:val="00326205"/>
    <w:rsid w:val="0032749B"/>
    <w:rsid w:val="003313F8"/>
    <w:rsid w:val="00332F76"/>
    <w:rsid w:val="00335474"/>
    <w:rsid w:val="0033685F"/>
    <w:rsid w:val="00336DD3"/>
    <w:rsid w:val="00336E30"/>
    <w:rsid w:val="00337B0C"/>
    <w:rsid w:val="00345BD2"/>
    <w:rsid w:val="0034632B"/>
    <w:rsid w:val="00351884"/>
    <w:rsid w:val="003540E4"/>
    <w:rsid w:val="00354938"/>
    <w:rsid w:val="003564C0"/>
    <w:rsid w:val="00357960"/>
    <w:rsid w:val="00362800"/>
    <w:rsid w:val="003638EB"/>
    <w:rsid w:val="00364BC1"/>
    <w:rsid w:val="003658A2"/>
    <w:rsid w:val="00370725"/>
    <w:rsid w:val="00371148"/>
    <w:rsid w:val="00374672"/>
    <w:rsid w:val="00375894"/>
    <w:rsid w:val="00380A67"/>
    <w:rsid w:val="00383FFA"/>
    <w:rsid w:val="003857FB"/>
    <w:rsid w:val="003873AE"/>
    <w:rsid w:val="003954F0"/>
    <w:rsid w:val="003958CD"/>
    <w:rsid w:val="003958DD"/>
    <w:rsid w:val="00396AE2"/>
    <w:rsid w:val="003A1575"/>
    <w:rsid w:val="003A1E77"/>
    <w:rsid w:val="003A41DD"/>
    <w:rsid w:val="003A75D6"/>
    <w:rsid w:val="003B026F"/>
    <w:rsid w:val="003B0A3C"/>
    <w:rsid w:val="003B3571"/>
    <w:rsid w:val="003C11EF"/>
    <w:rsid w:val="003C26E7"/>
    <w:rsid w:val="003C5452"/>
    <w:rsid w:val="003C6A02"/>
    <w:rsid w:val="003D156E"/>
    <w:rsid w:val="003D1DEC"/>
    <w:rsid w:val="003D37B8"/>
    <w:rsid w:val="003D4C7A"/>
    <w:rsid w:val="003E0591"/>
    <w:rsid w:val="003E0FC7"/>
    <w:rsid w:val="003E3B28"/>
    <w:rsid w:val="003E51C9"/>
    <w:rsid w:val="003E6131"/>
    <w:rsid w:val="003F19E9"/>
    <w:rsid w:val="003F704A"/>
    <w:rsid w:val="003F77E1"/>
    <w:rsid w:val="00402D8D"/>
    <w:rsid w:val="00403967"/>
    <w:rsid w:val="00405F87"/>
    <w:rsid w:val="004077BF"/>
    <w:rsid w:val="00410909"/>
    <w:rsid w:val="00412701"/>
    <w:rsid w:val="00412ECD"/>
    <w:rsid w:val="00413780"/>
    <w:rsid w:val="004153BE"/>
    <w:rsid w:val="00425267"/>
    <w:rsid w:val="00425582"/>
    <w:rsid w:val="00425DD0"/>
    <w:rsid w:val="00426914"/>
    <w:rsid w:val="0043192A"/>
    <w:rsid w:val="00431A11"/>
    <w:rsid w:val="00432152"/>
    <w:rsid w:val="00432AD2"/>
    <w:rsid w:val="00432DA3"/>
    <w:rsid w:val="0043401F"/>
    <w:rsid w:val="004409A4"/>
    <w:rsid w:val="004420C3"/>
    <w:rsid w:val="00442736"/>
    <w:rsid w:val="004443D0"/>
    <w:rsid w:val="00454783"/>
    <w:rsid w:val="00456B96"/>
    <w:rsid w:val="00460550"/>
    <w:rsid w:val="00460E87"/>
    <w:rsid w:val="004628A8"/>
    <w:rsid w:val="004658AA"/>
    <w:rsid w:val="0046693B"/>
    <w:rsid w:val="00467B08"/>
    <w:rsid w:val="00472933"/>
    <w:rsid w:val="004732CB"/>
    <w:rsid w:val="00474E86"/>
    <w:rsid w:val="0047778E"/>
    <w:rsid w:val="00482B55"/>
    <w:rsid w:val="00486876"/>
    <w:rsid w:val="004870E2"/>
    <w:rsid w:val="004875EA"/>
    <w:rsid w:val="00487752"/>
    <w:rsid w:val="00487B27"/>
    <w:rsid w:val="00491C89"/>
    <w:rsid w:val="00491CA8"/>
    <w:rsid w:val="004950D0"/>
    <w:rsid w:val="004A4E46"/>
    <w:rsid w:val="004A5807"/>
    <w:rsid w:val="004A5E1A"/>
    <w:rsid w:val="004A78A5"/>
    <w:rsid w:val="004B4DBC"/>
    <w:rsid w:val="004C2C5A"/>
    <w:rsid w:val="004C2F2F"/>
    <w:rsid w:val="004C4BC4"/>
    <w:rsid w:val="004C4D5E"/>
    <w:rsid w:val="004D4512"/>
    <w:rsid w:val="004E082E"/>
    <w:rsid w:val="004E34C7"/>
    <w:rsid w:val="004E3BB8"/>
    <w:rsid w:val="004E511A"/>
    <w:rsid w:val="004E6652"/>
    <w:rsid w:val="004F0413"/>
    <w:rsid w:val="004F0BA7"/>
    <w:rsid w:val="004F4535"/>
    <w:rsid w:val="004F59AC"/>
    <w:rsid w:val="0050582C"/>
    <w:rsid w:val="00512262"/>
    <w:rsid w:val="00514E1F"/>
    <w:rsid w:val="00515F23"/>
    <w:rsid w:val="0051732B"/>
    <w:rsid w:val="00522405"/>
    <w:rsid w:val="00523C5A"/>
    <w:rsid w:val="005259C2"/>
    <w:rsid w:val="00526603"/>
    <w:rsid w:val="005318F3"/>
    <w:rsid w:val="00531D8E"/>
    <w:rsid w:val="00541526"/>
    <w:rsid w:val="00544DE0"/>
    <w:rsid w:val="005471EB"/>
    <w:rsid w:val="005541EF"/>
    <w:rsid w:val="00554B25"/>
    <w:rsid w:val="005553E7"/>
    <w:rsid w:val="0055608E"/>
    <w:rsid w:val="00560771"/>
    <w:rsid w:val="0056602B"/>
    <w:rsid w:val="0057368A"/>
    <w:rsid w:val="00573A7B"/>
    <w:rsid w:val="00574AFA"/>
    <w:rsid w:val="00580034"/>
    <w:rsid w:val="005816BB"/>
    <w:rsid w:val="00583348"/>
    <w:rsid w:val="0058475B"/>
    <w:rsid w:val="00587C59"/>
    <w:rsid w:val="005941F4"/>
    <w:rsid w:val="00595271"/>
    <w:rsid w:val="005952FB"/>
    <w:rsid w:val="005A0D72"/>
    <w:rsid w:val="005A0F8B"/>
    <w:rsid w:val="005A5173"/>
    <w:rsid w:val="005B20D2"/>
    <w:rsid w:val="005B307C"/>
    <w:rsid w:val="005B3E2D"/>
    <w:rsid w:val="005B4A18"/>
    <w:rsid w:val="005B4AEA"/>
    <w:rsid w:val="005B62B3"/>
    <w:rsid w:val="005C0E81"/>
    <w:rsid w:val="005C2726"/>
    <w:rsid w:val="005C7C53"/>
    <w:rsid w:val="005E10B7"/>
    <w:rsid w:val="005E33EA"/>
    <w:rsid w:val="005E4E7F"/>
    <w:rsid w:val="005E530F"/>
    <w:rsid w:val="005E5865"/>
    <w:rsid w:val="005E6EC6"/>
    <w:rsid w:val="005F1C07"/>
    <w:rsid w:val="005F7AFF"/>
    <w:rsid w:val="00604285"/>
    <w:rsid w:val="0061018B"/>
    <w:rsid w:val="006101D7"/>
    <w:rsid w:val="00615D70"/>
    <w:rsid w:val="00616DAD"/>
    <w:rsid w:val="00627C3A"/>
    <w:rsid w:val="006317B0"/>
    <w:rsid w:val="00632D57"/>
    <w:rsid w:val="006336DC"/>
    <w:rsid w:val="00635724"/>
    <w:rsid w:val="00641C0A"/>
    <w:rsid w:val="00642DE4"/>
    <w:rsid w:val="006435F5"/>
    <w:rsid w:val="00646CFF"/>
    <w:rsid w:val="00650259"/>
    <w:rsid w:val="0065038B"/>
    <w:rsid w:val="00650F38"/>
    <w:rsid w:val="00652984"/>
    <w:rsid w:val="0066001F"/>
    <w:rsid w:val="0066135D"/>
    <w:rsid w:val="00663CA3"/>
    <w:rsid w:val="0066523E"/>
    <w:rsid w:val="006675DD"/>
    <w:rsid w:val="00671A7D"/>
    <w:rsid w:val="006723F9"/>
    <w:rsid w:val="006732C6"/>
    <w:rsid w:val="00674B64"/>
    <w:rsid w:val="006753D9"/>
    <w:rsid w:val="00681766"/>
    <w:rsid w:val="00685CA8"/>
    <w:rsid w:val="006862C6"/>
    <w:rsid w:val="00692689"/>
    <w:rsid w:val="00692CA1"/>
    <w:rsid w:val="00693E67"/>
    <w:rsid w:val="00697711"/>
    <w:rsid w:val="006A6BBE"/>
    <w:rsid w:val="006A70F5"/>
    <w:rsid w:val="006B017B"/>
    <w:rsid w:val="006B2871"/>
    <w:rsid w:val="006B5472"/>
    <w:rsid w:val="006C120D"/>
    <w:rsid w:val="006C52E2"/>
    <w:rsid w:val="006D0222"/>
    <w:rsid w:val="006D08C0"/>
    <w:rsid w:val="006D182B"/>
    <w:rsid w:val="006D23C5"/>
    <w:rsid w:val="006D2512"/>
    <w:rsid w:val="006D44BE"/>
    <w:rsid w:val="006E09A9"/>
    <w:rsid w:val="006E4C19"/>
    <w:rsid w:val="006F0D38"/>
    <w:rsid w:val="006F2581"/>
    <w:rsid w:val="006F3EF0"/>
    <w:rsid w:val="006F598F"/>
    <w:rsid w:val="00701C47"/>
    <w:rsid w:val="00703994"/>
    <w:rsid w:val="007064F9"/>
    <w:rsid w:val="00710F94"/>
    <w:rsid w:val="00716D02"/>
    <w:rsid w:val="0071719E"/>
    <w:rsid w:val="00717D52"/>
    <w:rsid w:val="0072500F"/>
    <w:rsid w:val="00725095"/>
    <w:rsid w:val="00726C8F"/>
    <w:rsid w:val="007322DD"/>
    <w:rsid w:val="00732CCC"/>
    <w:rsid w:val="00735AA5"/>
    <w:rsid w:val="007423B1"/>
    <w:rsid w:val="00742510"/>
    <w:rsid w:val="00743465"/>
    <w:rsid w:val="00743A48"/>
    <w:rsid w:val="00743AC5"/>
    <w:rsid w:val="00745015"/>
    <w:rsid w:val="00745369"/>
    <w:rsid w:val="00746CFF"/>
    <w:rsid w:val="007502B8"/>
    <w:rsid w:val="00753BF9"/>
    <w:rsid w:val="00755630"/>
    <w:rsid w:val="00755DE4"/>
    <w:rsid w:val="00756BA0"/>
    <w:rsid w:val="00761AFA"/>
    <w:rsid w:val="00762F93"/>
    <w:rsid w:val="00765605"/>
    <w:rsid w:val="00765F49"/>
    <w:rsid w:val="007669F0"/>
    <w:rsid w:val="0076790A"/>
    <w:rsid w:val="00770598"/>
    <w:rsid w:val="00770818"/>
    <w:rsid w:val="00770A0D"/>
    <w:rsid w:val="00772C22"/>
    <w:rsid w:val="007758D0"/>
    <w:rsid w:val="00781F08"/>
    <w:rsid w:val="007836FC"/>
    <w:rsid w:val="007851A4"/>
    <w:rsid w:val="00785C31"/>
    <w:rsid w:val="00786867"/>
    <w:rsid w:val="00787DD1"/>
    <w:rsid w:val="00791663"/>
    <w:rsid w:val="0079782C"/>
    <w:rsid w:val="007B0C6A"/>
    <w:rsid w:val="007B1B22"/>
    <w:rsid w:val="007B5DEC"/>
    <w:rsid w:val="007C2663"/>
    <w:rsid w:val="007C507B"/>
    <w:rsid w:val="007D2918"/>
    <w:rsid w:val="007D2951"/>
    <w:rsid w:val="007D3A25"/>
    <w:rsid w:val="007D5B50"/>
    <w:rsid w:val="007D5FBB"/>
    <w:rsid w:val="007D6336"/>
    <w:rsid w:val="007E34EE"/>
    <w:rsid w:val="007E4115"/>
    <w:rsid w:val="007E4B3D"/>
    <w:rsid w:val="007E6E5B"/>
    <w:rsid w:val="007E6E97"/>
    <w:rsid w:val="007F2A06"/>
    <w:rsid w:val="007F3B65"/>
    <w:rsid w:val="007F739C"/>
    <w:rsid w:val="007F7693"/>
    <w:rsid w:val="008018FD"/>
    <w:rsid w:val="008054BC"/>
    <w:rsid w:val="008057C2"/>
    <w:rsid w:val="00806BDC"/>
    <w:rsid w:val="008111BF"/>
    <w:rsid w:val="00813F69"/>
    <w:rsid w:val="0082200D"/>
    <w:rsid w:val="00827749"/>
    <w:rsid w:val="008306D6"/>
    <w:rsid w:val="0083124B"/>
    <w:rsid w:val="008318A3"/>
    <w:rsid w:val="0083407F"/>
    <w:rsid w:val="00834E41"/>
    <w:rsid w:val="00835BA5"/>
    <w:rsid w:val="00836799"/>
    <w:rsid w:val="00837884"/>
    <w:rsid w:val="0084001D"/>
    <w:rsid w:val="008416F7"/>
    <w:rsid w:val="00847CA3"/>
    <w:rsid w:val="00851498"/>
    <w:rsid w:val="00852B17"/>
    <w:rsid w:val="008565AA"/>
    <w:rsid w:val="00857192"/>
    <w:rsid w:val="008612C1"/>
    <w:rsid w:val="00863944"/>
    <w:rsid w:val="008651BB"/>
    <w:rsid w:val="00865D11"/>
    <w:rsid w:val="008665D4"/>
    <w:rsid w:val="0087089F"/>
    <w:rsid w:val="00872167"/>
    <w:rsid w:val="0087292B"/>
    <w:rsid w:val="008745FA"/>
    <w:rsid w:val="008750AC"/>
    <w:rsid w:val="00877C78"/>
    <w:rsid w:val="008803A4"/>
    <w:rsid w:val="00884001"/>
    <w:rsid w:val="008854E2"/>
    <w:rsid w:val="00886155"/>
    <w:rsid w:val="00887B35"/>
    <w:rsid w:val="00893386"/>
    <w:rsid w:val="00895C3B"/>
    <w:rsid w:val="00897146"/>
    <w:rsid w:val="00897E7B"/>
    <w:rsid w:val="008A0623"/>
    <w:rsid w:val="008A0E86"/>
    <w:rsid w:val="008A1536"/>
    <w:rsid w:val="008A7E75"/>
    <w:rsid w:val="008B390D"/>
    <w:rsid w:val="008B6776"/>
    <w:rsid w:val="008C2329"/>
    <w:rsid w:val="008C2388"/>
    <w:rsid w:val="008C64DF"/>
    <w:rsid w:val="008C6D22"/>
    <w:rsid w:val="008D0121"/>
    <w:rsid w:val="008D5ECC"/>
    <w:rsid w:val="008E2C04"/>
    <w:rsid w:val="008E38F3"/>
    <w:rsid w:val="008E3B2D"/>
    <w:rsid w:val="008E47ED"/>
    <w:rsid w:val="008E675B"/>
    <w:rsid w:val="008F0D43"/>
    <w:rsid w:val="008F21C4"/>
    <w:rsid w:val="008F3CC9"/>
    <w:rsid w:val="008F71FE"/>
    <w:rsid w:val="009001E2"/>
    <w:rsid w:val="00906915"/>
    <w:rsid w:val="00914390"/>
    <w:rsid w:val="00920953"/>
    <w:rsid w:val="00920E27"/>
    <w:rsid w:val="009220ED"/>
    <w:rsid w:val="0092275A"/>
    <w:rsid w:val="009233CB"/>
    <w:rsid w:val="00926682"/>
    <w:rsid w:val="009365B6"/>
    <w:rsid w:val="00936BB8"/>
    <w:rsid w:val="00940102"/>
    <w:rsid w:val="00942074"/>
    <w:rsid w:val="0094461F"/>
    <w:rsid w:val="00946F4F"/>
    <w:rsid w:val="00947543"/>
    <w:rsid w:val="0095058F"/>
    <w:rsid w:val="00950AAB"/>
    <w:rsid w:val="009522CF"/>
    <w:rsid w:val="00952F3D"/>
    <w:rsid w:val="009568D5"/>
    <w:rsid w:val="0096427A"/>
    <w:rsid w:val="009653C2"/>
    <w:rsid w:val="00973599"/>
    <w:rsid w:val="00974212"/>
    <w:rsid w:val="00974355"/>
    <w:rsid w:val="00974765"/>
    <w:rsid w:val="009769C7"/>
    <w:rsid w:val="00976A84"/>
    <w:rsid w:val="00976E38"/>
    <w:rsid w:val="00976FF0"/>
    <w:rsid w:val="009802B2"/>
    <w:rsid w:val="00985E07"/>
    <w:rsid w:val="009865C6"/>
    <w:rsid w:val="00986F4D"/>
    <w:rsid w:val="00986F64"/>
    <w:rsid w:val="00990F9F"/>
    <w:rsid w:val="009923B7"/>
    <w:rsid w:val="00992662"/>
    <w:rsid w:val="00992709"/>
    <w:rsid w:val="00995F35"/>
    <w:rsid w:val="009A3309"/>
    <w:rsid w:val="009B6E93"/>
    <w:rsid w:val="009D213F"/>
    <w:rsid w:val="009D3A76"/>
    <w:rsid w:val="009D3C05"/>
    <w:rsid w:val="009D48DF"/>
    <w:rsid w:val="009D67BA"/>
    <w:rsid w:val="009E0D6E"/>
    <w:rsid w:val="009E3047"/>
    <w:rsid w:val="009E3338"/>
    <w:rsid w:val="009E3A9F"/>
    <w:rsid w:val="009E5EBF"/>
    <w:rsid w:val="009E77DF"/>
    <w:rsid w:val="009E7FF3"/>
    <w:rsid w:val="009F1261"/>
    <w:rsid w:val="00A04E02"/>
    <w:rsid w:val="00A10B56"/>
    <w:rsid w:val="00A12436"/>
    <w:rsid w:val="00A12942"/>
    <w:rsid w:val="00A13819"/>
    <w:rsid w:val="00A20A52"/>
    <w:rsid w:val="00A23055"/>
    <w:rsid w:val="00A23C6F"/>
    <w:rsid w:val="00A2623F"/>
    <w:rsid w:val="00A27236"/>
    <w:rsid w:val="00A27415"/>
    <w:rsid w:val="00A32DA4"/>
    <w:rsid w:val="00A341F5"/>
    <w:rsid w:val="00A351D8"/>
    <w:rsid w:val="00A36131"/>
    <w:rsid w:val="00A40030"/>
    <w:rsid w:val="00A405D0"/>
    <w:rsid w:val="00A41CEA"/>
    <w:rsid w:val="00A4512C"/>
    <w:rsid w:val="00A45FDE"/>
    <w:rsid w:val="00A46514"/>
    <w:rsid w:val="00A507F0"/>
    <w:rsid w:val="00A50D47"/>
    <w:rsid w:val="00A5201F"/>
    <w:rsid w:val="00A520CD"/>
    <w:rsid w:val="00A533C8"/>
    <w:rsid w:val="00A535C8"/>
    <w:rsid w:val="00A54528"/>
    <w:rsid w:val="00A567A1"/>
    <w:rsid w:val="00A56B49"/>
    <w:rsid w:val="00A61AE3"/>
    <w:rsid w:val="00A6675F"/>
    <w:rsid w:val="00A6793F"/>
    <w:rsid w:val="00A743EC"/>
    <w:rsid w:val="00A746A2"/>
    <w:rsid w:val="00A74AF1"/>
    <w:rsid w:val="00A759D6"/>
    <w:rsid w:val="00A80A5C"/>
    <w:rsid w:val="00A812B9"/>
    <w:rsid w:val="00A8326F"/>
    <w:rsid w:val="00A94C00"/>
    <w:rsid w:val="00A95AD8"/>
    <w:rsid w:val="00A9678D"/>
    <w:rsid w:val="00AA3123"/>
    <w:rsid w:val="00AA34C2"/>
    <w:rsid w:val="00AA48EB"/>
    <w:rsid w:val="00AA67B5"/>
    <w:rsid w:val="00AB19D2"/>
    <w:rsid w:val="00AB213B"/>
    <w:rsid w:val="00AB3367"/>
    <w:rsid w:val="00AC1B19"/>
    <w:rsid w:val="00AC1B7A"/>
    <w:rsid w:val="00AC1DAA"/>
    <w:rsid w:val="00AC4E67"/>
    <w:rsid w:val="00AC6854"/>
    <w:rsid w:val="00AD3AF5"/>
    <w:rsid w:val="00AD76A5"/>
    <w:rsid w:val="00AE1094"/>
    <w:rsid w:val="00AE4DBD"/>
    <w:rsid w:val="00AE53E0"/>
    <w:rsid w:val="00AE6D81"/>
    <w:rsid w:val="00AF012C"/>
    <w:rsid w:val="00AF091C"/>
    <w:rsid w:val="00B029B6"/>
    <w:rsid w:val="00B03C01"/>
    <w:rsid w:val="00B040E7"/>
    <w:rsid w:val="00B0530D"/>
    <w:rsid w:val="00B065D2"/>
    <w:rsid w:val="00B12F3F"/>
    <w:rsid w:val="00B13547"/>
    <w:rsid w:val="00B24024"/>
    <w:rsid w:val="00B254FF"/>
    <w:rsid w:val="00B25D74"/>
    <w:rsid w:val="00B27F25"/>
    <w:rsid w:val="00B30BDC"/>
    <w:rsid w:val="00B37B81"/>
    <w:rsid w:val="00B408FC"/>
    <w:rsid w:val="00B43F1C"/>
    <w:rsid w:val="00B44202"/>
    <w:rsid w:val="00B448B3"/>
    <w:rsid w:val="00B506AF"/>
    <w:rsid w:val="00B611C2"/>
    <w:rsid w:val="00B6135E"/>
    <w:rsid w:val="00B62C05"/>
    <w:rsid w:val="00B65482"/>
    <w:rsid w:val="00B65F17"/>
    <w:rsid w:val="00B67D43"/>
    <w:rsid w:val="00B7326D"/>
    <w:rsid w:val="00B76C68"/>
    <w:rsid w:val="00B778E2"/>
    <w:rsid w:val="00B82D54"/>
    <w:rsid w:val="00B82E91"/>
    <w:rsid w:val="00B84E81"/>
    <w:rsid w:val="00B879DF"/>
    <w:rsid w:val="00B90E41"/>
    <w:rsid w:val="00B9381D"/>
    <w:rsid w:val="00B95B53"/>
    <w:rsid w:val="00B96912"/>
    <w:rsid w:val="00B97BB9"/>
    <w:rsid w:val="00BA13AC"/>
    <w:rsid w:val="00BA37C6"/>
    <w:rsid w:val="00BA70DD"/>
    <w:rsid w:val="00BB7739"/>
    <w:rsid w:val="00BC2D2C"/>
    <w:rsid w:val="00BD22D7"/>
    <w:rsid w:val="00BD38A6"/>
    <w:rsid w:val="00BD4EE0"/>
    <w:rsid w:val="00BD6605"/>
    <w:rsid w:val="00BD7FAA"/>
    <w:rsid w:val="00BE096D"/>
    <w:rsid w:val="00BE0CD9"/>
    <w:rsid w:val="00BE52E2"/>
    <w:rsid w:val="00BE7758"/>
    <w:rsid w:val="00BE79BF"/>
    <w:rsid w:val="00BF01CB"/>
    <w:rsid w:val="00C00176"/>
    <w:rsid w:val="00C03E34"/>
    <w:rsid w:val="00C04ED9"/>
    <w:rsid w:val="00C05984"/>
    <w:rsid w:val="00C06D97"/>
    <w:rsid w:val="00C07937"/>
    <w:rsid w:val="00C11930"/>
    <w:rsid w:val="00C124D3"/>
    <w:rsid w:val="00C12EA8"/>
    <w:rsid w:val="00C137FB"/>
    <w:rsid w:val="00C139DC"/>
    <w:rsid w:val="00C14403"/>
    <w:rsid w:val="00C238C0"/>
    <w:rsid w:val="00C259E2"/>
    <w:rsid w:val="00C27EFE"/>
    <w:rsid w:val="00C3041D"/>
    <w:rsid w:val="00C3388C"/>
    <w:rsid w:val="00C33BBC"/>
    <w:rsid w:val="00C347C2"/>
    <w:rsid w:val="00C35EEB"/>
    <w:rsid w:val="00C36CAC"/>
    <w:rsid w:val="00C425C6"/>
    <w:rsid w:val="00C4522C"/>
    <w:rsid w:val="00C50611"/>
    <w:rsid w:val="00C5300B"/>
    <w:rsid w:val="00C53471"/>
    <w:rsid w:val="00C53C76"/>
    <w:rsid w:val="00C542B9"/>
    <w:rsid w:val="00C55497"/>
    <w:rsid w:val="00C57B92"/>
    <w:rsid w:val="00C75440"/>
    <w:rsid w:val="00C80020"/>
    <w:rsid w:val="00C81723"/>
    <w:rsid w:val="00C83040"/>
    <w:rsid w:val="00C855D5"/>
    <w:rsid w:val="00C87ED8"/>
    <w:rsid w:val="00C90D79"/>
    <w:rsid w:val="00C923FA"/>
    <w:rsid w:val="00C951B5"/>
    <w:rsid w:val="00C956E8"/>
    <w:rsid w:val="00C96A4B"/>
    <w:rsid w:val="00CA1379"/>
    <w:rsid w:val="00CA23AB"/>
    <w:rsid w:val="00CB08A6"/>
    <w:rsid w:val="00CB42C3"/>
    <w:rsid w:val="00CB4448"/>
    <w:rsid w:val="00CB4890"/>
    <w:rsid w:val="00CB65CF"/>
    <w:rsid w:val="00CB7F37"/>
    <w:rsid w:val="00CC3964"/>
    <w:rsid w:val="00CC4E4C"/>
    <w:rsid w:val="00CC7A63"/>
    <w:rsid w:val="00CD2DB8"/>
    <w:rsid w:val="00CD38C5"/>
    <w:rsid w:val="00CD45DD"/>
    <w:rsid w:val="00CD60C6"/>
    <w:rsid w:val="00CD6EC0"/>
    <w:rsid w:val="00CD70E4"/>
    <w:rsid w:val="00CD767A"/>
    <w:rsid w:val="00CE1879"/>
    <w:rsid w:val="00CE5128"/>
    <w:rsid w:val="00CE680D"/>
    <w:rsid w:val="00CE68ED"/>
    <w:rsid w:val="00CE693A"/>
    <w:rsid w:val="00CE72DA"/>
    <w:rsid w:val="00CF2444"/>
    <w:rsid w:val="00CF6B5C"/>
    <w:rsid w:val="00D02593"/>
    <w:rsid w:val="00D05FA3"/>
    <w:rsid w:val="00D061A4"/>
    <w:rsid w:val="00D06615"/>
    <w:rsid w:val="00D200BE"/>
    <w:rsid w:val="00D20B73"/>
    <w:rsid w:val="00D2651E"/>
    <w:rsid w:val="00D30622"/>
    <w:rsid w:val="00D328AA"/>
    <w:rsid w:val="00D364F2"/>
    <w:rsid w:val="00D3745C"/>
    <w:rsid w:val="00D42972"/>
    <w:rsid w:val="00D4396C"/>
    <w:rsid w:val="00D4690A"/>
    <w:rsid w:val="00D472A1"/>
    <w:rsid w:val="00D526E4"/>
    <w:rsid w:val="00D5287D"/>
    <w:rsid w:val="00D5373E"/>
    <w:rsid w:val="00D5375F"/>
    <w:rsid w:val="00D5677B"/>
    <w:rsid w:val="00D6086F"/>
    <w:rsid w:val="00D646DD"/>
    <w:rsid w:val="00D649CC"/>
    <w:rsid w:val="00D64D6D"/>
    <w:rsid w:val="00D727AF"/>
    <w:rsid w:val="00D805A3"/>
    <w:rsid w:val="00D840E4"/>
    <w:rsid w:val="00D87054"/>
    <w:rsid w:val="00D902B0"/>
    <w:rsid w:val="00D90DDC"/>
    <w:rsid w:val="00D922AB"/>
    <w:rsid w:val="00D93937"/>
    <w:rsid w:val="00D95C2B"/>
    <w:rsid w:val="00DA006F"/>
    <w:rsid w:val="00DA20AF"/>
    <w:rsid w:val="00DA2E68"/>
    <w:rsid w:val="00DA3640"/>
    <w:rsid w:val="00DA397B"/>
    <w:rsid w:val="00DB188A"/>
    <w:rsid w:val="00DB2CCB"/>
    <w:rsid w:val="00DB2EA4"/>
    <w:rsid w:val="00DB4CBB"/>
    <w:rsid w:val="00DB57C5"/>
    <w:rsid w:val="00DB6163"/>
    <w:rsid w:val="00DB6728"/>
    <w:rsid w:val="00DC1818"/>
    <w:rsid w:val="00DC2F31"/>
    <w:rsid w:val="00DC4535"/>
    <w:rsid w:val="00DC533D"/>
    <w:rsid w:val="00DC6BC2"/>
    <w:rsid w:val="00DC75E1"/>
    <w:rsid w:val="00DD1288"/>
    <w:rsid w:val="00DD2AAB"/>
    <w:rsid w:val="00DD3279"/>
    <w:rsid w:val="00DD4E4F"/>
    <w:rsid w:val="00DE07FD"/>
    <w:rsid w:val="00DE2EE3"/>
    <w:rsid w:val="00DE789A"/>
    <w:rsid w:val="00DF270F"/>
    <w:rsid w:val="00DF2DD9"/>
    <w:rsid w:val="00DF4F85"/>
    <w:rsid w:val="00DF6502"/>
    <w:rsid w:val="00E04028"/>
    <w:rsid w:val="00E044CA"/>
    <w:rsid w:val="00E100E5"/>
    <w:rsid w:val="00E11F24"/>
    <w:rsid w:val="00E139FB"/>
    <w:rsid w:val="00E1421F"/>
    <w:rsid w:val="00E1512A"/>
    <w:rsid w:val="00E23C8B"/>
    <w:rsid w:val="00E31691"/>
    <w:rsid w:val="00E3173C"/>
    <w:rsid w:val="00E33506"/>
    <w:rsid w:val="00E33DCD"/>
    <w:rsid w:val="00E34D6D"/>
    <w:rsid w:val="00E373FD"/>
    <w:rsid w:val="00E50645"/>
    <w:rsid w:val="00E52BA9"/>
    <w:rsid w:val="00E53524"/>
    <w:rsid w:val="00E55F24"/>
    <w:rsid w:val="00E63C20"/>
    <w:rsid w:val="00E642C3"/>
    <w:rsid w:val="00E65D9C"/>
    <w:rsid w:val="00E7226A"/>
    <w:rsid w:val="00E728A0"/>
    <w:rsid w:val="00E75C19"/>
    <w:rsid w:val="00E76123"/>
    <w:rsid w:val="00E80F01"/>
    <w:rsid w:val="00E811ED"/>
    <w:rsid w:val="00E81363"/>
    <w:rsid w:val="00E82460"/>
    <w:rsid w:val="00E879BD"/>
    <w:rsid w:val="00E949DC"/>
    <w:rsid w:val="00E95D86"/>
    <w:rsid w:val="00E96004"/>
    <w:rsid w:val="00EA1566"/>
    <w:rsid w:val="00EA1797"/>
    <w:rsid w:val="00EA419D"/>
    <w:rsid w:val="00EA64B2"/>
    <w:rsid w:val="00EB08E3"/>
    <w:rsid w:val="00EB1BFD"/>
    <w:rsid w:val="00EB1C26"/>
    <w:rsid w:val="00EB26D7"/>
    <w:rsid w:val="00EB72AB"/>
    <w:rsid w:val="00EB7EDE"/>
    <w:rsid w:val="00EC2FF4"/>
    <w:rsid w:val="00EC790D"/>
    <w:rsid w:val="00ED138A"/>
    <w:rsid w:val="00ED143B"/>
    <w:rsid w:val="00ED2AF1"/>
    <w:rsid w:val="00ED4510"/>
    <w:rsid w:val="00ED4B91"/>
    <w:rsid w:val="00ED63BE"/>
    <w:rsid w:val="00EE1DAE"/>
    <w:rsid w:val="00EE3270"/>
    <w:rsid w:val="00EE3F04"/>
    <w:rsid w:val="00EE7A4B"/>
    <w:rsid w:val="00EF0493"/>
    <w:rsid w:val="00EF0646"/>
    <w:rsid w:val="00EF452E"/>
    <w:rsid w:val="00EF7DC2"/>
    <w:rsid w:val="00F00E67"/>
    <w:rsid w:val="00F05B40"/>
    <w:rsid w:val="00F06145"/>
    <w:rsid w:val="00F06C6F"/>
    <w:rsid w:val="00F10B01"/>
    <w:rsid w:val="00F1336D"/>
    <w:rsid w:val="00F14F45"/>
    <w:rsid w:val="00F20BA3"/>
    <w:rsid w:val="00F238CF"/>
    <w:rsid w:val="00F3046C"/>
    <w:rsid w:val="00F36C5F"/>
    <w:rsid w:val="00F40582"/>
    <w:rsid w:val="00F4338D"/>
    <w:rsid w:val="00F43965"/>
    <w:rsid w:val="00F45CC2"/>
    <w:rsid w:val="00F5153F"/>
    <w:rsid w:val="00F5327C"/>
    <w:rsid w:val="00F62F72"/>
    <w:rsid w:val="00F63349"/>
    <w:rsid w:val="00F665CA"/>
    <w:rsid w:val="00F71B57"/>
    <w:rsid w:val="00F775FA"/>
    <w:rsid w:val="00F805A7"/>
    <w:rsid w:val="00F81B1B"/>
    <w:rsid w:val="00F8208B"/>
    <w:rsid w:val="00F832B2"/>
    <w:rsid w:val="00F90883"/>
    <w:rsid w:val="00F911B9"/>
    <w:rsid w:val="00F92BD2"/>
    <w:rsid w:val="00F92D5D"/>
    <w:rsid w:val="00F95492"/>
    <w:rsid w:val="00F96C78"/>
    <w:rsid w:val="00FA65DC"/>
    <w:rsid w:val="00FA7144"/>
    <w:rsid w:val="00FA735D"/>
    <w:rsid w:val="00FB1A16"/>
    <w:rsid w:val="00FB1CD6"/>
    <w:rsid w:val="00FB26AA"/>
    <w:rsid w:val="00FB547C"/>
    <w:rsid w:val="00FB5A66"/>
    <w:rsid w:val="00FC29C5"/>
    <w:rsid w:val="00FC3673"/>
    <w:rsid w:val="00FC524B"/>
    <w:rsid w:val="00FF1660"/>
    <w:rsid w:val="00FF2D1A"/>
    <w:rsid w:val="00FF4020"/>
    <w:rsid w:val="00FF4B32"/>
    <w:rsid w:val="00FF5664"/>
    <w:rsid w:val="00FF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3C5248-298C-499A-A45D-C33EACC5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12"/>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651BB"/>
    <w:pPr>
      <w:spacing w:before="300" w:after="40" w:line="276" w:lineRule="auto"/>
      <w:outlineLvl w:val="0"/>
    </w:pPr>
    <w:rPr>
      <w:rFonts w:ascii="Arial" w:eastAsia="SimSun" w:hAnsi="Arial"/>
      <w:noProof w:val="0"/>
      <w:spacing w:val="5"/>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12"/>
    <w:pPr>
      <w:ind w:left="720"/>
      <w:contextualSpacing/>
    </w:pPr>
  </w:style>
  <w:style w:type="paragraph" w:styleId="BodyText2">
    <w:name w:val="Body Text 2"/>
    <w:basedOn w:val="Normal"/>
    <w:link w:val="BodyText2Char"/>
    <w:rsid w:val="00B96912"/>
    <w:pPr>
      <w:overflowPunct w:val="0"/>
      <w:autoSpaceDE w:val="0"/>
      <w:autoSpaceDN w:val="0"/>
      <w:adjustRightInd w:val="0"/>
      <w:ind w:left="1440"/>
      <w:textAlignment w:val="baseline"/>
    </w:pPr>
    <w:rPr>
      <w:noProof w:val="0"/>
      <w:szCs w:val="20"/>
    </w:rPr>
  </w:style>
  <w:style w:type="character" w:customStyle="1" w:styleId="BodyText2Char">
    <w:name w:val="Body Text 2 Char"/>
    <w:basedOn w:val="DefaultParagraphFont"/>
    <w:link w:val="BodyText2"/>
    <w:rsid w:val="00B9691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96912"/>
    <w:rPr>
      <w:rFonts w:ascii="Tahoma" w:hAnsi="Tahoma" w:cs="Tahoma"/>
      <w:sz w:val="16"/>
      <w:szCs w:val="16"/>
    </w:rPr>
  </w:style>
  <w:style w:type="character" w:customStyle="1" w:styleId="BalloonTextChar">
    <w:name w:val="Balloon Text Char"/>
    <w:basedOn w:val="DefaultParagraphFont"/>
    <w:link w:val="BalloonText"/>
    <w:uiPriority w:val="99"/>
    <w:semiHidden/>
    <w:rsid w:val="00B96912"/>
    <w:rPr>
      <w:rFonts w:ascii="Tahoma" w:eastAsia="Times New Roman" w:hAnsi="Tahoma" w:cs="Tahoma"/>
      <w:noProof/>
      <w:sz w:val="16"/>
      <w:szCs w:val="16"/>
    </w:rPr>
  </w:style>
  <w:style w:type="character" w:customStyle="1" w:styleId="Heading1Char">
    <w:name w:val="Heading 1 Char"/>
    <w:basedOn w:val="DefaultParagraphFont"/>
    <w:link w:val="Heading1"/>
    <w:rsid w:val="008651BB"/>
    <w:rPr>
      <w:rFonts w:ascii="Arial" w:eastAsia="SimSun" w:hAnsi="Arial" w:cs="Times New Roman"/>
      <w:spacing w:val="5"/>
      <w:sz w:val="32"/>
      <w:szCs w:val="32"/>
      <w:lang w:val="en-US" w:bidi="en-US"/>
    </w:rPr>
  </w:style>
  <w:style w:type="paragraph" w:styleId="Title">
    <w:name w:val="Title"/>
    <w:basedOn w:val="Normal"/>
    <w:next w:val="Normal"/>
    <w:link w:val="TitleChar"/>
    <w:uiPriority w:val="10"/>
    <w:qFormat/>
    <w:rsid w:val="00456B96"/>
    <w:pPr>
      <w:pBdr>
        <w:bottom w:val="single" w:sz="8" w:space="4" w:color="4F81BD" w:themeColor="accent1"/>
      </w:pBdr>
      <w:spacing w:after="300"/>
      <w:contextualSpacing/>
    </w:pPr>
    <w:rPr>
      <w:rFonts w:asciiTheme="minorHAnsi" w:eastAsiaTheme="majorEastAsia" w:hAnsiTheme="minorHAnsi" w:cstheme="majorBidi"/>
      <w:noProof w:val="0"/>
      <w:color w:val="17365D" w:themeColor="text2" w:themeShade="BF"/>
      <w:spacing w:val="5"/>
      <w:kern w:val="28"/>
      <w:sz w:val="52"/>
      <w:szCs w:val="52"/>
    </w:rPr>
  </w:style>
  <w:style w:type="character" w:customStyle="1" w:styleId="TitleChar">
    <w:name w:val="Title Char"/>
    <w:basedOn w:val="DefaultParagraphFont"/>
    <w:link w:val="Title"/>
    <w:uiPriority w:val="10"/>
    <w:rsid w:val="00456B96"/>
    <w:rPr>
      <w:rFonts w:eastAsiaTheme="majorEastAsia"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56B96"/>
    <w:rPr>
      <w:rFonts w:asciiTheme="minorHAnsi" w:eastAsiaTheme="minorHAnsi" w:hAnsiTheme="minorHAnsi" w:cs="Arial"/>
      <w:noProof w:val="0"/>
      <w:sz w:val="20"/>
      <w:szCs w:val="20"/>
    </w:rPr>
  </w:style>
  <w:style w:type="character" w:customStyle="1" w:styleId="FootnoteTextChar">
    <w:name w:val="Footnote Text Char"/>
    <w:basedOn w:val="DefaultParagraphFont"/>
    <w:link w:val="FootnoteText"/>
    <w:uiPriority w:val="99"/>
    <w:semiHidden/>
    <w:rsid w:val="00456B96"/>
    <w:rPr>
      <w:rFonts w:cs="Arial"/>
      <w:sz w:val="20"/>
      <w:szCs w:val="20"/>
    </w:rPr>
  </w:style>
  <w:style w:type="character" w:styleId="FootnoteReference">
    <w:name w:val="footnote reference"/>
    <w:basedOn w:val="DefaultParagraphFont"/>
    <w:unhideWhenUsed/>
    <w:rsid w:val="00456B96"/>
    <w:rPr>
      <w:vertAlign w:val="superscript"/>
    </w:rPr>
  </w:style>
  <w:style w:type="character" w:styleId="Hyperlink">
    <w:name w:val="Hyperlink"/>
    <w:basedOn w:val="DefaultParagraphFont"/>
    <w:uiPriority w:val="99"/>
    <w:semiHidden/>
    <w:unhideWhenUsed/>
    <w:rsid w:val="00456B96"/>
    <w:rPr>
      <w:color w:val="0000FF"/>
      <w:u w:val="single"/>
    </w:rPr>
  </w:style>
  <w:style w:type="paragraph" w:styleId="Header">
    <w:name w:val="header"/>
    <w:basedOn w:val="Normal"/>
    <w:link w:val="HeaderChar"/>
    <w:uiPriority w:val="99"/>
    <w:unhideWhenUsed/>
    <w:rsid w:val="00B90E41"/>
    <w:pPr>
      <w:tabs>
        <w:tab w:val="center" w:pos="4513"/>
        <w:tab w:val="right" w:pos="9026"/>
      </w:tabs>
    </w:pPr>
  </w:style>
  <w:style w:type="character" w:customStyle="1" w:styleId="HeaderChar">
    <w:name w:val="Header Char"/>
    <w:basedOn w:val="DefaultParagraphFont"/>
    <w:link w:val="Header"/>
    <w:uiPriority w:val="99"/>
    <w:rsid w:val="00B90E41"/>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B90E41"/>
    <w:pPr>
      <w:tabs>
        <w:tab w:val="center" w:pos="4513"/>
        <w:tab w:val="right" w:pos="9026"/>
      </w:tabs>
    </w:pPr>
  </w:style>
  <w:style w:type="character" w:customStyle="1" w:styleId="FooterChar">
    <w:name w:val="Footer Char"/>
    <w:basedOn w:val="DefaultParagraphFont"/>
    <w:link w:val="Footer"/>
    <w:uiPriority w:val="99"/>
    <w:rsid w:val="00B90E41"/>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AE6D81"/>
    <w:rPr>
      <w:sz w:val="16"/>
      <w:szCs w:val="16"/>
    </w:rPr>
  </w:style>
  <w:style w:type="paragraph" w:styleId="CommentText">
    <w:name w:val="annotation text"/>
    <w:basedOn w:val="Normal"/>
    <w:link w:val="CommentTextChar"/>
    <w:uiPriority w:val="99"/>
    <w:semiHidden/>
    <w:unhideWhenUsed/>
    <w:rsid w:val="00AE6D81"/>
    <w:rPr>
      <w:sz w:val="20"/>
      <w:szCs w:val="20"/>
    </w:rPr>
  </w:style>
  <w:style w:type="character" w:customStyle="1" w:styleId="CommentTextChar">
    <w:name w:val="Comment Text Char"/>
    <w:basedOn w:val="DefaultParagraphFont"/>
    <w:link w:val="CommentText"/>
    <w:uiPriority w:val="99"/>
    <w:semiHidden/>
    <w:rsid w:val="00AE6D81"/>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AE6D81"/>
    <w:rPr>
      <w:b/>
      <w:bCs/>
    </w:rPr>
  </w:style>
  <w:style w:type="character" w:customStyle="1" w:styleId="CommentSubjectChar">
    <w:name w:val="Comment Subject Char"/>
    <w:basedOn w:val="CommentTextChar"/>
    <w:link w:val="CommentSubject"/>
    <w:uiPriority w:val="99"/>
    <w:semiHidden/>
    <w:rsid w:val="00AE6D81"/>
    <w:rPr>
      <w:rFonts w:ascii="Times New Roman" w:eastAsia="Times New Roman" w:hAnsi="Times New Roman" w:cs="Times New Roman"/>
      <w:b/>
      <w:bCs/>
      <w:noProof/>
      <w:sz w:val="20"/>
      <w:szCs w:val="20"/>
    </w:rPr>
  </w:style>
  <w:style w:type="paragraph" w:styleId="Revision">
    <w:name w:val="Revision"/>
    <w:hidden/>
    <w:uiPriority w:val="99"/>
    <w:semiHidden/>
    <w:rsid w:val="003F704A"/>
    <w:pPr>
      <w:spacing w:after="0" w:line="240" w:lineRule="auto"/>
    </w:pPr>
    <w:rPr>
      <w:rFonts w:ascii="Times New Roman" w:eastAsia="Times New Roman" w:hAnsi="Times New Roman" w:cs="Times New Roman"/>
      <w:noProof/>
      <w:sz w:val="24"/>
      <w:szCs w:val="24"/>
    </w:rPr>
  </w:style>
  <w:style w:type="character" w:customStyle="1" w:styleId="apple-converted-space">
    <w:name w:val="apple-converted-space"/>
    <w:basedOn w:val="DefaultParagraphFont"/>
    <w:rsid w:val="00CE5128"/>
  </w:style>
  <w:style w:type="character" w:styleId="Strong">
    <w:name w:val="Strong"/>
    <w:uiPriority w:val="22"/>
    <w:qFormat/>
    <w:rsid w:val="00A520CD"/>
    <w:rPr>
      <w:b/>
      <w:bCs/>
    </w:rPr>
  </w:style>
  <w:style w:type="paragraph" w:styleId="NormalWeb">
    <w:name w:val="Normal (Web)"/>
    <w:basedOn w:val="Normal"/>
    <w:uiPriority w:val="99"/>
    <w:semiHidden/>
    <w:unhideWhenUsed/>
    <w:rsid w:val="00A520CD"/>
    <w:pPr>
      <w:spacing w:before="100" w:beforeAutospacing="1" w:after="100" w:afterAutospacing="1"/>
    </w:pPr>
    <w:rPr>
      <w:noProof w:val="0"/>
      <w:lang w:eastAsia="en-AU"/>
    </w:rPr>
  </w:style>
  <w:style w:type="character" w:customStyle="1" w:styleId="green">
    <w:name w:val="green"/>
    <w:basedOn w:val="DefaultParagraphFont"/>
    <w:rsid w:val="00A5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638">
      <w:bodyDiv w:val="1"/>
      <w:marLeft w:val="0"/>
      <w:marRight w:val="0"/>
      <w:marTop w:val="0"/>
      <w:marBottom w:val="0"/>
      <w:divBdr>
        <w:top w:val="none" w:sz="0" w:space="0" w:color="auto"/>
        <w:left w:val="none" w:sz="0" w:space="0" w:color="auto"/>
        <w:bottom w:val="none" w:sz="0" w:space="0" w:color="auto"/>
        <w:right w:val="none" w:sz="0" w:space="0" w:color="auto"/>
      </w:divBdr>
      <w:divsChild>
        <w:div w:id="508637968">
          <w:marLeft w:val="0"/>
          <w:marRight w:val="0"/>
          <w:marTop w:val="0"/>
          <w:marBottom w:val="0"/>
          <w:divBdr>
            <w:top w:val="none" w:sz="0" w:space="0" w:color="auto"/>
            <w:left w:val="none" w:sz="0" w:space="0" w:color="auto"/>
            <w:bottom w:val="none" w:sz="0" w:space="0" w:color="auto"/>
            <w:right w:val="none" w:sz="0" w:space="0" w:color="auto"/>
          </w:divBdr>
          <w:divsChild>
            <w:div w:id="761679982">
              <w:marLeft w:val="0"/>
              <w:marRight w:val="0"/>
              <w:marTop w:val="0"/>
              <w:marBottom w:val="0"/>
              <w:divBdr>
                <w:top w:val="none" w:sz="0" w:space="0" w:color="auto"/>
                <w:left w:val="none" w:sz="0" w:space="0" w:color="auto"/>
                <w:bottom w:val="none" w:sz="0" w:space="0" w:color="auto"/>
                <w:right w:val="none" w:sz="0" w:space="0" w:color="auto"/>
              </w:divBdr>
              <w:divsChild>
                <w:div w:id="636178592">
                  <w:marLeft w:val="0"/>
                  <w:marRight w:val="0"/>
                  <w:marTop w:val="0"/>
                  <w:marBottom w:val="0"/>
                  <w:divBdr>
                    <w:top w:val="none" w:sz="0" w:space="0" w:color="auto"/>
                    <w:left w:val="none" w:sz="0" w:space="0" w:color="auto"/>
                    <w:bottom w:val="none" w:sz="0" w:space="0" w:color="auto"/>
                    <w:right w:val="none" w:sz="0" w:space="0" w:color="auto"/>
                  </w:divBdr>
                  <w:divsChild>
                    <w:div w:id="445386927">
                      <w:marLeft w:val="0"/>
                      <w:marRight w:val="0"/>
                      <w:marTop w:val="0"/>
                      <w:marBottom w:val="0"/>
                      <w:divBdr>
                        <w:top w:val="none" w:sz="0" w:space="0" w:color="auto"/>
                        <w:left w:val="none" w:sz="0" w:space="0" w:color="auto"/>
                        <w:bottom w:val="none" w:sz="0" w:space="0" w:color="auto"/>
                        <w:right w:val="none" w:sz="0" w:space="0" w:color="auto"/>
                      </w:divBdr>
                      <w:divsChild>
                        <w:div w:id="1873304460">
                          <w:marLeft w:val="0"/>
                          <w:marRight w:val="0"/>
                          <w:marTop w:val="0"/>
                          <w:marBottom w:val="0"/>
                          <w:divBdr>
                            <w:top w:val="none" w:sz="0" w:space="0" w:color="auto"/>
                            <w:left w:val="none" w:sz="0" w:space="0" w:color="auto"/>
                            <w:bottom w:val="none" w:sz="0" w:space="0" w:color="auto"/>
                            <w:right w:val="none" w:sz="0" w:space="0" w:color="auto"/>
                          </w:divBdr>
                          <w:divsChild>
                            <w:div w:id="489908114">
                              <w:marLeft w:val="0"/>
                              <w:marRight w:val="0"/>
                              <w:marTop w:val="0"/>
                              <w:marBottom w:val="0"/>
                              <w:divBdr>
                                <w:top w:val="none" w:sz="0" w:space="0" w:color="auto"/>
                                <w:left w:val="none" w:sz="0" w:space="0" w:color="auto"/>
                                <w:bottom w:val="none" w:sz="0" w:space="0" w:color="auto"/>
                                <w:right w:val="none" w:sz="0" w:space="0" w:color="auto"/>
                              </w:divBdr>
                              <w:divsChild>
                                <w:div w:id="1515531414">
                                  <w:marLeft w:val="0"/>
                                  <w:marRight w:val="0"/>
                                  <w:marTop w:val="0"/>
                                  <w:marBottom w:val="0"/>
                                  <w:divBdr>
                                    <w:top w:val="none" w:sz="0" w:space="0" w:color="auto"/>
                                    <w:left w:val="none" w:sz="0" w:space="0" w:color="auto"/>
                                    <w:bottom w:val="none" w:sz="0" w:space="0" w:color="auto"/>
                                    <w:right w:val="none" w:sz="0" w:space="0" w:color="auto"/>
                                  </w:divBdr>
                                  <w:divsChild>
                                    <w:div w:id="1224609065">
                                      <w:marLeft w:val="0"/>
                                      <w:marRight w:val="0"/>
                                      <w:marTop w:val="0"/>
                                      <w:marBottom w:val="0"/>
                                      <w:divBdr>
                                        <w:top w:val="none" w:sz="0" w:space="0" w:color="auto"/>
                                        <w:left w:val="none" w:sz="0" w:space="0" w:color="auto"/>
                                        <w:bottom w:val="none" w:sz="0" w:space="0" w:color="auto"/>
                                        <w:right w:val="none" w:sz="0" w:space="0" w:color="auto"/>
                                      </w:divBdr>
                                      <w:divsChild>
                                        <w:div w:id="236287907">
                                          <w:marLeft w:val="0"/>
                                          <w:marRight w:val="0"/>
                                          <w:marTop w:val="0"/>
                                          <w:marBottom w:val="0"/>
                                          <w:divBdr>
                                            <w:top w:val="none" w:sz="0" w:space="0" w:color="auto"/>
                                            <w:left w:val="none" w:sz="0" w:space="0" w:color="auto"/>
                                            <w:bottom w:val="none" w:sz="0" w:space="0" w:color="auto"/>
                                            <w:right w:val="none" w:sz="0" w:space="0" w:color="auto"/>
                                          </w:divBdr>
                                          <w:divsChild>
                                            <w:div w:id="1890149106">
                                              <w:marLeft w:val="0"/>
                                              <w:marRight w:val="0"/>
                                              <w:marTop w:val="0"/>
                                              <w:marBottom w:val="0"/>
                                              <w:divBdr>
                                                <w:top w:val="none" w:sz="0" w:space="0" w:color="auto"/>
                                                <w:left w:val="none" w:sz="0" w:space="0" w:color="auto"/>
                                                <w:bottom w:val="none" w:sz="0" w:space="0" w:color="auto"/>
                                                <w:right w:val="none" w:sz="0" w:space="0" w:color="auto"/>
                                              </w:divBdr>
                                              <w:divsChild>
                                                <w:div w:id="804813061">
                                                  <w:marLeft w:val="0"/>
                                                  <w:marRight w:val="0"/>
                                                  <w:marTop w:val="0"/>
                                                  <w:marBottom w:val="0"/>
                                                  <w:divBdr>
                                                    <w:top w:val="none" w:sz="0" w:space="0" w:color="auto"/>
                                                    <w:left w:val="none" w:sz="0" w:space="0" w:color="auto"/>
                                                    <w:bottom w:val="none" w:sz="0" w:space="0" w:color="auto"/>
                                                    <w:right w:val="none" w:sz="0" w:space="0" w:color="auto"/>
                                                  </w:divBdr>
                                                  <w:divsChild>
                                                    <w:div w:id="1962613343">
                                                      <w:marLeft w:val="0"/>
                                                      <w:marRight w:val="0"/>
                                                      <w:marTop w:val="0"/>
                                                      <w:marBottom w:val="0"/>
                                                      <w:divBdr>
                                                        <w:top w:val="none" w:sz="0" w:space="0" w:color="auto"/>
                                                        <w:left w:val="none" w:sz="0" w:space="0" w:color="auto"/>
                                                        <w:bottom w:val="none" w:sz="0" w:space="0" w:color="auto"/>
                                                        <w:right w:val="none" w:sz="0" w:space="0" w:color="auto"/>
                                                      </w:divBdr>
                                                      <w:divsChild>
                                                        <w:div w:id="698361728">
                                                          <w:marLeft w:val="0"/>
                                                          <w:marRight w:val="0"/>
                                                          <w:marTop w:val="0"/>
                                                          <w:marBottom w:val="0"/>
                                                          <w:divBdr>
                                                            <w:top w:val="none" w:sz="0" w:space="0" w:color="auto"/>
                                                            <w:left w:val="none" w:sz="0" w:space="0" w:color="auto"/>
                                                            <w:bottom w:val="none" w:sz="0" w:space="0" w:color="auto"/>
                                                            <w:right w:val="none" w:sz="0" w:space="0" w:color="auto"/>
                                                          </w:divBdr>
                                                          <w:divsChild>
                                                            <w:div w:id="1452362208">
                                                              <w:marLeft w:val="0"/>
                                                              <w:marRight w:val="0"/>
                                                              <w:marTop w:val="0"/>
                                                              <w:marBottom w:val="0"/>
                                                              <w:divBdr>
                                                                <w:top w:val="none" w:sz="0" w:space="0" w:color="auto"/>
                                                                <w:left w:val="none" w:sz="0" w:space="0" w:color="auto"/>
                                                                <w:bottom w:val="none" w:sz="0" w:space="0" w:color="auto"/>
                                                                <w:right w:val="none" w:sz="0" w:space="0" w:color="auto"/>
                                                              </w:divBdr>
                                                              <w:divsChild>
                                                                <w:div w:id="679740121">
                                                                  <w:marLeft w:val="0"/>
                                                                  <w:marRight w:val="0"/>
                                                                  <w:marTop w:val="0"/>
                                                                  <w:marBottom w:val="0"/>
                                                                  <w:divBdr>
                                                                    <w:top w:val="none" w:sz="0" w:space="0" w:color="auto"/>
                                                                    <w:left w:val="none" w:sz="0" w:space="0" w:color="auto"/>
                                                                    <w:bottom w:val="none" w:sz="0" w:space="0" w:color="auto"/>
                                                                    <w:right w:val="none" w:sz="0" w:space="0" w:color="auto"/>
                                                                  </w:divBdr>
                                                                  <w:divsChild>
                                                                    <w:div w:id="1543590462">
                                                                      <w:marLeft w:val="0"/>
                                                                      <w:marRight w:val="0"/>
                                                                      <w:marTop w:val="0"/>
                                                                      <w:marBottom w:val="0"/>
                                                                      <w:divBdr>
                                                                        <w:top w:val="none" w:sz="0" w:space="0" w:color="auto"/>
                                                                        <w:left w:val="none" w:sz="0" w:space="0" w:color="auto"/>
                                                                        <w:bottom w:val="none" w:sz="0" w:space="0" w:color="auto"/>
                                                                        <w:right w:val="none" w:sz="0" w:space="0" w:color="auto"/>
                                                                      </w:divBdr>
                                                                      <w:divsChild>
                                                                        <w:div w:id="11743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39370">
      <w:bodyDiv w:val="1"/>
      <w:marLeft w:val="0"/>
      <w:marRight w:val="0"/>
      <w:marTop w:val="0"/>
      <w:marBottom w:val="0"/>
      <w:divBdr>
        <w:top w:val="none" w:sz="0" w:space="0" w:color="auto"/>
        <w:left w:val="none" w:sz="0" w:space="0" w:color="auto"/>
        <w:bottom w:val="none" w:sz="0" w:space="0" w:color="auto"/>
        <w:right w:val="none" w:sz="0" w:space="0" w:color="auto"/>
      </w:divBdr>
    </w:div>
    <w:div w:id="1139610197">
      <w:bodyDiv w:val="1"/>
      <w:marLeft w:val="0"/>
      <w:marRight w:val="0"/>
      <w:marTop w:val="0"/>
      <w:marBottom w:val="0"/>
      <w:divBdr>
        <w:top w:val="none" w:sz="0" w:space="0" w:color="auto"/>
        <w:left w:val="none" w:sz="0" w:space="0" w:color="auto"/>
        <w:bottom w:val="none" w:sz="0" w:space="0" w:color="auto"/>
        <w:right w:val="none" w:sz="0" w:space="0" w:color="auto"/>
      </w:divBdr>
      <w:divsChild>
        <w:div w:id="648827641">
          <w:marLeft w:val="0"/>
          <w:marRight w:val="0"/>
          <w:marTop w:val="0"/>
          <w:marBottom w:val="0"/>
          <w:divBdr>
            <w:top w:val="none" w:sz="0" w:space="0" w:color="auto"/>
            <w:left w:val="none" w:sz="0" w:space="0" w:color="auto"/>
            <w:bottom w:val="none" w:sz="0" w:space="0" w:color="auto"/>
            <w:right w:val="none" w:sz="0" w:space="0" w:color="auto"/>
          </w:divBdr>
          <w:divsChild>
            <w:div w:id="1029142481">
              <w:marLeft w:val="0"/>
              <w:marRight w:val="0"/>
              <w:marTop w:val="0"/>
              <w:marBottom w:val="0"/>
              <w:divBdr>
                <w:top w:val="none" w:sz="0" w:space="0" w:color="auto"/>
                <w:left w:val="none" w:sz="0" w:space="0" w:color="auto"/>
                <w:bottom w:val="none" w:sz="0" w:space="0" w:color="auto"/>
                <w:right w:val="none" w:sz="0" w:space="0" w:color="auto"/>
              </w:divBdr>
              <w:divsChild>
                <w:div w:id="585498812">
                  <w:marLeft w:val="0"/>
                  <w:marRight w:val="0"/>
                  <w:marTop w:val="0"/>
                  <w:marBottom w:val="0"/>
                  <w:divBdr>
                    <w:top w:val="none" w:sz="0" w:space="0" w:color="auto"/>
                    <w:left w:val="none" w:sz="0" w:space="0" w:color="auto"/>
                    <w:bottom w:val="none" w:sz="0" w:space="0" w:color="auto"/>
                    <w:right w:val="none" w:sz="0" w:space="0" w:color="auto"/>
                  </w:divBdr>
                  <w:divsChild>
                    <w:div w:id="1300693663">
                      <w:marLeft w:val="0"/>
                      <w:marRight w:val="0"/>
                      <w:marTop w:val="0"/>
                      <w:marBottom w:val="0"/>
                      <w:divBdr>
                        <w:top w:val="none" w:sz="0" w:space="0" w:color="auto"/>
                        <w:left w:val="none" w:sz="0" w:space="0" w:color="auto"/>
                        <w:bottom w:val="none" w:sz="0" w:space="0" w:color="auto"/>
                        <w:right w:val="none" w:sz="0" w:space="0" w:color="auto"/>
                      </w:divBdr>
                      <w:divsChild>
                        <w:div w:id="1815638273">
                          <w:marLeft w:val="0"/>
                          <w:marRight w:val="0"/>
                          <w:marTop w:val="0"/>
                          <w:marBottom w:val="0"/>
                          <w:divBdr>
                            <w:top w:val="none" w:sz="0" w:space="0" w:color="auto"/>
                            <w:left w:val="none" w:sz="0" w:space="0" w:color="auto"/>
                            <w:bottom w:val="none" w:sz="0" w:space="0" w:color="auto"/>
                            <w:right w:val="none" w:sz="0" w:space="0" w:color="auto"/>
                          </w:divBdr>
                          <w:divsChild>
                            <w:div w:id="131800319">
                              <w:marLeft w:val="0"/>
                              <w:marRight w:val="0"/>
                              <w:marTop w:val="0"/>
                              <w:marBottom w:val="0"/>
                              <w:divBdr>
                                <w:top w:val="none" w:sz="0" w:space="0" w:color="auto"/>
                                <w:left w:val="none" w:sz="0" w:space="0" w:color="auto"/>
                                <w:bottom w:val="none" w:sz="0" w:space="0" w:color="auto"/>
                                <w:right w:val="none" w:sz="0" w:space="0" w:color="auto"/>
                              </w:divBdr>
                              <w:divsChild>
                                <w:div w:id="585114393">
                                  <w:marLeft w:val="0"/>
                                  <w:marRight w:val="0"/>
                                  <w:marTop w:val="0"/>
                                  <w:marBottom w:val="0"/>
                                  <w:divBdr>
                                    <w:top w:val="none" w:sz="0" w:space="0" w:color="auto"/>
                                    <w:left w:val="none" w:sz="0" w:space="0" w:color="auto"/>
                                    <w:bottom w:val="none" w:sz="0" w:space="0" w:color="auto"/>
                                    <w:right w:val="none" w:sz="0" w:space="0" w:color="auto"/>
                                  </w:divBdr>
                                  <w:divsChild>
                                    <w:div w:id="1340278258">
                                      <w:marLeft w:val="0"/>
                                      <w:marRight w:val="0"/>
                                      <w:marTop w:val="0"/>
                                      <w:marBottom w:val="0"/>
                                      <w:divBdr>
                                        <w:top w:val="none" w:sz="0" w:space="0" w:color="auto"/>
                                        <w:left w:val="none" w:sz="0" w:space="0" w:color="auto"/>
                                        <w:bottom w:val="none" w:sz="0" w:space="0" w:color="auto"/>
                                        <w:right w:val="none" w:sz="0" w:space="0" w:color="auto"/>
                                      </w:divBdr>
                                      <w:divsChild>
                                        <w:div w:id="1288732099">
                                          <w:marLeft w:val="0"/>
                                          <w:marRight w:val="0"/>
                                          <w:marTop w:val="0"/>
                                          <w:marBottom w:val="0"/>
                                          <w:divBdr>
                                            <w:top w:val="none" w:sz="0" w:space="0" w:color="auto"/>
                                            <w:left w:val="none" w:sz="0" w:space="0" w:color="auto"/>
                                            <w:bottom w:val="none" w:sz="0" w:space="0" w:color="auto"/>
                                            <w:right w:val="none" w:sz="0" w:space="0" w:color="auto"/>
                                          </w:divBdr>
                                          <w:divsChild>
                                            <w:div w:id="1017465466">
                                              <w:marLeft w:val="0"/>
                                              <w:marRight w:val="0"/>
                                              <w:marTop w:val="0"/>
                                              <w:marBottom w:val="0"/>
                                              <w:divBdr>
                                                <w:top w:val="none" w:sz="0" w:space="0" w:color="auto"/>
                                                <w:left w:val="none" w:sz="0" w:space="0" w:color="auto"/>
                                                <w:bottom w:val="none" w:sz="0" w:space="0" w:color="auto"/>
                                                <w:right w:val="none" w:sz="0" w:space="0" w:color="auto"/>
                                              </w:divBdr>
                                              <w:divsChild>
                                                <w:div w:id="981813284">
                                                  <w:marLeft w:val="0"/>
                                                  <w:marRight w:val="0"/>
                                                  <w:marTop w:val="0"/>
                                                  <w:marBottom w:val="0"/>
                                                  <w:divBdr>
                                                    <w:top w:val="none" w:sz="0" w:space="0" w:color="auto"/>
                                                    <w:left w:val="none" w:sz="0" w:space="0" w:color="auto"/>
                                                    <w:bottom w:val="none" w:sz="0" w:space="0" w:color="auto"/>
                                                    <w:right w:val="none" w:sz="0" w:space="0" w:color="auto"/>
                                                  </w:divBdr>
                                                  <w:divsChild>
                                                    <w:div w:id="128716352">
                                                      <w:marLeft w:val="0"/>
                                                      <w:marRight w:val="0"/>
                                                      <w:marTop w:val="0"/>
                                                      <w:marBottom w:val="0"/>
                                                      <w:divBdr>
                                                        <w:top w:val="none" w:sz="0" w:space="0" w:color="auto"/>
                                                        <w:left w:val="none" w:sz="0" w:space="0" w:color="auto"/>
                                                        <w:bottom w:val="none" w:sz="0" w:space="0" w:color="auto"/>
                                                        <w:right w:val="none" w:sz="0" w:space="0" w:color="auto"/>
                                                      </w:divBdr>
                                                      <w:divsChild>
                                                        <w:div w:id="1744403518">
                                                          <w:marLeft w:val="0"/>
                                                          <w:marRight w:val="0"/>
                                                          <w:marTop w:val="0"/>
                                                          <w:marBottom w:val="0"/>
                                                          <w:divBdr>
                                                            <w:top w:val="none" w:sz="0" w:space="0" w:color="auto"/>
                                                            <w:left w:val="none" w:sz="0" w:space="0" w:color="auto"/>
                                                            <w:bottom w:val="none" w:sz="0" w:space="0" w:color="auto"/>
                                                            <w:right w:val="none" w:sz="0" w:space="0" w:color="auto"/>
                                                          </w:divBdr>
                                                          <w:divsChild>
                                                            <w:div w:id="1894659041">
                                                              <w:marLeft w:val="0"/>
                                                              <w:marRight w:val="0"/>
                                                              <w:marTop w:val="0"/>
                                                              <w:marBottom w:val="0"/>
                                                              <w:divBdr>
                                                                <w:top w:val="none" w:sz="0" w:space="0" w:color="auto"/>
                                                                <w:left w:val="none" w:sz="0" w:space="0" w:color="auto"/>
                                                                <w:bottom w:val="none" w:sz="0" w:space="0" w:color="auto"/>
                                                                <w:right w:val="none" w:sz="0" w:space="0" w:color="auto"/>
                                                              </w:divBdr>
                                                              <w:divsChild>
                                                                <w:div w:id="180705723">
                                                                  <w:marLeft w:val="0"/>
                                                                  <w:marRight w:val="0"/>
                                                                  <w:marTop w:val="0"/>
                                                                  <w:marBottom w:val="0"/>
                                                                  <w:divBdr>
                                                                    <w:top w:val="none" w:sz="0" w:space="0" w:color="auto"/>
                                                                    <w:left w:val="none" w:sz="0" w:space="0" w:color="auto"/>
                                                                    <w:bottom w:val="none" w:sz="0" w:space="0" w:color="auto"/>
                                                                    <w:right w:val="none" w:sz="0" w:space="0" w:color="auto"/>
                                                                  </w:divBdr>
                                                                  <w:divsChild>
                                                                    <w:div w:id="220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0284763">
      <w:bodyDiv w:val="1"/>
      <w:marLeft w:val="0"/>
      <w:marRight w:val="0"/>
      <w:marTop w:val="0"/>
      <w:marBottom w:val="0"/>
      <w:divBdr>
        <w:top w:val="none" w:sz="0" w:space="0" w:color="auto"/>
        <w:left w:val="none" w:sz="0" w:space="0" w:color="auto"/>
        <w:bottom w:val="none" w:sz="0" w:space="0" w:color="auto"/>
        <w:right w:val="none" w:sz="0" w:space="0" w:color="auto"/>
      </w:divBdr>
      <w:divsChild>
        <w:div w:id="534541242">
          <w:marLeft w:val="0"/>
          <w:marRight w:val="0"/>
          <w:marTop w:val="0"/>
          <w:marBottom w:val="0"/>
          <w:divBdr>
            <w:top w:val="none" w:sz="0" w:space="0" w:color="auto"/>
            <w:left w:val="none" w:sz="0" w:space="0" w:color="auto"/>
            <w:bottom w:val="none" w:sz="0" w:space="0" w:color="auto"/>
            <w:right w:val="none" w:sz="0" w:space="0" w:color="auto"/>
          </w:divBdr>
          <w:divsChild>
            <w:div w:id="997343017">
              <w:marLeft w:val="0"/>
              <w:marRight w:val="0"/>
              <w:marTop w:val="0"/>
              <w:marBottom w:val="0"/>
              <w:divBdr>
                <w:top w:val="none" w:sz="0" w:space="0" w:color="auto"/>
                <w:left w:val="none" w:sz="0" w:space="0" w:color="auto"/>
                <w:bottom w:val="none" w:sz="0" w:space="0" w:color="auto"/>
                <w:right w:val="none" w:sz="0" w:space="0" w:color="auto"/>
              </w:divBdr>
              <w:divsChild>
                <w:div w:id="693265640">
                  <w:marLeft w:val="0"/>
                  <w:marRight w:val="0"/>
                  <w:marTop w:val="0"/>
                  <w:marBottom w:val="0"/>
                  <w:divBdr>
                    <w:top w:val="none" w:sz="0" w:space="0" w:color="auto"/>
                    <w:left w:val="none" w:sz="0" w:space="0" w:color="auto"/>
                    <w:bottom w:val="none" w:sz="0" w:space="0" w:color="auto"/>
                    <w:right w:val="none" w:sz="0" w:space="0" w:color="auto"/>
                  </w:divBdr>
                  <w:divsChild>
                    <w:div w:id="129440080">
                      <w:marLeft w:val="0"/>
                      <w:marRight w:val="0"/>
                      <w:marTop w:val="0"/>
                      <w:marBottom w:val="0"/>
                      <w:divBdr>
                        <w:top w:val="none" w:sz="0" w:space="0" w:color="auto"/>
                        <w:left w:val="none" w:sz="0" w:space="0" w:color="auto"/>
                        <w:bottom w:val="none" w:sz="0" w:space="0" w:color="auto"/>
                        <w:right w:val="none" w:sz="0" w:space="0" w:color="auto"/>
                      </w:divBdr>
                      <w:divsChild>
                        <w:div w:id="310990013">
                          <w:marLeft w:val="0"/>
                          <w:marRight w:val="0"/>
                          <w:marTop w:val="45"/>
                          <w:marBottom w:val="0"/>
                          <w:divBdr>
                            <w:top w:val="none" w:sz="0" w:space="0" w:color="auto"/>
                            <w:left w:val="none" w:sz="0" w:space="0" w:color="auto"/>
                            <w:bottom w:val="none" w:sz="0" w:space="0" w:color="auto"/>
                            <w:right w:val="none" w:sz="0" w:space="0" w:color="auto"/>
                          </w:divBdr>
                          <w:divsChild>
                            <w:div w:id="194850773">
                              <w:marLeft w:val="0"/>
                              <w:marRight w:val="0"/>
                              <w:marTop w:val="0"/>
                              <w:marBottom w:val="0"/>
                              <w:divBdr>
                                <w:top w:val="none" w:sz="0" w:space="0" w:color="auto"/>
                                <w:left w:val="none" w:sz="0" w:space="0" w:color="auto"/>
                                <w:bottom w:val="none" w:sz="0" w:space="0" w:color="auto"/>
                                <w:right w:val="none" w:sz="0" w:space="0" w:color="auto"/>
                              </w:divBdr>
                              <w:divsChild>
                                <w:div w:id="206575604">
                                  <w:marLeft w:val="2070"/>
                                  <w:marRight w:val="3810"/>
                                  <w:marTop w:val="0"/>
                                  <w:marBottom w:val="0"/>
                                  <w:divBdr>
                                    <w:top w:val="none" w:sz="0" w:space="0" w:color="auto"/>
                                    <w:left w:val="none" w:sz="0" w:space="0" w:color="auto"/>
                                    <w:bottom w:val="none" w:sz="0" w:space="0" w:color="auto"/>
                                    <w:right w:val="none" w:sz="0" w:space="0" w:color="auto"/>
                                  </w:divBdr>
                                  <w:divsChild>
                                    <w:div w:id="79496576">
                                      <w:marLeft w:val="0"/>
                                      <w:marRight w:val="0"/>
                                      <w:marTop w:val="0"/>
                                      <w:marBottom w:val="0"/>
                                      <w:divBdr>
                                        <w:top w:val="none" w:sz="0" w:space="0" w:color="auto"/>
                                        <w:left w:val="none" w:sz="0" w:space="0" w:color="auto"/>
                                        <w:bottom w:val="none" w:sz="0" w:space="0" w:color="auto"/>
                                        <w:right w:val="none" w:sz="0" w:space="0" w:color="auto"/>
                                      </w:divBdr>
                                      <w:divsChild>
                                        <w:div w:id="1410496861">
                                          <w:marLeft w:val="0"/>
                                          <w:marRight w:val="0"/>
                                          <w:marTop w:val="0"/>
                                          <w:marBottom w:val="0"/>
                                          <w:divBdr>
                                            <w:top w:val="none" w:sz="0" w:space="0" w:color="auto"/>
                                            <w:left w:val="none" w:sz="0" w:space="0" w:color="auto"/>
                                            <w:bottom w:val="none" w:sz="0" w:space="0" w:color="auto"/>
                                            <w:right w:val="none" w:sz="0" w:space="0" w:color="auto"/>
                                          </w:divBdr>
                                          <w:divsChild>
                                            <w:div w:id="1636985265">
                                              <w:marLeft w:val="0"/>
                                              <w:marRight w:val="0"/>
                                              <w:marTop w:val="0"/>
                                              <w:marBottom w:val="0"/>
                                              <w:divBdr>
                                                <w:top w:val="none" w:sz="0" w:space="0" w:color="auto"/>
                                                <w:left w:val="none" w:sz="0" w:space="0" w:color="auto"/>
                                                <w:bottom w:val="none" w:sz="0" w:space="0" w:color="auto"/>
                                                <w:right w:val="none" w:sz="0" w:space="0" w:color="auto"/>
                                              </w:divBdr>
                                              <w:divsChild>
                                                <w:div w:id="653024265">
                                                  <w:marLeft w:val="0"/>
                                                  <w:marRight w:val="0"/>
                                                  <w:marTop w:val="0"/>
                                                  <w:marBottom w:val="0"/>
                                                  <w:divBdr>
                                                    <w:top w:val="none" w:sz="0" w:space="0" w:color="auto"/>
                                                    <w:left w:val="none" w:sz="0" w:space="0" w:color="auto"/>
                                                    <w:bottom w:val="none" w:sz="0" w:space="0" w:color="auto"/>
                                                    <w:right w:val="none" w:sz="0" w:space="0" w:color="auto"/>
                                                  </w:divBdr>
                                                  <w:divsChild>
                                                    <w:div w:id="830100490">
                                                      <w:marLeft w:val="0"/>
                                                      <w:marRight w:val="0"/>
                                                      <w:marTop w:val="0"/>
                                                      <w:marBottom w:val="0"/>
                                                      <w:divBdr>
                                                        <w:top w:val="none" w:sz="0" w:space="0" w:color="auto"/>
                                                        <w:left w:val="none" w:sz="0" w:space="0" w:color="auto"/>
                                                        <w:bottom w:val="none" w:sz="0" w:space="0" w:color="auto"/>
                                                        <w:right w:val="none" w:sz="0" w:space="0" w:color="auto"/>
                                                      </w:divBdr>
                                                      <w:divsChild>
                                                        <w:div w:id="476265234">
                                                          <w:marLeft w:val="0"/>
                                                          <w:marRight w:val="0"/>
                                                          <w:marTop w:val="0"/>
                                                          <w:marBottom w:val="0"/>
                                                          <w:divBdr>
                                                            <w:top w:val="none" w:sz="0" w:space="0" w:color="auto"/>
                                                            <w:left w:val="none" w:sz="0" w:space="0" w:color="auto"/>
                                                            <w:bottom w:val="none" w:sz="0" w:space="0" w:color="auto"/>
                                                            <w:right w:val="none" w:sz="0" w:space="0" w:color="auto"/>
                                                          </w:divBdr>
                                                          <w:divsChild>
                                                            <w:div w:id="489297719">
                                                              <w:marLeft w:val="0"/>
                                                              <w:marRight w:val="0"/>
                                                              <w:marTop w:val="0"/>
                                                              <w:marBottom w:val="0"/>
                                                              <w:divBdr>
                                                                <w:top w:val="none" w:sz="0" w:space="0" w:color="auto"/>
                                                                <w:left w:val="none" w:sz="0" w:space="0" w:color="auto"/>
                                                                <w:bottom w:val="none" w:sz="0" w:space="0" w:color="auto"/>
                                                                <w:right w:val="none" w:sz="0" w:space="0" w:color="auto"/>
                                                              </w:divBdr>
                                                              <w:divsChild>
                                                                <w:div w:id="921570983">
                                                                  <w:marLeft w:val="0"/>
                                                                  <w:marRight w:val="0"/>
                                                                  <w:marTop w:val="0"/>
                                                                  <w:marBottom w:val="0"/>
                                                                  <w:divBdr>
                                                                    <w:top w:val="none" w:sz="0" w:space="0" w:color="auto"/>
                                                                    <w:left w:val="none" w:sz="0" w:space="0" w:color="auto"/>
                                                                    <w:bottom w:val="none" w:sz="0" w:space="0" w:color="auto"/>
                                                                    <w:right w:val="none" w:sz="0" w:space="0" w:color="auto"/>
                                                                  </w:divBdr>
                                                                  <w:divsChild>
                                                                    <w:div w:id="1347361849">
                                                                      <w:marLeft w:val="0"/>
                                                                      <w:marRight w:val="0"/>
                                                                      <w:marTop w:val="0"/>
                                                                      <w:marBottom w:val="0"/>
                                                                      <w:divBdr>
                                                                        <w:top w:val="none" w:sz="0" w:space="0" w:color="auto"/>
                                                                        <w:left w:val="none" w:sz="0" w:space="0" w:color="auto"/>
                                                                        <w:bottom w:val="none" w:sz="0" w:space="0" w:color="auto"/>
                                                                        <w:right w:val="none" w:sz="0" w:space="0" w:color="auto"/>
                                                                      </w:divBdr>
                                                                      <w:divsChild>
                                                                        <w:div w:id="1311789454">
                                                                          <w:marLeft w:val="300"/>
                                                                          <w:marRight w:val="0"/>
                                                                          <w:marTop w:val="0"/>
                                                                          <w:marBottom w:val="0"/>
                                                                          <w:divBdr>
                                                                            <w:top w:val="none" w:sz="0" w:space="0" w:color="auto"/>
                                                                            <w:left w:val="none" w:sz="0" w:space="0" w:color="auto"/>
                                                                            <w:bottom w:val="none" w:sz="0" w:space="0" w:color="auto"/>
                                                                            <w:right w:val="none" w:sz="0" w:space="0" w:color="auto"/>
                                                                          </w:divBdr>
                                                                          <w:divsChild>
                                                                            <w:div w:id="1725644519">
                                                                              <w:marLeft w:val="0"/>
                                                                              <w:marRight w:val="0"/>
                                                                              <w:marTop w:val="0"/>
                                                                              <w:marBottom w:val="0"/>
                                                                              <w:divBdr>
                                                                                <w:top w:val="none" w:sz="0" w:space="0" w:color="auto"/>
                                                                                <w:left w:val="none" w:sz="0" w:space="0" w:color="auto"/>
                                                                                <w:bottom w:val="none" w:sz="0" w:space="0" w:color="auto"/>
                                                                                <w:right w:val="none" w:sz="0" w:space="0" w:color="auto"/>
                                                                              </w:divBdr>
                                                                              <w:divsChild>
                                                                                <w:div w:id="174367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8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944F-F8A1-418E-B5D4-4F2F42E8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D85FE51F.dotm</Template>
  <TotalTime>2</TotalTime>
  <Pages>28</Pages>
  <Words>7261</Words>
  <Characters>41388</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Eastment</dc:creator>
  <cp:lastModifiedBy>Ariane Casareo</cp:lastModifiedBy>
  <cp:revision>2</cp:revision>
  <cp:lastPrinted>2014-08-13T00:21:00Z</cp:lastPrinted>
  <dcterms:created xsi:type="dcterms:W3CDTF">2017-08-22T03:21:00Z</dcterms:created>
  <dcterms:modified xsi:type="dcterms:W3CDTF">2017-08-22T03:21:00Z</dcterms:modified>
</cp:coreProperties>
</file>